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rPr/>
      </w:pPr>
      <w:r w:rsidDel="00000000" w:rsidR="00000000" w:rsidRPr="00000000">
        <w:rPr>
          <w:b w:val="1"/>
          <w:bCs w:val="1"/>
          <w:color w:val="1a1a1a"/>
          <w:sz w:val="36"/>
          <w:szCs w:val="36"/>
          <w:rtl w:val="0"/>
        </w:rPr>
        <w:t xml:space="preserve">The cost of waiting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rPr/>
      </w:pPr>
      <w:r w:rsidDel="00000000" w:rsidR="00000000" w:rsidRPr="00000000">
        <w:rPr>
          <w:color w:val="31edae"/>
          <w:sz w:val="22"/>
          <w:szCs w:val="22"/>
          <w:rtl w:val="0"/>
        </w:rPr>
        <w:t xml:space="preserve">What BlueWave loses every month without Swell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db87f" w:space="1" w:sz="4" w:val="single"/>
        </w:pBdr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numbers below are built from BlueWave’s own data — shared during the March 31 discovery meeting — combined with conservative industry benchmarks. None of these figures require assumptions about Swell’s performance. They describe what the current manual process costs today.</w:t>
      </w:r>
    </w:p>
    <w:p w:rsidR="00000000" w:rsidDel="00000000" w:rsidP="00000000" w:rsidRDefault="00000000" w:rsidRPr="00000000" w14:paraId="00000005">
      <w:pPr>
        <w:pBdr>
          <w:bottom w:color="2db87f" w:space="1" w:sz="4" w:val="single"/>
        </w:pBdr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360" w:line="240" w:lineRule="auto"/>
        <w:rPr/>
      </w:pPr>
      <w:r w:rsidDel="00000000" w:rsidR="00000000" w:rsidRPr="00000000">
        <w:rPr>
          <w:b w:val="1"/>
          <w:bCs w:val="1"/>
          <w:color w:val="557170"/>
          <w:sz w:val="26"/>
          <w:szCs w:val="26"/>
          <w:rtl w:val="0"/>
        </w:rPr>
        <w:t xml:space="preserve">Recruiter labor misallocation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BlueWave has 18–20 recruiters. By the team’s own estimate, recruiters spend 75–80% of their time on unqualified candidates — sorting through databases, reading stale resumes, making calls that go nowhere.</w:t>
      </w:r>
    </w:p>
    <w:p w:rsidR="00000000" w:rsidDel="00000000" w:rsidP="00000000" w:rsidRDefault="00000000" w:rsidRPr="00000000" w14:paraId="0000000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At a conservative fully-loaded cost of $50,000 per recruiter per year (salary, benefits, tools, overhead):</w:t>
      </w:r>
    </w:p>
    <w:p w:rsidR="00000000" w:rsidDel="00000000" w:rsidP="00000000" w:rsidRDefault="00000000" w:rsidRPr="00000000" w14:paraId="00000009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color w:val="31edae"/>
          <w:sz w:val="48"/>
          <w:szCs w:val="48"/>
          <w:rtl w:val="0"/>
        </w:rPr>
        <w:t xml:space="preserve">$750,000 /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40" w:lineRule="auto"/>
        <w:jc w:val="center"/>
        <w:rPr/>
      </w:pPr>
      <w:r w:rsidDel="00000000" w:rsidR="00000000" w:rsidRPr="00000000">
        <w:rPr>
          <w:color w:val="557170"/>
          <w:sz w:val="20"/>
          <w:szCs w:val="20"/>
          <w:rtl w:val="0"/>
        </w:rPr>
        <w:t xml:space="preserve">20 recruiters × $50,000 × 75% = recruiter time spent on unqualified candidates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31edae" w:space="8" w:sz="12" w:val="single"/>
        </w:pBdr>
        <w:spacing w:after="160" w:before="160" w:line="276" w:lineRule="auto"/>
        <w:ind w:left="180" w:firstLine="0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That’s $62,500 per month in recruiter labor that produces no placements.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Even at the low end (18 recruiters × $50K × 75%), the number is $675,000/year — $56,250 per month. This isn’t a projection of what Swell will save. It’s a description of what the current process costs right now.</w:t>
      </w:r>
    </w:p>
    <w:p w:rsidR="00000000" w:rsidDel="00000000" w:rsidP="00000000" w:rsidRDefault="00000000" w:rsidRPr="00000000" w14:paraId="0000000E">
      <w:pPr>
        <w:pBdr>
          <w:bottom w:color="2db87f" w:space="1" w:sz="4" w:val="single"/>
        </w:pBdr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before="360" w:line="240" w:lineRule="auto"/>
        <w:rPr/>
      </w:pPr>
      <w:r w:rsidDel="00000000" w:rsidR="00000000" w:rsidRPr="00000000">
        <w:rPr>
          <w:b w:val="1"/>
          <w:bCs w:val="1"/>
          <w:color w:val="557170"/>
          <w:sz w:val="26"/>
          <w:szCs w:val="26"/>
          <w:rtl w:val="0"/>
        </w:rPr>
        <w:t xml:space="preserve">Time-to-shortlist delay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When a major requisition arrives — like the SpaceX example from the discovery meeting (30 electrical engineers, two-week deadline) — it takes days of manual sorting through ~500 applicants before a recruiter even makes the first call.</w:t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Every day of delay has a cost. Candidates accept other offers. Clients grow impatient. Competing agencies submit faster. In a staffing business doing ~$40M in annual revenue with roughly 20 recruiters, each recruiter generates approximately $2M in annual billings — roughly $8,000 per working day.</w:t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If manual sorting adds even 2 days of delay per major requisition, and each recruiter handles 2–3 major reqs per month, the exposure is significant — not because every req is lost, but because the slower team loses placements at the margin to faster competitors.</w:t>
      </w:r>
    </w:p>
    <w:p w:rsidR="00000000" w:rsidDel="00000000" w:rsidP="00000000" w:rsidRDefault="00000000" w:rsidRPr="00000000" w14:paraId="00000013">
      <w:pPr>
        <w:pBdr>
          <w:bottom w:color="2db87f" w:space="1" w:sz="4" w:val="single"/>
        </w:pBdr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360" w:line="240" w:lineRule="auto"/>
        <w:rPr/>
      </w:pPr>
      <w:r w:rsidDel="00000000" w:rsidR="00000000" w:rsidRPr="00000000">
        <w:rPr>
          <w:b w:val="1"/>
          <w:bCs w:val="1"/>
          <w:color w:val="557170"/>
          <w:sz w:val="26"/>
          <w:szCs w:val="26"/>
          <w:rtl w:val="0"/>
        </w:rPr>
        <w:t xml:space="preserve">Inbound call handling waste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BlueWave receives 8–10 inbound calls per day on the general line. Many are low-value: ADP password resets, basic status checks, routing calls that landed on the wrong person. These calls pull recruiters and admins away from revenue-generating work.</w:t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At an average of 5 minutes per call (including context-switching time), that’s roughly 40–50 minutes per day of interrupted productive time. Over a year: approximately 200 hours of staff time consumed by calls that don’t require human judgment.</w:t>
      </w:r>
    </w:p>
    <w:p w:rsidR="00000000" w:rsidDel="00000000" w:rsidP="00000000" w:rsidRDefault="00000000" w:rsidRPr="00000000" w14:paraId="0000001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This isn’t a crisis on its own. But it’s the kind of friction that compounds — every interruption breaks a recruiter’s focus and extends the time before they return to placement-generating work.</w:t>
      </w:r>
    </w:p>
    <w:p w:rsidR="00000000" w:rsidDel="00000000" w:rsidP="00000000" w:rsidRDefault="00000000" w:rsidRPr="00000000" w14:paraId="00000018">
      <w:pPr>
        <w:pBdr>
          <w:bottom w:color="2db87f" w:space="1" w:sz="4" w:val="single"/>
        </w:pBdr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360" w:line="240" w:lineRule="auto"/>
        <w:rPr/>
      </w:pPr>
      <w:r w:rsidDel="00000000" w:rsidR="00000000" w:rsidRPr="00000000">
        <w:rPr>
          <w:b w:val="1"/>
          <w:bCs w:val="1"/>
          <w:color w:val="557170"/>
          <w:sz w:val="26"/>
          <w:szCs w:val="26"/>
          <w:rtl w:val="0"/>
        </w:rPr>
        <w:t xml:space="preserve">Capacity ceiling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BlueWave’s team is at capacity. They can’t grow volume without either hiring more recruiters or augmenting digitally. Charlie chose digital augmentation.</w:t>
      </w:r>
    </w:p>
    <w:p w:rsidR="00000000" w:rsidDel="00000000" w:rsidP="00000000" w:rsidRDefault="00000000" w:rsidRPr="00000000" w14:paraId="0000001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If Swell enables even a 2x increase in placement capacity without adding headcount, that represents $20M–$40M in incremental revenue capacity annually — based on BlueWave’s current ~$40M revenue with ~20 recruiters.</w:t>
      </w:r>
    </w:p>
    <w:p w:rsidR="00000000" w:rsidDel="00000000" w:rsidP="00000000" w:rsidRDefault="00000000" w:rsidRPr="00000000" w14:paraId="0000001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Not all of that capacity would convert to revenue immediately. But even capturing 10% of that upside — $2M–$4M in additional placements per year — dwarfs the cost of building Swell.</w:t>
      </w:r>
    </w:p>
    <w:p w:rsidR="00000000" w:rsidDel="00000000" w:rsidP="00000000" w:rsidRDefault="00000000" w:rsidRPr="00000000" w14:paraId="0000001D">
      <w:pPr>
        <w:pBdr>
          <w:bottom w:color="2db87f" w:space="1" w:sz="4" w:val="single"/>
        </w:pBdr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before="360" w:line="240" w:lineRule="auto"/>
        <w:rPr/>
      </w:pPr>
      <w:r w:rsidDel="00000000" w:rsidR="00000000" w:rsidRPr="00000000">
        <w:rPr>
          <w:b w:val="1"/>
          <w:bCs w:val="1"/>
          <w:color w:val="557170"/>
          <w:sz w:val="26"/>
          <w:szCs w:val="26"/>
          <w:rtl w:val="0"/>
        </w:rPr>
        <w:t xml:space="preserve">The monthly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00.0" w:type="dxa"/>
        <w:jc w:val="left"/>
        <w:tblBorders>
          <w:top w:color="557170" w:space="0" w:sz="4" w:val="single"/>
          <w:bottom w:color="557170" w:space="0" w:sz="4" w:val="single"/>
        </w:tblBorders>
        <w:tblLayout w:type="fixed"/>
        <w:tblLook w:val="0000"/>
      </w:tblPr>
      <w:tblGrid>
        <w:gridCol w:w="3200"/>
        <w:gridCol w:w="3000"/>
        <w:gridCol w:w="2400"/>
        <w:tblGridChange w:id="0">
          <w:tblGrid>
            <w:gridCol w:w="3200"/>
            <w:gridCol w:w="30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Annual 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Recruiter time on unqualified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$675K–$750K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$56K–$62.5K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Inbound call handling waste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~$15K–$20K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~$1,500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Time-to-shortlist delay (margin losses)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Unquantified but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Capacity ceiling (unrealized 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$2M–$4M potential upside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4" w:val="single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$170K–$330K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31edae" w:space="8" w:sz="12" w:val="single"/>
        </w:pBdr>
        <w:spacing w:after="160" w:before="160" w:line="276" w:lineRule="auto"/>
        <w:ind w:left="180" w:firstLine="0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Conservative total (quantifiable waste only): ~$57,500–$64,000 per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31edae" w:space="8" w:sz="12" w:val="single"/>
        </w:pBdr>
        <w:spacing w:after="160" w:before="160" w:line="276" w:lineRule="auto"/>
        <w:ind w:left="180" w:firstLine="0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With capacity upside included: $225,000–$395,000 per month in combined waste and unrealized potential.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Every month without a system in place, these costs continue. Swell doesn’t need to eliminate all of them — even a 30% reduction in recruiter time on unqualified candidates saves $200,000–$225,000 per year.</w:t>
      </w:r>
    </w:p>
    <w:p w:rsidR="00000000" w:rsidDel="00000000" w:rsidP="00000000" w:rsidRDefault="00000000" w:rsidRPr="00000000" w14:paraId="00000033">
      <w:pPr>
        <w:pBdr>
          <w:bottom w:color="2db87f" w:space="1" w:sz="4" w:val="single"/>
        </w:pBdr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80" w:before="360" w:line="240" w:lineRule="auto"/>
        <w:rPr/>
      </w:pPr>
      <w:r w:rsidDel="00000000" w:rsidR="00000000" w:rsidRPr="00000000">
        <w:rPr>
          <w:b w:val="1"/>
          <w:bCs w:val="1"/>
          <w:color w:val="557170"/>
          <w:sz w:val="26"/>
          <w:szCs w:val="26"/>
          <w:rtl w:val="0"/>
        </w:rPr>
        <w:t xml:space="preserve">What this means for Swell’s investment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Phase 1 costs $20,000. Phase 2 is estimated at $120,000–$180,000. The total investment of $140,000–$200,000 is less than three months of the conservative quantifiable waste — before accounting for capacity upside or exit valuation impact.</w:t>
      </w:r>
    </w:p>
    <w:p w:rsidR="00000000" w:rsidDel="00000000" w:rsidP="00000000" w:rsidRDefault="00000000" w:rsidRPr="00000000" w14:paraId="00000036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31edae" w:space="8" w:sz="12" w:val="single"/>
        </w:pBdr>
        <w:spacing w:after="160" w:before="160" w:line="276" w:lineRule="auto"/>
        <w:ind w:left="180" w:firstLine="0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The question isn’t whether BlueWave can afford to build Swell. It’s whether BlueWave can afford another year of the current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2db87f" w:space="1" w:sz="4" w:val="single"/>
        </w:pBdr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557170"/>
          <w:sz w:val="20"/>
          <w:szCs w:val="20"/>
          <w:rtl w:val="0"/>
        </w:rPr>
        <w:t xml:space="preserve">This document is part of the Swell engagement proposal prepared by Mirror Factory for BlueWave Resource Partners.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right" w:leader="none" w:pos="9270"/>
      </w:tabs>
      <w:spacing w:line="240" w:lineRule="auto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BlueWave × Mirror Factory  |  Swell AI</w:t>
      <w:tab/>
      <w:t xml:space="preserve">Page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-895984</wp:posOffset>
          </wp:positionH>
          <wp:positionV relativeFrom="paragraph">
            <wp:posOffset>0</wp:posOffset>
          </wp:positionV>
          <wp:extent cx="7799832" cy="804672"/>
          <wp:effectExtent b="0" l="0" r="0" t="0"/>
          <wp:wrapNone/>
          <wp:docPr descr="The image displays a striking black and green diagonal stripe pattern." id="3" name="image3.png"/>
          <a:graphic>
            <a:graphicData uri="http://schemas.openxmlformats.org/drawingml/2006/picture">
              <pic:pic>
                <pic:nvPicPr>
                  <pic:cNvPr descr="The image displays a striking black and green diagonal stripe pattern.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9832" cy="80467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-914398</wp:posOffset>
          </wp:positionH>
          <wp:positionV relativeFrom="margin">
            <wp:posOffset>-914398</wp:posOffset>
          </wp:positionV>
          <wp:extent cx="7791490" cy="810006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90" cy="8100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-919160</wp:posOffset>
              </wp:positionH>
              <wp:positionV relativeFrom="margin">
                <wp:posOffset>-919160</wp:posOffset>
              </wp:positionV>
              <wp:extent cx="7781925" cy="1009173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55300" y="1516350"/>
                        <a:ext cx="7781400" cy="4527300"/>
                      </a:xfrm>
                      <a:prstGeom prst="rect">
                        <a:avLst/>
                      </a:prstGeom>
                      <a:solidFill>
                        <a:srgbClr val="557170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-919160</wp:posOffset>
              </wp:positionH>
              <wp:positionV relativeFrom="margin">
                <wp:posOffset>-919160</wp:posOffset>
              </wp:positionV>
              <wp:extent cx="7781925" cy="10091738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100917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5b5TbENeJt43cUlivPC75FSeYA==">CgMxLjA4AHIhMWJJQlRrZG0zUm9xRUdoZ0VLamxOVjR4elFtbV9iT1FJ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9749c891-ff1c-4d96-81ee-5c487b173968</vt:lpwstr>
  </property>
</Properties>
</file>