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Discovery Meeting Call Guide  —  March 31, 2026  —  In-Person @ Ivanhoe Village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4444" w:space="1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MEETING FLOW  —  TARGET 60–90 MIN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6512"/>
        <w:tblGridChange w:id="0">
          <w:tblGrid>
            <w:gridCol w:w="1200"/>
            <w:gridCol w:w="2800"/>
            <w:gridCol w:w="6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0e0e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0e0e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0e0e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Warm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Personal catch-up. Let Charlie set context. Acknowledge the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BlueWave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How the business runs now. Org structure, call flow, pain points. Let him talk.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The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What does Charlie want to build? Ideal state in his own words. Build vs. buy thinking. Exit strategy angle.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Systems &amp;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Bullhorn, RingCentral, anything else? Who manages them? Existing automations? Data quality?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Scope &amp; 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What to build first? Internal tool vs. product? Call triage vs. other channels?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Timeline &amp;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Target timeline for v1? Who approves? Budget allocated or exploratory?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sdt>
              <w:sdtPr>
                <w:id w:val="-6606998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15"/>
                    <w:szCs w:val="15"/>
                    <w:rtl w:val="0"/>
                  </w:rPr>
                  <w:t xml:space="preserve">Summarize. Flag gaps. Explain our process: intake → ROM. Set follow-up timeline.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444444" w:space="1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DISCOVERY QUESTIONS  —  AIM FOR 10–12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5"/>
          <w:szCs w:val="15"/>
          <w:rtl w:val="0"/>
        </w:rPr>
        <w:t xml:space="preserve">Glance, don’t read. Follow the conversation. Check off as answered.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6532"/>
        <w:gridCol w:w="2300"/>
        <w:gridCol w:w="1200"/>
        <w:tblGridChange w:id="0">
          <w:tblGrid>
            <w:gridCol w:w="480"/>
            <w:gridCol w:w="6532"/>
            <w:gridCol w:w="23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SIGNAL TO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44444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ABOUT THE OUTCOME  (ask at least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When this AI system is working, what does a typical day look like for your team vs.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Operational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Is this tool something you’d license to other staffing firms, or purely internal to BlueWave?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Product vs. internal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What metrics would tell you this investment paid off? Placement speed, call resolution, recruiter hours saved?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Value in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If call triage works perfectly, what does it unlock next? Website, shared inbox, bigger product vision?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Full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44444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ABOUT THE URGENCY  (ask at least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What’s driving the timing? Is the exit timeline creating the deadline, or is there an operational pain getting worse?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Strategic vs.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Walk me through what happens when someone calls (407) 986-5777 right now.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Current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Has call volume or complexity grown recently? What changed?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Scaling vs.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44444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ABOUT THE COST OF INACTION  (ask at least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What does it cost BlueWave when a call gets misrouted, or a candidate checks interview status and nobody has an answer?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Pain in dollars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How many calls/week come into the main number? How many get handled well vs. dropped?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Volume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44444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ABOUT THE CLIENT’S SITUATION  (ask at least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Who’s the day-to-day point of contact and decision-maker? Is that Laura, or someone else?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Real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What’s the full tech stack beyond Bullhorn and RingCentral?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Hidden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Does your team have technical staff — someone managing Bullhorn config or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Hand-holding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Have you worked with a dev shop or agency on custom software before?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Engagement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Who else weighs in on budget and scope — Michael, Laura, full leadership?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Decision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20"/>
                <w:szCs w:val="20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444444" w:space="1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SIGNALS TO WATCH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sdt>
              <w:sdtPr>
                <w:id w:val="142896499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d32"/>
                    <w:sz w:val="16"/>
                    <w:szCs w:val="16"/>
                    <w:rtl w:val="0"/>
                  </w:rPr>
                  <w:t xml:space="preserve">✅  GREEN FLAGS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Charlie articulates outcome in concrete terms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Real external timeline driver (exit in ~2 years)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Budget capacity exists (~$40M firm, exit-motivated)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Decision-maker in the room with strategic motivation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Aligns with MF core: voice AI, LLM, API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6"/>
                <w:szCs w:val="16"/>
                <w:rtl w:val="0"/>
              </w:rPr>
              <w:t xml:space="preserve">⚠️  YELLOW FLAGS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Already decided what to build, just wants a 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Scope expands with every question asked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Laura/execs seem resistant or uninformed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Expects full product in 6 months (timeline mismatch)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• “Build us a SaaS product” = very different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bottom w:color="444444" w:space="1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COMPETITIVE QUICK REFERENCE  —  KNOW BEFORE YOU GO</w:t>
      </w: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356"/>
        <w:gridCol w:w="3756"/>
        <w:tblGridChange w:id="0">
          <w:tblGrid>
            <w:gridCol w:w="2400"/>
            <w:gridCol w:w="4356"/>
            <w:gridCol w:w="37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WHY IT’S NOT ENOUGH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5"/>
                <w:szCs w:val="15"/>
                <w:rtl w:val="0"/>
              </w:rPr>
              <w:t xml:space="preserve">Bullhorn Amplify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AI matching, summaries, outreach drafting inside Bullhorn. 51% more submissions.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No voice AI, no call handling, no inbound triage. Recruiter productivity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5"/>
                <w:szCs w:val="15"/>
                <w:rtl w:val="0"/>
              </w:rPr>
              <w:t xml:space="preserve">RingCentral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24/7 AI call answering, intent routing, lead capture, SMS follow-up. OpenAI-powered.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No Bullhorn integration. Data locked inside RC. Can’t export via API. No IP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5"/>
                <w:szCs w:val="15"/>
                <w:rtl w:val="0"/>
              </w:rPr>
              <w:t xml:space="preserve">Tenzo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AI interviewing with deep Bullhorn integration. Writes scores/notes to candidate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Outbound screening only. Not inbound call triage. Doesn’t handle clients/employees/contractors.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5"/>
                <w:szCs w:val="15"/>
                <w:rtl w:val="0"/>
              </w:rPr>
              <w:t xml:space="preserve">Whippy / Brilo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AI candidate engagement, pre-screening, SMS. Bullhorn integrations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Point solutions for candidate pipeline. Not unified multi-caller-type triage.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6"/>
          <w:szCs w:val="16"/>
          <w:rtl w:val="0"/>
        </w:rPr>
        <w:t xml:space="preserve">The gap: </w:t>
      </w:r>
      <w:r w:rsidDel="00000000" w:rsidR="00000000" w:rsidRPr="00000000">
        <w:rPr>
          <w:rFonts w:ascii="Arial" w:cs="Arial" w:eastAsia="Arial" w:hAnsi="Arial"/>
          <w:color w:val="333333"/>
          <w:sz w:val="16"/>
          <w:szCs w:val="16"/>
          <w:rtl w:val="0"/>
        </w:rPr>
        <w:t xml:space="preserve">No existing product handles inbound triage across clients, employees, contractors, AND candidates through a single system that writes back to Bullhorn. That’s the custom build lane.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444444" w:space="1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DATA POINTS TO CAPTURE  —  WRITE ANSWERS IN THE MEETING</w:t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6312"/>
        <w:tblGridChange w:id="0">
          <w:tblGrid>
            <w:gridCol w:w="4200"/>
            <w:gridCol w:w="63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2222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Desired outcome (Charlie’s own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Value of outcome ($ terms, even rough)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Urgency driver (exit, operational, or both)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Cost of inaction (monthly cost of status quo)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Call volume (calls/day or week to main 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Current call process (who answers, what breaks)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Internal tool vs. licensable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Full tech stack (beyond Bullhorn + 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Technical staff on their side?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Budget range or capacity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Decision-making structure / who approves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5"/>
                <w:szCs w:val="15"/>
                <w:rtl w:val="0"/>
              </w:rPr>
              <w:t xml:space="preserve">Timeline expectation for first working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Bdr>
          <w:bottom w:color="444444" w:space="1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BEFORE YOU LEAVE THE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" w:before="40" w:lineRule="auto"/>
        <w:rPr>
          <w:rFonts w:ascii="Arial" w:cs="Arial" w:eastAsia="Arial" w:hAnsi="Arial"/>
          <w:color w:val="33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333333"/>
          <w:sz w:val="16"/>
          <w:szCs w:val="16"/>
          <w:rtl w:val="0"/>
        </w:rPr>
        <w:t xml:space="preserve">Summarize what you heard back to Charlie. </w:t>
      </w:r>
    </w:p>
    <w:p w:rsidR="00000000" w:rsidDel="00000000" w:rsidP="00000000" w:rsidRDefault="00000000" w:rsidRPr="00000000" w14:paraId="000000A6">
      <w:pPr>
        <w:spacing w:after="20" w:before="40" w:lineRule="auto"/>
        <w:rPr>
          <w:rFonts w:ascii="Arial" w:cs="Arial" w:eastAsia="Arial" w:hAnsi="Arial"/>
          <w:color w:val="33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6"/>
          <w:szCs w:val="1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333333"/>
          <w:sz w:val="16"/>
          <w:szCs w:val="16"/>
          <w:rtl w:val="0"/>
        </w:rPr>
        <w:t xml:space="preserve">Flag any gaps needing a second discovery session (especially if ops team wasn’t present). </w:t>
      </w:r>
    </w:p>
    <w:p w:rsidR="00000000" w:rsidDel="00000000" w:rsidP="00000000" w:rsidRDefault="00000000" w:rsidRPr="00000000" w14:paraId="000000A7">
      <w:pPr>
        <w:spacing w:after="20" w:before="40" w:lineRule="auto"/>
        <w:rPr>
          <w:rFonts w:ascii="Arial" w:cs="Arial" w:eastAsia="Arial" w:hAnsi="Arial"/>
          <w:color w:val="33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6"/>
          <w:szCs w:val="1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333333"/>
          <w:sz w:val="16"/>
          <w:szCs w:val="16"/>
          <w:rtl w:val="0"/>
        </w:rPr>
        <w:t xml:space="preserve">Set the expectation: “We’ll come back with a rough scope and estimate within [X] days.” </w:t>
      </w:r>
    </w:p>
    <w:p w:rsidR="00000000" w:rsidDel="00000000" w:rsidP="00000000" w:rsidRDefault="00000000" w:rsidRPr="00000000" w14:paraId="000000A8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6"/>
          <w:szCs w:val="1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333333"/>
          <w:sz w:val="16"/>
          <w:szCs w:val="16"/>
          <w:rtl w:val="0"/>
        </w:rPr>
        <w:t xml:space="preserve">Debrief as a team immediately after (parking lot is fine).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6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color="aaaaaa" w:space="4" w:sz="4" w:val="single"/>
      </w:pBdr>
      <w:tabs>
        <w:tab w:val="right" w:leader="none" w:pos="9026"/>
      </w:tabs>
      <w:spacing w:before="0" w:lineRule="auto"/>
      <w:rPr/>
    </w:pPr>
    <w:r w:rsidDel="00000000" w:rsidR="00000000" w:rsidRPr="00000000">
      <w:rPr>
        <w:rFonts w:ascii="Arial" w:cs="Arial" w:eastAsia="Arial" w:hAnsi="Arial"/>
        <w:color w:val="999999"/>
        <w:sz w:val="14"/>
        <w:szCs w:val="14"/>
        <w:rtl w:val="0"/>
      </w:rPr>
      <w:t xml:space="preserve">INTERNAL — DO NOT DISTRIBUTEMarch 31, 2026  |  Page </w:t>
    </w:r>
    <w:r w:rsidDel="00000000" w:rsidR="00000000" w:rsidRPr="00000000"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4"/>
        <w:szCs w:val="14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bottom w:color="444444" w:space="4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22222"/>
        <w:sz w:val="16"/>
        <w:szCs w:val="16"/>
        <w:rtl w:val="0"/>
      </w:rPr>
      <w:t xml:space="preserve">MIRROR FACTORY</w:t>
      <w:tab/>
    </w:r>
    <w:r w:rsidDel="00000000" w:rsidR="00000000" w:rsidRPr="00000000">
      <w:rPr>
        <w:b w:val="1"/>
        <w:bCs w:val="1"/>
        <w:color w:val="222222"/>
        <w:sz w:val="16"/>
        <w:szCs w:val="16"/>
        <w:rtl w:val="0"/>
      </w:rPr>
      <w:t xml:space="preserve">           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BlueWave Discovery — Call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/Nih5bW+qbQ6oBzG0OJvY+kqw==">CgMxLjAaJAoBMBIfCh0IB0IZCgVBcmlhbBIQQXJpYWwgVW5pY29kZSBNUxokCgExEh8KHQgHQhkKBUFyaWFsEhBBcmlhbCBVbmljb2RlIE1TOAByITF5cUxVV2tuLWZodF80T3dkWkpLdjF0SkhpVGZZMjVZOQ==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2026-03-31T14:56:12.112Z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