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rPr/>
      </w:pPr>
      <w:r w:rsidDel="00000000" w:rsidR="00000000" w:rsidRPr="00000000">
        <w:rPr>
          <w:b w:val="1"/>
          <w:bCs w:val="1"/>
          <w:color w:val="1a1a1a"/>
          <w:sz w:val="36"/>
          <w:szCs w:val="36"/>
          <w:rtl w:val="0"/>
        </w:rPr>
        <w:t xml:space="preserve">Frequently asked questions</w:t>
      </w:r>
      <w:r w:rsidDel="00000000" w:rsidR="00000000" w:rsidRPr="00000000">
        <w:rPr>
          <w:rtl w:val="0"/>
        </w:rPr>
      </w:r>
    </w:p>
    <w:p w:rsidR="00000000" w:rsidDel="00000000" w:rsidP="00000000" w:rsidRDefault="00000000" w:rsidRPr="00000000" w14:paraId="00000002">
      <w:pPr>
        <w:spacing w:after="200" w:line="240" w:lineRule="auto"/>
        <w:rPr/>
      </w:pPr>
      <w:r w:rsidDel="00000000" w:rsidR="00000000" w:rsidRPr="00000000">
        <w:rPr>
          <w:color w:val="31edae"/>
          <w:sz w:val="22"/>
          <w:szCs w:val="22"/>
          <w:rtl w:val="0"/>
        </w:rPr>
        <w:t xml:space="preserve">Common questions about Swell from the BlueWave leadership team</w:t>
      </w:r>
      <w:r w:rsidDel="00000000" w:rsidR="00000000" w:rsidRPr="00000000">
        <w:rPr>
          <w:rtl w:val="0"/>
        </w:rPr>
      </w:r>
    </w:p>
    <w:p w:rsidR="00000000" w:rsidDel="00000000" w:rsidP="00000000" w:rsidRDefault="00000000" w:rsidRPr="00000000" w14:paraId="00000003">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04">
      <w:pPr>
        <w:spacing w:after="180" w:before="360" w:line="240" w:lineRule="auto"/>
        <w:rPr/>
      </w:pPr>
      <w:r w:rsidDel="00000000" w:rsidR="00000000" w:rsidRPr="00000000">
        <w:rPr>
          <w:b w:val="1"/>
          <w:bCs w:val="1"/>
          <w:color w:val="557170"/>
          <w:sz w:val="26"/>
          <w:szCs w:val="26"/>
          <w:rtl w:val="0"/>
        </w:rPr>
        <w:t xml:space="preserve">Operations and daily workflow</w:t>
      </w:r>
      <w:r w:rsidDel="00000000" w:rsidR="00000000" w:rsidRPr="00000000">
        <w:rPr>
          <w:rtl w:val="0"/>
        </w:rPr>
      </w:r>
    </w:p>
    <w:p w:rsidR="00000000" w:rsidDel="00000000" w:rsidP="00000000" w:rsidRDefault="00000000" w:rsidRPr="00000000" w14:paraId="00000005">
      <w:pPr>
        <w:spacing w:after="80" w:before="240" w:line="276" w:lineRule="auto"/>
        <w:rPr/>
      </w:pPr>
      <w:r w:rsidDel="00000000" w:rsidR="00000000" w:rsidRPr="00000000">
        <w:rPr>
          <w:b w:val="1"/>
          <w:bCs w:val="1"/>
          <w:color w:val="1a1a1a"/>
          <w:rtl w:val="0"/>
        </w:rPr>
        <w:t xml:space="preserve">Will Swell replace our recruiters?</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tl w:val="0"/>
        </w:rPr>
        <w:t xml:space="preserve">No. Swell is designed to make recruiters more productive, not to replace them. Charlie said it clearly during discovery: the goal is getting humans talking to the right people faster. Swell handles the work that doesn’t require human judgment — sorting through databases, answering password reset calls, routing inquiries to the right department. Your recruiters still do what they’re best at: building relationships, assessing cultural fit, and closing placements. Think of Swell as adding capacity without adding headcount.</w:t>
      </w:r>
    </w:p>
    <w:p w:rsidR="00000000" w:rsidDel="00000000" w:rsidP="00000000" w:rsidRDefault="00000000" w:rsidRPr="00000000" w14:paraId="00000007">
      <w:pPr>
        <w:spacing w:after="80" w:before="240" w:line="276" w:lineRule="auto"/>
        <w:rPr/>
      </w:pPr>
      <w:r w:rsidDel="00000000" w:rsidR="00000000" w:rsidRPr="00000000">
        <w:rPr>
          <w:b w:val="1"/>
          <w:bCs w:val="1"/>
          <w:color w:val="1a1a1a"/>
          <w:rtl w:val="0"/>
        </w:rPr>
        <w:t xml:space="preserve">What happens to our current phone workflow?</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tl w:val="0"/>
        </w:rPr>
        <w:t xml:space="preserve">Calls to BlueWave’s main number will be answered by Swell’s AI receptionist instead of a person. The receptionist determines what the caller needs and routes them accordingly — sales inquiries go to the sales team, admin questions get handled or routed to the right person, and candidate calls are either answered directly (status checks) or transitioned to the AI recruiter for pre-screening. If a caller asks to speak to a human at any point, the system transfers them immediately with full context. Nothing is forced through the AI — it’s a first layer, not a wall.</w:t>
      </w:r>
    </w:p>
    <w:p w:rsidR="00000000" w:rsidDel="00000000" w:rsidP="00000000" w:rsidRDefault="00000000" w:rsidRPr="00000000" w14:paraId="00000009">
      <w:pPr>
        <w:spacing w:after="80" w:before="240" w:line="276" w:lineRule="auto"/>
        <w:rPr/>
      </w:pPr>
      <w:r w:rsidDel="00000000" w:rsidR="00000000" w:rsidRPr="00000000">
        <w:rPr>
          <w:b w:val="1"/>
          <w:bCs w:val="1"/>
          <w:color w:val="1a1a1a"/>
          <w:rtl w:val="0"/>
        </w:rPr>
        <w:t xml:space="preserve">How will the team know what Swell handled?</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tl w:val="0"/>
        </w:rPr>
        <w:t xml:space="preserve">Every call generates a ticket with a contextual summary. These summaries are delivered to the right person in the right channel — text, Slack, or email — based on your existing communication preferences. Charlie gets escalation context. Recruiters get candidate-fit summaries. Admin gets resolution details. There’s also a weekly audit log where the team reviews what Swell handled, flags anything that looks wrong, and provides corrections that improve the system over time.</w:t>
      </w:r>
    </w:p>
    <w:p w:rsidR="00000000" w:rsidDel="00000000" w:rsidP="00000000" w:rsidRDefault="00000000" w:rsidRPr="00000000" w14:paraId="0000000B">
      <w:pPr>
        <w:spacing w:after="80" w:before="240" w:line="276" w:lineRule="auto"/>
        <w:rPr/>
      </w:pPr>
      <w:r w:rsidDel="00000000" w:rsidR="00000000" w:rsidRPr="00000000">
        <w:rPr>
          <w:b w:val="1"/>
          <w:bCs w:val="1"/>
          <w:color w:val="1a1a1a"/>
          <w:rtl w:val="0"/>
        </w:rPr>
        <w:t xml:space="preserve">Will Swell change how we use Bullhorn?</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tl w:val="0"/>
        </w:rPr>
        <w:t xml:space="preserve">No. Bullhorn stays your system of record. Swell reads from and writes to Bullhorn — candidate records, tear sheets, job requisitions, call transcripts, and evaluation data. Your recruiters will find new information in Bullhorn (screening results, call summaries, candidate evaluations) but they won’t need to learn a new system or change how they work day to day.</w:t>
      </w:r>
    </w:p>
    <w:p w:rsidR="00000000" w:rsidDel="00000000" w:rsidP="00000000" w:rsidRDefault="00000000" w:rsidRPr="00000000" w14:paraId="0000000D">
      <w:pPr>
        <w:spacing w:after="80" w:before="240" w:line="276" w:lineRule="auto"/>
        <w:rPr/>
      </w:pPr>
      <w:r w:rsidDel="00000000" w:rsidR="00000000" w:rsidRPr="00000000">
        <w:rPr>
          <w:b w:val="1"/>
          <w:bCs w:val="1"/>
          <w:color w:val="1a1a1a"/>
          <w:rtl w:val="0"/>
        </w:rPr>
        <w:t xml:space="preserve">What about our admin processes — ADP questions, benefits calls, status checks?</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tl w:val="0"/>
        </w:rPr>
        <w:t xml:space="preserve">Swell handles these. When someone calls about an ADP password reset or a benefits question, the AI receptionist either resolves it directly (using a knowledge base you provide) or routes it to the right admin person with context. The goal is to stop these calls from interrupting recruiters.</w:t>
      </w:r>
    </w:p>
    <w:p w:rsidR="00000000" w:rsidDel="00000000" w:rsidP="00000000" w:rsidRDefault="00000000" w:rsidRPr="00000000" w14:paraId="0000000F">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10">
      <w:pPr>
        <w:spacing w:after="180" w:before="360" w:line="240" w:lineRule="auto"/>
        <w:rPr/>
      </w:pPr>
      <w:r w:rsidDel="00000000" w:rsidR="00000000" w:rsidRPr="00000000">
        <w:rPr>
          <w:b w:val="1"/>
          <w:bCs w:val="1"/>
          <w:color w:val="557170"/>
          <w:sz w:val="26"/>
          <w:szCs w:val="26"/>
          <w:rtl w:val="0"/>
        </w:rPr>
        <w:t xml:space="preserve">Technical and integration</w:t>
      </w:r>
      <w:r w:rsidDel="00000000" w:rsidR="00000000" w:rsidRPr="00000000">
        <w:rPr>
          <w:rtl w:val="0"/>
        </w:rPr>
      </w:r>
    </w:p>
    <w:p w:rsidR="00000000" w:rsidDel="00000000" w:rsidP="00000000" w:rsidRDefault="00000000" w:rsidRPr="00000000" w14:paraId="00000011">
      <w:pPr>
        <w:spacing w:after="80" w:before="240" w:line="276" w:lineRule="auto"/>
        <w:rPr/>
      </w:pPr>
      <w:r w:rsidDel="00000000" w:rsidR="00000000" w:rsidRPr="00000000">
        <w:rPr>
          <w:b w:val="1"/>
          <w:bCs w:val="1"/>
          <w:color w:val="1a1a1a"/>
          <w:rtl w:val="0"/>
        </w:rPr>
        <w:t xml:space="preserve">Does BlueWave need an IT team to maintain this?</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tl w:val="0"/>
        </w:rPr>
        <w:t xml:space="preserve">No. BlueWave has no engineering staff and the system is designed with that in mind. The audit interface is CMS-level simple — think WordPress, not a developer console. Routine operations like reviewing agent decisions, flagging errors, and adjusting routing rules don’t require technical skills. Mirror Factory provides ongoing support for anything more complex.</w:t>
      </w:r>
    </w:p>
    <w:p w:rsidR="00000000" w:rsidDel="00000000" w:rsidP="00000000" w:rsidRDefault="00000000" w:rsidRPr="00000000" w14:paraId="00000013">
      <w:pPr>
        <w:spacing w:after="80" w:before="240" w:line="276" w:lineRule="auto"/>
        <w:rPr/>
      </w:pPr>
      <w:r w:rsidDel="00000000" w:rsidR="00000000" w:rsidRPr="00000000">
        <w:rPr>
          <w:b w:val="1"/>
          <w:bCs w:val="1"/>
          <w:color w:val="1a1a1a"/>
          <w:rtl w:val="0"/>
        </w:rPr>
        <w:t xml:space="preserve">How does Swell connect to our existing systems?</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tl w:val="0"/>
        </w:rPr>
        <w:t xml:space="preserve">Swell integrates with three systems you already use: Bullhorn (your ATS/CRM — this is the core integration), RingCentral (your phone system — calls route through here), and Slack (for internal notifications). No new software needs to be installed on anyone’s computer. The system runs in the cloud and connects to your existing tools through their APIs.</w:t>
      </w:r>
    </w:p>
    <w:p w:rsidR="00000000" w:rsidDel="00000000" w:rsidP="00000000" w:rsidRDefault="00000000" w:rsidRPr="00000000" w14:paraId="00000015">
      <w:pPr>
        <w:spacing w:after="80" w:before="240" w:line="276" w:lineRule="auto"/>
        <w:rPr/>
      </w:pPr>
      <w:r w:rsidDel="00000000" w:rsidR="00000000" w:rsidRPr="00000000">
        <w:rPr>
          <w:b w:val="1"/>
          <w:bCs w:val="1"/>
          <w:color w:val="1a1a1a"/>
          <w:rtl w:val="0"/>
        </w:rPr>
        <w:t xml:space="preserve">Is our data safe? Where does it go?</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tl w:val="0"/>
        </w:rPr>
        <w:t xml:space="preserve">This is a closed-loop deployment. Your candidate data, call recordings, and business information stay within the system — no external data exposure. BlueWave owns all data processed through Swell. Mirror Factory has no data retention rights beyond what’s needed for active development and support. The specific deployment model (cloud vs. local vs. hybrid) will be finalized during Phase 1, with data privacy as a hard requirement.</w:t>
      </w:r>
    </w:p>
    <w:p w:rsidR="00000000" w:rsidDel="00000000" w:rsidP="00000000" w:rsidRDefault="00000000" w:rsidRPr="00000000" w14:paraId="00000017">
      <w:pPr>
        <w:spacing w:after="80" w:before="240" w:line="276" w:lineRule="auto"/>
        <w:rPr/>
      </w:pPr>
      <w:r w:rsidDel="00000000" w:rsidR="00000000" w:rsidRPr="00000000">
        <w:rPr>
          <w:b w:val="1"/>
          <w:bCs w:val="1"/>
          <w:color w:val="1a1a1a"/>
          <w:rtl w:val="0"/>
        </w:rPr>
        <w:t xml:space="preserve">What if the AI makes a mistake on a call?</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tl w:val="0"/>
        </w:rPr>
        <w:t xml:space="preserve">The system is designed to start cautiously and expand gradually. During the pilot, Swell begins with low-stakes call types — admin routing, status checks — before handling candidate screening. When the AI encounters something it’s not confident about, it transfers to a human with full context rather than guessing. Every decision is logged and auditable. The weekly review process lets your team catch errors, provide corrections, and improve the system. The AI gets better over time based on your team’s feedback.</w:t>
      </w:r>
    </w:p>
    <w:p w:rsidR="00000000" w:rsidDel="00000000" w:rsidP="00000000" w:rsidRDefault="00000000" w:rsidRPr="00000000" w14:paraId="00000019">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1A">
      <w:pPr>
        <w:spacing w:after="180" w:before="360" w:line="240" w:lineRule="auto"/>
        <w:rPr/>
      </w:pPr>
      <w:r w:rsidDel="00000000" w:rsidR="00000000" w:rsidRPr="00000000">
        <w:rPr>
          <w:b w:val="1"/>
          <w:bCs w:val="1"/>
          <w:color w:val="557170"/>
          <w:sz w:val="26"/>
          <w:szCs w:val="26"/>
          <w:rtl w:val="0"/>
        </w:rPr>
        <w:t xml:space="preserve">Budget and investment</w:t>
      </w:r>
      <w:r w:rsidDel="00000000" w:rsidR="00000000" w:rsidRPr="00000000">
        <w:rPr>
          <w:rtl w:val="0"/>
        </w:rPr>
      </w:r>
    </w:p>
    <w:p w:rsidR="00000000" w:rsidDel="00000000" w:rsidP="00000000" w:rsidRDefault="00000000" w:rsidRPr="00000000" w14:paraId="0000001B">
      <w:pPr>
        <w:spacing w:after="80" w:before="240" w:line="276" w:lineRule="auto"/>
        <w:rPr/>
      </w:pPr>
      <w:r w:rsidDel="00000000" w:rsidR="00000000" w:rsidRPr="00000000">
        <w:rPr>
          <w:b w:val="1"/>
          <w:bCs w:val="1"/>
          <w:color w:val="1a1a1a"/>
          <w:rtl w:val="0"/>
        </w:rPr>
        <w:t xml:space="preserve">What does this cost?</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tl w:val="0"/>
        </w:rPr>
        <w:t xml:space="preserve">Phase 1 (Design and Development) is $20,000 fixed — this covers 4–6 weeks of design, prototyping, and building the MVP focused on inbound triage. Phase 2 (Pilot, continued development, and consulting) is estimated at $120,000–$180,000 over approximately 90 days. The total investment is $140,000–$200,000 for a working, validated system.</w:t>
      </w:r>
    </w:p>
    <w:p w:rsidR="00000000" w:rsidDel="00000000" w:rsidP="00000000" w:rsidRDefault="00000000" w:rsidRPr="00000000" w14:paraId="0000001D">
      <w:pPr>
        <w:spacing w:after="80" w:before="240" w:line="276" w:lineRule="auto"/>
        <w:rPr/>
      </w:pPr>
      <w:r w:rsidDel="00000000" w:rsidR="00000000" w:rsidRPr="00000000">
        <w:rPr>
          <w:b w:val="1"/>
          <w:bCs w:val="1"/>
          <w:color w:val="1a1a1a"/>
          <w:rtl w:val="0"/>
        </w:rPr>
        <w:t xml:space="preserve">How does this compare to subscribing to an off-the-shelf tool?</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tl w:val="0"/>
        </w:rPr>
        <w:t xml:space="preserve">Enterprise AI staffing platforms typically cost $120,000–$360,000+ per year in subscription fees — and that cost recurs every year with no IP ownership. Swell’s total investment reaches cost parity with SaaS alternatives within two years while creating a proprietary software asset BlueWave owns outright. The subscription tools also can’t be customized to BlueWave’s specific workflows, and the capability disappears if you cancel.</w:t>
      </w:r>
    </w:p>
    <w:p w:rsidR="00000000" w:rsidDel="00000000" w:rsidP="00000000" w:rsidRDefault="00000000" w:rsidRPr="00000000" w14:paraId="0000001F">
      <w:pPr>
        <w:spacing w:after="80" w:before="240" w:line="276" w:lineRule="auto"/>
        <w:rPr/>
      </w:pPr>
      <w:r w:rsidDel="00000000" w:rsidR="00000000" w:rsidRPr="00000000">
        <w:rPr>
          <w:b w:val="1"/>
          <w:bCs w:val="1"/>
          <w:color w:val="1a1a1a"/>
          <w:rtl w:val="0"/>
        </w:rPr>
        <w:t xml:space="preserve">When does BlueWave start seeing value?</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tl w:val="0"/>
        </w:rPr>
        <w:t xml:space="preserve">Phase 1 delivers a working prototype in 4–6 weeks that your team can evaluate hands-on. The pilot (Phase 2) runs for approximately 90 days with the system handling real calls internally. You’ll see measurable impact — calls handled, time saved, screening results — during the pilot, not after it. Each phase has explicit success criteria and a go/no-go decision point, so you’re never committing to the next phase without evidence that the current one worked.</w:t>
      </w:r>
    </w:p>
    <w:p w:rsidR="00000000" w:rsidDel="00000000" w:rsidP="00000000" w:rsidRDefault="00000000" w:rsidRPr="00000000" w14:paraId="00000021">
      <w:pPr>
        <w:spacing w:after="80" w:before="240" w:line="276" w:lineRule="auto"/>
        <w:rPr/>
      </w:pPr>
      <w:r w:rsidDel="00000000" w:rsidR="00000000" w:rsidRPr="00000000">
        <w:rPr>
          <w:b w:val="1"/>
          <w:bCs w:val="1"/>
          <w:color w:val="1a1a1a"/>
          <w:rtl w:val="0"/>
        </w:rPr>
        <w:t xml:space="preserve">What’s the ongoing cost after the build?</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tl w:val="0"/>
        </w:rPr>
        <w:t xml:space="preserve">Mirror Factory provides support through a service agreement. The specifics will be defined during Phase 1, but the model is lightweight — CMS-like self-service for routine operations, with Mirror Factory handling complex changes and system improvements. This is significantly less than the initial build cost.</w:t>
      </w:r>
    </w:p>
    <w:p w:rsidR="00000000" w:rsidDel="00000000" w:rsidP="00000000" w:rsidRDefault="00000000" w:rsidRPr="00000000" w14:paraId="00000023">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24">
      <w:pPr>
        <w:spacing w:after="180" w:before="360" w:line="240" w:lineRule="auto"/>
        <w:rPr/>
      </w:pPr>
      <w:r w:rsidDel="00000000" w:rsidR="00000000" w:rsidRPr="00000000">
        <w:rPr>
          <w:b w:val="1"/>
          <w:bCs w:val="1"/>
          <w:color w:val="557170"/>
          <w:sz w:val="26"/>
          <w:szCs w:val="26"/>
          <w:rtl w:val="0"/>
        </w:rPr>
        <w:t xml:space="preserve">Strategy and ownership</w:t>
      </w:r>
      <w:r w:rsidDel="00000000" w:rsidR="00000000" w:rsidRPr="00000000">
        <w:rPr>
          <w:rtl w:val="0"/>
        </w:rPr>
      </w:r>
    </w:p>
    <w:p w:rsidR="00000000" w:rsidDel="00000000" w:rsidP="00000000" w:rsidRDefault="00000000" w:rsidRPr="00000000" w14:paraId="00000025">
      <w:pPr>
        <w:spacing w:after="80" w:before="240" w:line="276" w:lineRule="auto"/>
        <w:rPr/>
      </w:pPr>
      <w:r w:rsidDel="00000000" w:rsidR="00000000" w:rsidRPr="00000000">
        <w:rPr>
          <w:b w:val="1"/>
          <w:bCs w:val="1"/>
          <w:color w:val="1a1a1a"/>
          <w:rtl w:val="0"/>
        </w:rPr>
        <w:t xml:space="preserve">Who owns the software?</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tl w:val="0"/>
        </w:rPr>
        <w:t xml:space="preserve">BlueWave owns all custom-built software outright — the call routing logic, ticketing system, screening rubrics, Bullhorn and RingCentral integrations, and the messaging bus. Full source code, full documentation, no lock-in. Mirror Factory retains ownership of Layers (our reusable platform infrastructure), which BlueWave receives a perpetual, irrevocable license to use. BlueWave can operate Swell independently of Mirror Factory at any time.</w:t>
      </w:r>
    </w:p>
    <w:p w:rsidR="00000000" w:rsidDel="00000000" w:rsidP="00000000" w:rsidRDefault="00000000" w:rsidRPr="00000000" w14:paraId="00000027">
      <w:pPr>
        <w:spacing w:after="80" w:before="240" w:line="276" w:lineRule="auto"/>
        <w:rPr/>
      </w:pPr>
      <w:r w:rsidDel="00000000" w:rsidR="00000000" w:rsidRPr="00000000">
        <w:rPr>
          <w:b w:val="1"/>
          <w:bCs w:val="1"/>
          <w:color w:val="1a1a1a"/>
          <w:rtl w:val="0"/>
        </w:rPr>
        <w:t xml:space="preserve">Why build instead of buying an existing product?</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tl w:val="0"/>
        </w:rPr>
        <w:t xml:space="preserve">Three reasons. First, no existing product does what BlueWave needs — we evaluated RingCentral AIR, Bullhorn Amplify, Tenzo AI, Whippy, ConverzAI, and a dozen other tools. Each covers one piece of the puzzle, but none combine inbound voice triage across multiple caller types with deep Bullhorn integration and outbound screening. Second, every off-the-shelf tool is a subscription — BlueWave owns nothing. Third, owning proprietary software IP is a strategic lever for the business. It’s an asset on the balance sheet, not a line item on a vendor invoice.</w:t>
      </w:r>
    </w:p>
    <w:p w:rsidR="00000000" w:rsidDel="00000000" w:rsidP="00000000" w:rsidRDefault="00000000" w:rsidRPr="00000000" w14:paraId="00000029">
      <w:pPr>
        <w:spacing w:after="80" w:before="240" w:line="276" w:lineRule="auto"/>
        <w:rPr/>
      </w:pPr>
      <w:r w:rsidDel="00000000" w:rsidR="00000000" w:rsidRPr="00000000">
        <w:rPr>
          <w:b w:val="1"/>
          <w:bCs w:val="1"/>
          <w:color w:val="1a1a1a"/>
          <w:rtl w:val="0"/>
        </w:rPr>
        <w:t xml:space="preserve">What happens if this doesn’t work?</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tl w:val="0"/>
        </w:rPr>
        <w:t xml:space="preserve">Every phase has a decision gate. Phase 1 ends with a working prototype and defined success criteria for the pilot. Phase 2 ends with a go/no-go decision based on real performance data — calls handled, accuracy, recruiter feedback. If the pilot doesn’t meet the criteria, you don’t proceed to Phase 3. The phased structure means you’re validating with $20,000 before committing $120,000+. Phase 1 is designed as a proof of concept, not a leap of faith.</w:t>
      </w:r>
    </w:p>
    <w:p w:rsidR="00000000" w:rsidDel="00000000" w:rsidP="00000000" w:rsidRDefault="00000000" w:rsidRPr="00000000" w14:paraId="0000002B">
      <w:pPr>
        <w:spacing w:after="80" w:before="240" w:line="276" w:lineRule="auto"/>
        <w:rPr/>
      </w:pPr>
      <w:r w:rsidDel="00000000" w:rsidR="00000000" w:rsidRPr="00000000">
        <w:rPr>
          <w:b w:val="1"/>
          <w:bCs w:val="1"/>
          <w:color w:val="1a1a1a"/>
          <w:rtl w:val="0"/>
        </w:rPr>
        <w:t xml:space="preserve">Can Swell eventually be sold or licensed to other staffing firms?</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tl w:val="0"/>
        </w:rPr>
        <w:t xml:space="preserve">That’s a possibility worth evaluating during Phase 3 (Expansion). The architecture is designed so that Swell could be packaged for other firms — but the decision on whether to pursue productization vs. keeping it as an internal competitive advantage is BlueWave’s to make. It doesn’t affect how we build Phase 1 or Phase 2.</w:t>
      </w:r>
    </w:p>
    <w:p w:rsidR="00000000" w:rsidDel="00000000" w:rsidP="00000000" w:rsidRDefault="00000000" w:rsidRPr="00000000" w14:paraId="0000002D">
      <w:pPr>
        <w:spacing w:after="80" w:line="240" w:lineRule="auto"/>
        <w:rPr/>
      </w:pPr>
      <w:r w:rsidDel="00000000" w:rsidR="00000000" w:rsidRPr="00000000">
        <w:rPr>
          <w:rtl w:val="0"/>
        </w:rPr>
      </w:r>
    </w:p>
    <w:p w:rsidR="00000000" w:rsidDel="00000000" w:rsidP="00000000" w:rsidRDefault="00000000" w:rsidRPr="00000000" w14:paraId="0000002E">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2F">
      <w:pPr>
        <w:spacing w:after="80" w:line="240" w:lineRule="auto"/>
        <w:rPr/>
      </w:pP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i w:val="1"/>
          <w:iCs w:val="1"/>
          <w:color w:val="557170"/>
          <w:sz w:val="20"/>
          <w:szCs w:val="20"/>
          <w:rtl w:val="0"/>
        </w:rPr>
        <w:t xml:space="preserve">This document is part of the Swell engagement proposal prepared by Mirror Factory for BlueWave Resource Partners.</w:t>
      </w:r>
      <w:r w:rsidDel="00000000" w:rsidR="00000000" w:rsidRPr="00000000">
        <w:rPr>
          <w:rtl w:val="0"/>
        </w:rPr>
      </w:r>
    </w:p>
    <w:sectPr>
      <w:headerReference r:id="rId7" w:type="default"/>
      <w:headerReference r:id="rId8" w:type="firs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tabs>
        <w:tab w:val="right" w:leader="none" w:pos="9270"/>
      </w:tabs>
      <w:spacing w:line="240" w:lineRule="auto"/>
      <w:rPr/>
    </w:pPr>
    <w:r w:rsidDel="00000000" w:rsidR="00000000" w:rsidRPr="00000000">
      <w:rPr>
        <w:color w:val="666666"/>
        <w:sz w:val="16"/>
        <w:szCs w:val="16"/>
        <w:rtl w:val="0"/>
      </w:rPr>
      <w:t xml:space="preserve">BlueWave × Mirror Factory  |  Swell AI </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-895984</wp:posOffset>
          </wp:positionH>
          <wp:positionV relativeFrom="paragraph">
            <wp:posOffset>0</wp:posOffset>
          </wp:positionV>
          <wp:extent cx="7799832" cy="804672"/>
          <wp:effectExtent b="0" l="0" r="0" t="0"/>
          <wp:wrapNone/>
          <wp:docPr descr="The image displays a striking black and green diagonal stripe pattern." id="3" name="image1.png"/>
          <a:graphic>
            <a:graphicData uri="http://schemas.openxmlformats.org/drawingml/2006/picture">
              <pic:pic>
                <pic:nvPicPr>
                  <pic:cNvPr descr="The image displays a striking black and green diagonal stripe pattern." id="0" name="image1.png"/>
                  <pic:cNvPicPr preferRelativeResize="0"/>
                </pic:nvPicPr>
                <pic:blipFill>
                  <a:blip r:embed="rId1"/>
                  <a:srcRect b="0" l="0" r="0" t="0"/>
                  <a:stretch>
                    <a:fillRect/>
                  </a:stretch>
                </pic:blipFill>
                <pic:spPr>
                  <a:xfrm>
                    <a:off x="0" y="0"/>
                    <a:ext cx="7799832" cy="80467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drawing>
        <wp:anchor allowOverlap="1" behindDoc="1" distB="0" distT="0" distL="0" distR="0" hidden="0" layoutInCell="1" locked="0" relativeHeight="0" simplePos="0">
          <wp:simplePos x="0" y="0"/>
          <wp:positionH relativeFrom="margin">
            <wp:posOffset>-914398</wp:posOffset>
          </wp:positionH>
          <wp:positionV relativeFrom="margin">
            <wp:posOffset>-914398</wp:posOffset>
          </wp:positionV>
          <wp:extent cx="7791490" cy="81000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1490" cy="81000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-919160</wp:posOffset>
              </wp:positionH>
              <wp:positionV relativeFrom="margin">
                <wp:posOffset>-919160</wp:posOffset>
              </wp:positionV>
              <wp:extent cx="7781925" cy="10091738"/>
              <wp:effectExtent b="0" l="0" r="0" t="0"/>
              <wp:wrapNone/>
              <wp:docPr id="1" name=""/>
              <a:graphic>
                <a:graphicData uri="http://schemas.microsoft.com/office/word/2010/wordprocessingShape">
                  <wps:wsp>
                    <wps:cNvSpPr/>
                    <wps:cNvPr id="2" name="Shape 2"/>
                    <wps:spPr>
                      <a:xfrm>
                        <a:off x="1455300" y="1516350"/>
                        <a:ext cx="7781400" cy="4527300"/>
                      </a:xfrm>
                      <a:prstGeom prst="rect">
                        <a:avLst/>
                      </a:prstGeom>
                      <a:solidFill>
                        <a:srgbClr val="55717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-919160</wp:posOffset>
              </wp:positionH>
              <wp:positionV relativeFrom="margin">
                <wp:posOffset>-919160</wp:posOffset>
              </wp:positionV>
              <wp:extent cx="7781925" cy="10091738"/>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81925" cy="10091738"/>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WyWc8b8daX3R9ceJI/7+4xCag==">CgMxLjA4AHIhMTBOVnVHRVZmckt2LU5SV01CYV9rekRjcE9GQzFuTEdV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9749c891-ff1c-4d96-81ee-5c487b173968</vt:lpwstr>
  </property>
</Properties>
</file>