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8E0" w:rsidRPr="00622E18" w:rsidRDefault="000418E0" w:rsidP="000418E0">
      <w:pPr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Воспроизводство статьи «Транскрипционный ответ </w:t>
      </w:r>
      <w:proofErr w:type="spellStart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Saccharomyces</w:t>
      </w:r>
      <w:proofErr w:type="spellEnd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cerevisiae</w:t>
      </w:r>
      <w:proofErr w:type="spellEnd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на </w:t>
      </w:r>
      <w:proofErr w:type="spellStart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энантиомеры</w:t>
      </w:r>
      <w:proofErr w:type="spellEnd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молочной кислоты» (</w:t>
      </w:r>
      <w:proofErr w:type="spellStart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Transcriptional</w:t>
      </w:r>
      <w:proofErr w:type="spellEnd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response</w:t>
      </w:r>
      <w:proofErr w:type="spellEnd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of</w:t>
      </w:r>
      <w:proofErr w:type="spellEnd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Saccharomyces</w:t>
      </w:r>
      <w:proofErr w:type="spellEnd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cerevisiae</w:t>
      </w:r>
      <w:proofErr w:type="spellEnd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</w:t>
      </w:r>
      <w:proofErr w:type="spellEnd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lactic</w:t>
      </w:r>
      <w:proofErr w:type="spellEnd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acid</w:t>
      </w:r>
      <w:proofErr w:type="spellEnd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enantiomers</w:t>
      </w:r>
      <w:proofErr w:type="spellEnd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для концентрации 45 5 </w:t>
      </w:r>
      <w:proofErr w:type="spellStart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мМ</w:t>
      </w:r>
      <w:proofErr w:type="spellEnd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D-лактата</w:t>
      </w:r>
      <w:proofErr w:type="spellEnd"/>
    </w:p>
    <w:p w:rsidR="000418E0" w:rsidRPr="00622E18" w:rsidRDefault="000418E0" w:rsidP="000418E0">
      <w:pPr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E18">
        <w:rPr>
          <w:rFonts w:ascii="Times New Roman" w:hAnsi="Times New Roman" w:cs="Times New Roman"/>
          <w:color w:val="000000" w:themeColor="text1"/>
          <w:sz w:val="28"/>
          <w:szCs w:val="28"/>
        </w:rPr>
        <w:t>М.Ю. Кузьмин</w:t>
      </w:r>
    </w:p>
    <w:p w:rsidR="000418E0" w:rsidRPr="00622E18" w:rsidRDefault="000418E0" w:rsidP="000418E0">
      <w:pPr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ФГБОУ </w:t>
      </w:r>
      <w:proofErr w:type="gram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</w:rPr>
        <w:t>ВО</w:t>
      </w:r>
      <w:proofErr w:type="gramEnd"/>
      <w:r w:rsidRPr="00622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«Иркутский государственный университет», Биолого-почвенный факультет, г. Иркутск</w:t>
      </w:r>
    </w:p>
    <w:p w:rsidR="00587A6F" w:rsidRPr="00622E18" w:rsidRDefault="00587A6F" w:rsidP="000418E0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03AC7" w:rsidRPr="00622E18" w:rsidRDefault="00A03AC7" w:rsidP="000418E0">
      <w:pPr>
        <w:spacing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Аннотация</w:t>
      </w:r>
    </w:p>
    <w:p w:rsidR="00587A6F" w:rsidRPr="00622E18" w:rsidRDefault="00A03AC7" w:rsidP="000418E0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Дрожжи </w:t>
      </w:r>
      <w:proofErr w:type="spellStart"/>
      <w:r w:rsidR="00587A6F" w:rsidRPr="00622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Saccharomyces</w:t>
      </w:r>
      <w:proofErr w:type="spellEnd"/>
      <w:r w:rsidR="00587A6F" w:rsidRPr="00622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87A6F" w:rsidRPr="00622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cerevisiae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 w:rsidRPr="00622E18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622E18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.</w:t>
      </w:r>
      <w:r w:rsidRPr="00622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22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cerevisiae</w:t>
      </w:r>
      <w:proofErr w:type="spellEnd"/>
      <w:r w:rsidR="0041763A"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) широко используются в народном хозяйстве, включая производство </w:t>
      </w:r>
      <w:proofErr w:type="spellStart"/>
      <w:r w:rsidR="0041763A"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биосенсоров</w:t>
      </w:r>
      <w:proofErr w:type="spellEnd"/>
      <w:r w:rsidR="0041763A"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. Не ясен до конца транскрипционный ответ </w:t>
      </w:r>
      <w:r w:rsidR="0041763A" w:rsidRPr="00622E18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="0041763A" w:rsidRPr="00622E18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.</w:t>
      </w:r>
      <w:r w:rsidR="0041763A" w:rsidRPr="00622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41763A" w:rsidRPr="00622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Cerevisiae</w:t>
      </w:r>
      <w:proofErr w:type="spellEnd"/>
      <w:r w:rsidR="0041763A" w:rsidRPr="00622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763A"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на </w:t>
      </w:r>
      <w:r w:rsidR="0041763A"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="0041763A"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-молочную кислоту (</w:t>
      </w:r>
      <w:r w:rsidR="0041763A"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DLA</w:t>
      </w:r>
      <w:r w:rsidR="0041763A"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) в различной концентрации.</w:t>
      </w:r>
      <w:proofErr w:type="gramEnd"/>
      <w:r w:rsidR="00743E14"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Воспроизводился и</w:t>
      </w:r>
      <w:r w:rsidR="0041763A"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743E14"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и</w:t>
      </w:r>
      <w:r w:rsidR="0041763A"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зучался транскрипционный ответ</w:t>
      </w:r>
      <w:r w:rsidR="0041763A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штамма BY4742 на концентрацию </w:t>
      </w:r>
      <w:r w:rsidR="0041763A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DLA</w:t>
      </w:r>
      <w:r w:rsidR="0041763A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45мМ и сравнивался его ответ на 45 </w:t>
      </w:r>
      <w:proofErr w:type="spellStart"/>
      <w:r w:rsidR="0041763A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мМ</w:t>
      </w:r>
      <w:proofErr w:type="spellEnd"/>
      <w:r w:rsidR="0041763A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L-молочную кислоту (LLA). Ответ зафиксирован (113 </w:t>
      </w:r>
      <w:proofErr w:type="spellStart"/>
      <w:r w:rsidR="0041763A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дифференциально</w:t>
      </w:r>
      <w:proofErr w:type="spellEnd"/>
      <w:r w:rsidR="0041763A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1763A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экспрессируемых</w:t>
      </w:r>
      <w:proofErr w:type="spellEnd"/>
      <w:r w:rsidR="0041763A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генов (DEG) соответственно; &gt; 50% общих). Полученные результаты могут быть полезны для оптимизации</w:t>
      </w:r>
      <w:r w:rsidR="00743E14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производства </w:t>
      </w:r>
      <w:proofErr w:type="spellStart"/>
      <w:r w:rsidR="00743E14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лактата</w:t>
      </w:r>
      <w:proofErr w:type="spellEnd"/>
      <w:r w:rsidR="00743E14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дрожжах, а так же в педагогической практике.</w:t>
      </w:r>
    </w:p>
    <w:p w:rsidR="000418E0" w:rsidRPr="00622E18" w:rsidRDefault="000418E0" w:rsidP="000418E0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662F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Ключевые слова: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Cerevisiae</w:t>
      </w:r>
      <w:proofErr w:type="spellEnd"/>
      <w:r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-молочная кислота, воспроизводимое исследование</w:t>
      </w:r>
    </w:p>
    <w:p w:rsidR="0041763A" w:rsidRPr="00622E18" w:rsidRDefault="0041763A" w:rsidP="000418E0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1763A" w:rsidRPr="008662F5" w:rsidRDefault="0041763A" w:rsidP="000418E0">
      <w:pPr>
        <w:spacing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662F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Введение</w:t>
      </w:r>
    </w:p>
    <w:p w:rsidR="0041763A" w:rsidRPr="00622E18" w:rsidRDefault="0041763A" w:rsidP="000418E0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Пекарские дрожжи (лат.</w:t>
      </w:r>
      <w:proofErr w:type="gram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22E18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Saccharomyces</w:t>
      </w:r>
      <w:proofErr w:type="spellEnd"/>
      <w:r w:rsidRPr="00622E18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22E18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cerevisiae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— вид одноклеточных микроскопических (5—10 мкм в диаметре) грибов (дрожжей) из класса сахаромицетов, широко используемый в производстве алкогольной и хлебопекарной продукции, а также в научных исследованиях.</w:t>
      </w:r>
      <w:proofErr w:type="gram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1996 году пекарские дрожжи стали первыми эукариотами, чей геном был полностью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секвенирован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418E0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[1].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Эти дрожжи используются в качестве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биосенсоров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различных веществ, например, тяжелых металлов или эстрогенов </w:t>
      </w:r>
      <w:r w:rsidR="000418E0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[2]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gram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Соединения, продуцируемые в дрожжах, включают молочную кислоту (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DLA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LLA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r w:rsidR="000418E0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[3]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Однако оценка реакции дрожжевых клеток скудна не только для DLA, но даже для его несравненно более распространенного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энантиомера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L-молочной кислоты (LLA).</w:t>
      </w:r>
      <w:proofErr w:type="gramEnd"/>
    </w:p>
    <w:p w:rsidR="00587A6F" w:rsidRDefault="0041763A" w:rsidP="000418E0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этом исследовании мы </w:t>
      </w:r>
      <w:r w:rsidR="00743E14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воспроизвели и 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оценили транскрипционный ответ </w:t>
      </w:r>
      <w:r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S. </w:t>
      </w:r>
      <w:proofErr w:type="spellStart"/>
      <w:r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cerevisiae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на </w:t>
      </w:r>
      <w:r w:rsidR="00743E14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концентрацию 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DLA 45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мМ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r w:rsidR="00A7254D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сравнили ее с контролем и ответом того же штамма на 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45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мМ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LLA, чтобы проверить, </w:t>
      </w:r>
      <w:r w:rsidR="004D4758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наблюдается ли какой-либо специфичный ответ при такой концентрации. Кроме того, мы </w:t>
      </w:r>
      <w:r w:rsidR="004D4758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устанавливали, влияет ли обработка 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D4758" w:rsidRPr="00622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S. </w:t>
      </w:r>
      <w:proofErr w:type="spellStart"/>
      <w:r w:rsidR="004D4758" w:rsidRPr="00622E1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Cerevisiae</w:t>
      </w:r>
      <w:proofErr w:type="spellEnd"/>
      <w:r w:rsidR="004D4758"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4D4758"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DLA</w:t>
      </w:r>
      <w:r w:rsidR="004D4758"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в концентрации 45мМ на замедление роста по сравнению с </w:t>
      </w:r>
      <w:r w:rsidR="004D4758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gramStart"/>
      <w:r w:rsidR="004D4758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proofErr w:type="gramEnd"/>
      <w:r w:rsidR="004D4758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45 </w:t>
      </w:r>
      <w:proofErr w:type="spellStart"/>
      <w:r w:rsidR="004D4758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мМ</w:t>
      </w:r>
      <w:proofErr w:type="spellEnd"/>
      <w:r w:rsidR="004D4758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D4758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D-лактатом</w:t>
      </w:r>
      <w:proofErr w:type="spellEnd"/>
      <w:r w:rsidR="004D4758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натрия (DLS).</w:t>
      </w:r>
    </w:p>
    <w:p w:rsidR="008662F5" w:rsidRPr="008662F5" w:rsidRDefault="008662F5" w:rsidP="000418E0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5E54B4" w:rsidRPr="00622E18" w:rsidRDefault="005E54B4" w:rsidP="000418E0">
      <w:pPr>
        <w:spacing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622E1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Материалы и методы</w:t>
      </w:r>
    </w:p>
    <w:p w:rsidR="00743E14" w:rsidRPr="00622E18" w:rsidRDefault="00743E14" w:rsidP="000418E0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Исследование было проведено на основе данных, предоставленные П.Б. Дроздовой на основании ее работы «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Transcriptional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response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of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Saccharomyces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cerevisiae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lactic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acid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enantiomers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 и прилагаемых к ней материалов </w:t>
      </w:r>
      <w:r w:rsidR="000418E0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[4]. 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Использовались данные для концентрации 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-молочной кислоты в концентрации 45мМ</w:t>
      </w:r>
      <w:r w:rsidR="00E05FD2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контроля и концентрации 45мМ </w:t>
      </w:r>
      <w:r w:rsidR="00E05FD2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LLA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Полученные результаты и иллюстративный материал обрабатывались и воспроизводились с привлечением свободной среды разработки программного обеспечения с открытым исходным кодом для языка программирования R «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RStudio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 и программы 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GIMP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C3AEE" w:rsidRPr="00622E18" w:rsidRDefault="00BC3AEE" w:rsidP="000418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C3AEE" w:rsidRPr="008662F5" w:rsidRDefault="00BC3AEE" w:rsidP="000418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662F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Результаты</w:t>
      </w:r>
    </w:p>
    <w:p w:rsidR="00E05FD2" w:rsidRPr="00622E18" w:rsidRDefault="00743E14" w:rsidP="000418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2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первом </w:t>
      </w:r>
      <w:proofErr w:type="gramStart"/>
      <w:r w:rsidRPr="00622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этапе</w:t>
      </w:r>
      <w:proofErr w:type="gramEnd"/>
      <w:r w:rsidRPr="00622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05FD2" w:rsidRPr="00622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основании имевшихся данных мы обнаружили наличие </w:t>
      </w:r>
      <w:r w:rsidR="00BC3AEE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дифференциально</w:t>
      </w:r>
      <w:r w:rsidR="004D4758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r w:rsidR="00BC3AEE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экспресси</w:t>
      </w:r>
      <w:r w:rsidR="004D4758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05FD2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C3AEE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ген</w:t>
      </w:r>
      <w:r w:rsidR="00E05FD2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ов</w:t>
      </w:r>
      <w:r w:rsidR="00BC3AEE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(далее DEG; абсолютное изменение log2 &gt; 1 и скорректированное значение </w:t>
      </w:r>
      <w:proofErr w:type="spellStart"/>
      <w:r w:rsidR="00BC3AEE"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p</w:t>
      </w:r>
      <w:proofErr w:type="spellEnd"/>
      <w:r w:rsidR="00BC3AEE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&lt; 0,05) для 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45</w:t>
      </w:r>
      <w:r w:rsidR="00BC3AEE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мМ</w:t>
      </w:r>
      <w:r w:rsidR="00E05FD2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сравнению с  контролем. На рисунке 1 </w:t>
      </w:r>
      <w:r w:rsidR="00E05FD2" w:rsidRPr="00622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они показаны в виде красных точек.</w:t>
      </w:r>
    </w:p>
    <w:p w:rsidR="00BC3AEE" w:rsidRPr="00622E18" w:rsidRDefault="00BC3AEE" w:rsidP="000418E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05FD2" w:rsidRPr="00622E18" w:rsidRDefault="00622E18" w:rsidP="000418E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895975" cy="438150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5FD2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Рис. 1. </w:t>
      </w:r>
      <w:r w:rsidR="00E05FD2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Volcano</w:t>
      </w:r>
      <w:r w:rsidR="00E05FD2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05FD2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Plot</w:t>
      </w:r>
      <w:r w:rsidR="00E05FD2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r w:rsidR="004D4758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DEG</w:t>
      </w:r>
      <w:r w:rsidR="00E05FD2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концентрации 0.45 </w:t>
      </w:r>
      <w:proofErr w:type="spellStart"/>
      <w:r w:rsidR="00E05FD2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мМ</w:t>
      </w:r>
      <w:proofErr w:type="spellEnd"/>
      <w:r w:rsidR="00E05FD2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сравнению с контрольной группой</w:t>
      </w:r>
    </w:p>
    <w:p w:rsidR="00BC3AEE" w:rsidRPr="00622E18" w:rsidRDefault="00BC3AEE" w:rsidP="000418E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C3AEE" w:rsidRPr="00622E18" w:rsidRDefault="004D4758" w:rsidP="000418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2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существует транскрипционный ответ при концентрации 45мМ.</w:t>
      </w:r>
    </w:p>
    <w:p w:rsidR="009F3300" w:rsidRDefault="004D4758" w:rsidP="000418E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622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втором этапе </w:t>
      </w:r>
      <w:r w:rsidR="00490C94" w:rsidRPr="00622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мы проанализировали, существуют ли различия в росте дрожжей при их обработке не </w:t>
      </w:r>
      <w:r w:rsidR="00490C94" w:rsidRPr="00622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DLA</w:t>
      </w:r>
      <w:r w:rsidR="00490C94" w:rsidRPr="00622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</w:t>
      </w:r>
      <w:r w:rsidR="00490C94" w:rsidRPr="00622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DLS</w:t>
      </w:r>
      <w:r w:rsidR="00490C94" w:rsidRPr="00622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="00490C94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D-лактатом</w:t>
      </w:r>
      <w:proofErr w:type="spellEnd"/>
      <w:r w:rsidR="00490C94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натрия), поскольку это может доказать, что рост связан с </w:t>
      </w:r>
      <w:r w:rsidR="00490C94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pH</w:t>
      </w:r>
      <w:r w:rsidR="00490C94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Действительно, из рисунка 2 следует, что существует компенсация дефекта роста – это значит, что медленный рост дрожжей, обработанных 45 </w:t>
      </w:r>
      <w:proofErr w:type="spellStart"/>
      <w:r w:rsidR="00490C94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мМ</w:t>
      </w:r>
      <w:proofErr w:type="spellEnd"/>
      <w:r w:rsidR="00490C94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DLA, объясняется сдвигом </w:t>
      </w:r>
      <w:proofErr w:type="spellStart"/>
      <w:r w:rsidR="00490C94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</w:t>
      </w:r>
      <w:proofErr w:type="spellEnd"/>
      <w:r w:rsidR="00490C94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622E18" w:rsidRDefault="00622E18" w:rsidP="000418E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622E18" w:rsidRPr="00622E18" w:rsidRDefault="00622E18" w:rsidP="000418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829300" cy="437197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300" w:rsidRPr="00622E18" w:rsidRDefault="00490C94" w:rsidP="000418E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2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Рис. 2. Различия между контролем, 45 </w:t>
      </w:r>
      <w:proofErr w:type="spellStart"/>
      <w:r w:rsidRPr="00622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</w:t>
      </w:r>
      <w:proofErr w:type="spellEnd"/>
      <w:r w:rsidRPr="00622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22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D-лактата</w:t>
      </w:r>
      <w:proofErr w:type="spellEnd"/>
      <w:r w:rsidRPr="00622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натрия и 45 </w:t>
      </w:r>
      <w:proofErr w:type="spellStart"/>
      <w:r w:rsidRPr="00622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</w:t>
      </w:r>
      <w:proofErr w:type="spellEnd"/>
      <w:r w:rsidRPr="00622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DLA.</w:t>
      </w:r>
    </w:p>
    <w:p w:rsidR="009F3300" w:rsidRPr="00622E18" w:rsidRDefault="009F3300" w:rsidP="000418E0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</w:p>
    <w:p w:rsidR="00490C94" w:rsidRPr="00622E18" w:rsidRDefault="00490C94" w:rsidP="000418E0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b/>
          <w:color w:val="000000" w:themeColor="text1"/>
          <w:sz w:val="28"/>
          <w:szCs w:val="28"/>
        </w:rPr>
      </w:pPr>
      <w:r w:rsidRPr="00622E18">
        <w:rPr>
          <w:b/>
          <w:color w:val="000000" w:themeColor="text1"/>
          <w:sz w:val="28"/>
          <w:szCs w:val="28"/>
        </w:rPr>
        <w:t>Обсуждение</w:t>
      </w:r>
    </w:p>
    <w:p w:rsidR="009F3300" w:rsidRPr="00622E18" w:rsidRDefault="00490C94" w:rsidP="000418E0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22E18">
        <w:rPr>
          <w:color w:val="000000" w:themeColor="text1"/>
          <w:sz w:val="28"/>
          <w:szCs w:val="28"/>
        </w:rPr>
        <w:t>В этом воспроизводящем исследовании</w:t>
      </w:r>
      <w:r w:rsidRPr="00622E18">
        <w:rPr>
          <w:color w:val="000000" w:themeColor="text1"/>
          <w:sz w:val="28"/>
          <w:szCs w:val="28"/>
          <w:shd w:val="clear" w:color="auto" w:fill="FFFFFF"/>
        </w:rPr>
        <w:t xml:space="preserve"> мы исследовали транскрипционный ответ </w:t>
      </w:r>
      <w:r w:rsidRPr="00622E18">
        <w:rPr>
          <w:i/>
          <w:iCs/>
          <w:color w:val="000000" w:themeColor="text1"/>
          <w:sz w:val="28"/>
          <w:szCs w:val="28"/>
          <w:shd w:val="clear" w:color="auto" w:fill="FFFFFF"/>
        </w:rPr>
        <w:t xml:space="preserve">S. </w:t>
      </w:r>
      <w:proofErr w:type="spellStart"/>
      <w:r w:rsidRPr="00622E18">
        <w:rPr>
          <w:i/>
          <w:iCs/>
          <w:color w:val="000000" w:themeColor="text1"/>
          <w:sz w:val="28"/>
          <w:szCs w:val="28"/>
          <w:shd w:val="clear" w:color="auto" w:fill="FFFFFF"/>
        </w:rPr>
        <w:t>cerevisiae</w:t>
      </w:r>
      <w:proofErr w:type="spellEnd"/>
      <w:r w:rsidRPr="00622E18">
        <w:rPr>
          <w:color w:val="000000" w:themeColor="text1"/>
          <w:sz w:val="28"/>
          <w:szCs w:val="28"/>
          <w:shd w:val="clear" w:color="auto" w:fill="FFFFFF"/>
        </w:rPr>
        <w:t xml:space="preserve"> на </w:t>
      </w:r>
      <w:proofErr w:type="spellStart"/>
      <w:r w:rsidRPr="00622E18">
        <w:rPr>
          <w:color w:val="000000" w:themeColor="text1"/>
          <w:sz w:val="28"/>
          <w:szCs w:val="28"/>
          <w:shd w:val="clear" w:color="auto" w:fill="FFFFFF"/>
        </w:rPr>
        <w:t>энантиомеры</w:t>
      </w:r>
      <w:proofErr w:type="spellEnd"/>
      <w:r w:rsidRPr="00622E18">
        <w:rPr>
          <w:color w:val="000000" w:themeColor="text1"/>
          <w:sz w:val="28"/>
          <w:szCs w:val="28"/>
          <w:shd w:val="clear" w:color="auto" w:fill="FFFFFF"/>
        </w:rPr>
        <w:t xml:space="preserve"> LA – </w:t>
      </w:r>
      <w:r w:rsidRPr="00622E18">
        <w:rPr>
          <w:color w:val="000000" w:themeColor="text1"/>
          <w:sz w:val="28"/>
          <w:szCs w:val="28"/>
          <w:shd w:val="clear" w:color="auto" w:fill="FFFFFF"/>
          <w:lang w:val="en-US"/>
        </w:rPr>
        <w:t>DLA</w:t>
      </w:r>
      <w:r w:rsidRPr="00622E18">
        <w:rPr>
          <w:color w:val="000000" w:themeColor="text1"/>
          <w:sz w:val="28"/>
          <w:szCs w:val="28"/>
          <w:shd w:val="clear" w:color="auto" w:fill="FFFFFF"/>
        </w:rPr>
        <w:t xml:space="preserve"> и </w:t>
      </w:r>
      <w:r w:rsidRPr="00622E18">
        <w:rPr>
          <w:color w:val="000000" w:themeColor="text1"/>
          <w:sz w:val="28"/>
          <w:szCs w:val="28"/>
          <w:shd w:val="clear" w:color="auto" w:fill="FFFFFF"/>
          <w:lang w:val="en-US"/>
        </w:rPr>
        <w:t>LLA</w:t>
      </w:r>
      <w:r w:rsidRPr="00622E18">
        <w:rPr>
          <w:color w:val="000000" w:themeColor="text1"/>
          <w:sz w:val="28"/>
          <w:szCs w:val="28"/>
          <w:shd w:val="clear" w:color="auto" w:fill="FFFFFF"/>
        </w:rPr>
        <w:t xml:space="preserve"> в концентрации 45мМ. Мы обнаружили</w:t>
      </w:r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 xml:space="preserve"> ответ на высокую концентрацию DLA (45мМ). Сравнив полученные результаты с работой </w:t>
      </w:r>
      <w:proofErr w:type="spellStart"/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>Drozdova</w:t>
      </w:r>
      <w:proofErr w:type="spellEnd"/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020492" w:rsidRPr="00622E18">
        <w:rPr>
          <w:iCs/>
          <w:color w:val="000000" w:themeColor="text1"/>
          <w:sz w:val="28"/>
          <w:szCs w:val="28"/>
          <w:shd w:val="clear" w:color="auto" w:fill="FFFFFF"/>
        </w:rPr>
        <w:t>et</w:t>
      </w:r>
      <w:proofErr w:type="spellEnd"/>
      <w:r w:rsidR="00020492" w:rsidRPr="00622E18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20492" w:rsidRPr="00622E18">
        <w:rPr>
          <w:iCs/>
          <w:color w:val="000000" w:themeColor="text1"/>
          <w:sz w:val="28"/>
          <w:szCs w:val="28"/>
          <w:shd w:val="clear" w:color="auto" w:fill="FFFFFF"/>
        </w:rPr>
        <w:t>al</w:t>
      </w:r>
      <w:proofErr w:type="spellEnd"/>
      <w:r w:rsidR="00020492" w:rsidRPr="00622E18">
        <w:rPr>
          <w:iCs/>
          <w:color w:val="000000" w:themeColor="text1"/>
          <w:sz w:val="28"/>
          <w:szCs w:val="28"/>
          <w:shd w:val="clear" w:color="auto" w:fill="FFFFFF"/>
        </w:rPr>
        <w:t>.</w:t>
      </w:r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> </w:t>
      </w:r>
      <w:r w:rsidR="000418E0" w:rsidRPr="00622E18">
        <w:rPr>
          <w:color w:val="000000" w:themeColor="text1"/>
          <w:sz w:val="28"/>
          <w:szCs w:val="28"/>
          <w:shd w:val="clear" w:color="auto" w:fill="FFFFFF"/>
        </w:rPr>
        <w:t>[4]</w:t>
      </w:r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 xml:space="preserve"> мы узнали, что не было никакого ответа на концентрации DLA 0,5 </w:t>
      </w:r>
      <w:proofErr w:type="spellStart"/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>мМ</w:t>
      </w:r>
      <w:proofErr w:type="spellEnd"/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 xml:space="preserve"> и ниже. Возможно, что более высокие концентрации DLA (&gt; 50 </w:t>
      </w:r>
      <w:proofErr w:type="spellStart"/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>мМ</w:t>
      </w:r>
      <w:proofErr w:type="spellEnd"/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 xml:space="preserve">) или более длительное воздействие (около суток) могли бы сделать эффект более выраженным и выявить </w:t>
      </w:r>
      <w:proofErr w:type="spellStart"/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>дифференциально</w:t>
      </w:r>
      <w:proofErr w:type="spellEnd"/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>экспрессируемые</w:t>
      </w:r>
      <w:proofErr w:type="spellEnd"/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 xml:space="preserve"> гены. Однако более высокие концентрации были бы за пределами диапазона концентраций DLA, обычно обнаруживаемых в биологических жидкостях. Идеальный </w:t>
      </w:r>
      <w:proofErr w:type="spellStart"/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>биосенсор</w:t>
      </w:r>
      <w:proofErr w:type="spellEnd"/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 xml:space="preserve"> для DLA должен быть чувствительным в диапазоне концентраций 0,1–5 </w:t>
      </w:r>
      <w:proofErr w:type="spellStart"/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>мМ</w:t>
      </w:r>
      <w:proofErr w:type="spellEnd"/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 xml:space="preserve">. Таким образом, мы вслед за </w:t>
      </w:r>
      <w:proofErr w:type="spellStart"/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>Drozdova</w:t>
      </w:r>
      <w:proofErr w:type="spellEnd"/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020492" w:rsidRPr="00622E18">
        <w:rPr>
          <w:iCs/>
          <w:color w:val="000000" w:themeColor="text1"/>
          <w:sz w:val="28"/>
          <w:szCs w:val="28"/>
          <w:shd w:val="clear" w:color="auto" w:fill="FFFFFF"/>
        </w:rPr>
        <w:t>et</w:t>
      </w:r>
      <w:proofErr w:type="spellEnd"/>
      <w:r w:rsidR="00020492" w:rsidRPr="00622E18">
        <w:rPr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20492" w:rsidRPr="00622E18">
        <w:rPr>
          <w:iCs/>
          <w:color w:val="000000" w:themeColor="text1"/>
          <w:sz w:val="28"/>
          <w:szCs w:val="28"/>
          <w:shd w:val="clear" w:color="auto" w:fill="FFFFFF"/>
        </w:rPr>
        <w:t>al</w:t>
      </w:r>
      <w:proofErr w:type="spellEnd"/>
      <w:r w:rsidR="00020492" w:rsidRPr="00622E18">
        <w:rPr>
          <w:iCs/>
          <w:color w:val="000000" w:themeColor="text1"/>
          <w:sz w:val="28"/>
          <w:szCs w:val="28"/>
          <w:shd w:val="clear" w:color="auto" w:fill="FFFFFF"/>
        </w:rPr>
        <w:t>.</w:t>
      </w:r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> </w:t>
      </w:r>
      <w:r w:rsidR="000418E0" w:rsidRPr="00622E18">
        <w:rPr>
          <w:color w:val="000000" w:themeColor="text1"/>
          <w:sz w:val="28"/>
          <w:szCs w:val="28"/>
          <w:shd w:val="clear" w:color="auto" w:fill="FFFFFF"/>
        </w:rPr>
        <w:t xml:space="preserve">[4] </w:t>
      </w:r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 xml:space="preserve">приходим к выводу, что количественный дрожжевой сенсор для </w:t>
      </w:r>
      <w:proofErr w:type="gramStart"/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>DLA</w:t>
      </w:r>
      <w:proofErr w:type="gramEnd"/>
      <w:r w:rsidR="00020492" w:rsidRPr="00622E18">
        <w:rPr>
          <w:color w:val="000000" w:themeColor="text1"/>
          <w:sz w:val="28"/>
          <w:szCs w:val="28"/>
          <w:shd w:val="clear" w:color="auto" w:fill="FFFFFF"/>
        </w:rPr>
        <w:t xml:space="preserve"> скорее всего не может быть сконструирован на основе собственных дрожжевых транскрипционных сетей.</w:t>
      </w:r>
    </w:p>
    <w:p w:rsidR="00020492" w:rsidRPr="00622E18" w:rsidRDefault="00020492" w:rsidP="000418E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Мы так же обнаружили, что существует зависимость роста дрожжей и сдвига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Согласно </w:t>
      </w:r>
      <w:r w:rsidR="000418E0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[4]</w:t>
      </w: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это может быть объяснено</w:t>
      </w:r>
      <w:r w:rsidR="00F17BC5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особенностями гена метаболизма </w:t>
      </w:r>
      <w:proofErr w:type="spellStart"/>
      <w:r w:rsidR="00F17BC5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D-лактата</w:t>
      </w:r>
      <w:proofErr w:type="spellEnd"/>
      <w:r w:rsidR="00F17BC5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F17BC5"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DLD3</w:t>
      </w:r>
      <w:r w:rsidR="00F17BC5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В ее  эксперименте </w:t>
      </w:r>
      <w:r w:rsidR="00F17BC5" w:rsidRPr="00622E18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DLD3</w:t>
      </w:r>
      <w:r w:rsidR="00F17BC5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был повышен только в ответ на 45 </w:t>
      </w:r>
      <w:proofErr w:type="spellStart"/>
      <w:r w:rsidR="00F17BC5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мМ</w:t>
      </w:r>
      <w:proofErr w:type="spellEnd"/>
      <w:r w:rsidR="00F17BC5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DLA, но не на 5 </w:t>
      </w:r>
      <w:proofErr w:type="spellStart"/>
      <w:r w:rsidR="00F17BC5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мМ</w:t>
      </w:r>
      <w:proofErr w:type="spellEnd"/>
      <w:r w:rsidR="00F17BC5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DLA или более низкие </w:t>
      </w:r>
      <w:r w:rsidR="00F17BC5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концентрации и не реагировал на DLS, что также подтверждает идею о его очень незначительной роли как </w:t>
      </w:r>
      <w:proofErr w:type="spellStart"/>
      <w:r w:rsidR="00F17BC5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D-лактатдегидрогеназы</w:t>
      </w:r>
      <w:proofErr w:type="spellEnd"/>
      <w:r w:rsidR="00F17BC5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Возможно, что этот белок действует при высоких концентрациях DLA, чтобы предотвратить повреждение клеток </w:t>
      </w:r>
      <w:proofErr w:type="gramStart"/>
      <w:r w:rsidR="00F17BC5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низким</w:t>
      </w:r>
      <w:proofErr w:type="gramEnd"/>
      <w:r w:rsidR="00F17BC5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7BC5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</w:t>
      </w:r>
      <w:proofErr w:type="spellEnd"/>
      <w:r w:rsidR="00F17BC5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17BC5" w:rsidRPr="00622E18" w:rsidRDefault="00F17BC5" w:rsidP="000418E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целом, полученные результаты позволяют</w:t>
      </w:r>
      <w:r w:rsidR="000418E0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получить пользу для оптимизации производства </w:t>
      </w:r>
      <w:proofErr w:type="spellStart"/>
      <w:r w:rsidR="000418E0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лактата</w:t>
      </w:r>
      <w:proofErr w:type="spellEnd"/>
      <w:r w:rsidR="000418E0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дрожжах (но не для создания </w:t>
      </w:r>
      <w:proofErr w:type="spellStart"/>
      <w:r w:rsidR="000418E0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дрожеевого</w:t>
      </w:r>
      <w:proofErr w:type="spellEnd"/>
      <w:r w:rsidR="000418E0"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сенсора), а так же в педагогической практике для закрепления знаний по дисциплине «Воспроизводимые исследования в биологии».</w:t>
      </w:r>
    </w:p>
    <w:p w:rsidR="000418E0" w:rsidRPr="00622E18" w:rsidRDefault="000418E0" w:rsidP="000418E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418E0" w:rsidRPr="008662F5" w:rsidRDefault="000418E0" w:rsidP="000418E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662F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Литература.</w:t>
      </w:r>
    </w:p>
    <w:p w:rsidR="000418E0" w:rsidRPr="000418E0" w:rsidRDefault="000418E0" w:rsidP="000418E0">
      <w:pPr>
        <w:pStyle w:val="a7"/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Goffeau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A., B. G.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Barrell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H.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Bussey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R. W. Davis, B.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Dujon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H.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Feldmann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F.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Galibert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J. D.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Hoheisel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Jacq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 Johnston, E. J. Louis, H. W.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Mewes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Y. Murakami, P.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Philippsen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H. 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Tettelin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&amp; S. G. Oliver. Life with 6000 genes (</w:t>
      </w:r>
      <w:proofErr w:type="spellStart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англ</w:t>
      </w:r>
      <w:proofErr w:type="spellEnd"/>
      <w:r w:rsidRPr="00622E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.) // Science. — 1996. — Vol. 274, no. 5287. — P. 546, 563—567. — doi:10.1126/science.</w:t>
      </w:r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274.5287.546. — </w:t>
      </w:r>
      <w:proofErr w:type="spellStart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Bibcode</w:t>
      </w:r>
      <w:proofErr w:type="spellEnd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 1996Sci...274</w:t>
      </w:r>
      <w:proofErr w:type="gramStart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..546G</w:t>
      </w:r>
      <w:proofErr w:type="gramEnd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 — PMID 8849441.</w:t>
      </w:r>
    </w:p>
    <w:p w:rsidR="000418E0" w:rsidRPr="000418E0" w:rsidRDefault="000418E0" w:rsidP="000418E0">
      <w:pPr>
        <w:pStyle w:val="a7"/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Martin-</w:t>
      </w:r>
      <w:proofErr w:type="spellStart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Yken</w:t>
      </w:r>
      <w:proofErr w:type="spellEnd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H (2020) Yeast-based biosensors: current applications and new developments. </w:t>
      </w:r>
      <w:proofErr w:type="spellStart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Biosensors</w:t>
      </w:r>
      <w:proofErr w:type="spellEnd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10:51. </w:t>
      </w:r>
      <w:hyperlink r:id="rId9" w:history="1">
        <w:r w:rsidRPr="000418E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https://doi.org/10.3390/bios10050051</w:t>
        </w:r>
      </w:hyperlink>
    </w:p>
    <w:p w:rsidR="000418E0" w:rsidRPr="000418E0" w:rsidRDefault="000418E0" w:rsidP="000418E0">
      <w:pPr>
        <w:pStyle w:val="a7"/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Baek</w:t>
      </w:r>
      <w:proofErr w:type="spellEnd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S-H, Kwon EY, Kim YH, Hahn J-S (2016) Metabolic engineering and adaptive evolution for efficient production of D-lactic acid in </w:t>
      </w:r>
      <w:proofErr w:type="spellStart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Saccharomyces</w:t>
      </w:r>
      <w:proofErr w:type="spellEnd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cerevisiae</w:t>
      </w:r>
      <w:proofErr w:type="spellEnd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Appl</w:t>
      </w:r>
      <w:proofErr w:type="spellEnd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Microbiol</w:t>
      </w:r>
      <w:proofErr w:type="spellEnd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Biotechnol</w:t>
      </w:r>
      <w:proofErr w:type="spellEnd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100:2737–2748. </w:t>
      </w:r>
      <w:hyperlink r:id="rId10" w:history="1">
        <w:r w:rsidRPr="000418E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https://doi.org/10.1007/s00253-015-7174-0</w:t>
        </w:r>
      </w:hyperlink>
    </w:p>
    <w:p w:rsidR="000418E0" w:rsidRPr="000418E0" w:rsidRDefault="000418E0" w:rsidP="000418E0">
      <w:pPr>
        <w:pStyle w:val="a7"/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Drozdova</w:t>
      </w:r>
      <w:proofErr w:type="spellEnd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P., </w:t>
      </w:r>
      <w:proofErr w:type="spellStart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Gurkov</w:t>
      </w:r>
      <w:proofErr w:type="spellEnd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A., </w:t>
      </w:r>
      <w:proofErr w:type="spellStart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Saranchina</w:t>
      </w:r>
      <w:proofErr w:type="spellEnd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A. </w:t>
      </w:r>
      <w:r w:rsidRPr="000418E0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et al.</w:t>
      </w:r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Transcriptional response of </w:t>
      </w:r>
      <w:proofErr w:type="spellStart"/>
      <w:r w:rsidRPr="000418E0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Saccharomyces</w:t>
      </w:r>
      <w:proofErr w:type="spellEnd"/>
      <w:r w:rsidRPr="000418E0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418E0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cerevisiae</w:t>
      </w:r>
      <w:proofErr w:type="spellEnd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 to lactic acid </w:t>
      </w:r>
      <w:proofErr w:type="spellStart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enantiomers</w:t>
      </w:r>
      <w:proofErr w:type="spellEnd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 </w:t>
      </w:r>
      <w:proofErr w:type="spellStart"/>
      <w:r w:rsidRPr="000418E0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Appl</w:t>
      </w:r>
      <w:proofErr w:type="spellEnd"/>
      <w:r w:rsidRPr="000418E0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418E0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Microbiol</w:t>
      </w:r>
      <w:proofErr w:type="spellEnd"/>
      <w:r w:rsidRPr="000418E0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418E0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-US"/>
        </w:rPr>
        <w:t>Biotechnol</w:t>
      </w:r>
      <w:proofErr w:type="spellEnd"/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0418E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108</w:t>
      </w:r>
      <w:r w:rsidRPr="0004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121 (2024). </w:t>
      </w:r>
      <w:hyperlink r:id="rId11" w:history="1">
        <w:r w:rsidRPr="000418E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0418E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://</w:t>
        </w:r>
        <w:proofErr w:type="spellStart"/>
        <w:r w:rsidRPr="000418E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doi</w:t>
        </w:r>
        <w:proofErr w:type="spellEnd"/>
        <w:r w:rsidRPr="000418E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.</w:t>
        </w:r>
        <w:r w:rsidRPr="000418E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org</w:t>
        </w:r>
        <w:r w:rsidRPr="000418E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/10.1007/</w:t>
        </w:r>
        <w:r w:rsidRPr="000418E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s</w:t>
        </w:r>
        <w:r w:rsidRPr="000418E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00253-023-12863-</w:t>
        </w:r>
        <w:r w:rsidRPr="000418E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z</w:t>
        </w:r>
      </w:hyperlink>
    </w:p>
    <w:sectPr w:rsidR="000418E0" w:rsidRPr="000418E0" w:rsidSect="00B20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7E4" w:rsidRDefault="00A337E4" w:rsidP="000418E0">
      <w:pPr>
        <w:spacing w:after="0" w:line="240" w:lineRule="auto"/>
      </w:pPr>
      <w:r>
        <w:separator/>
      </w:r>
    </w:p>
  </w:endnote>
  <w:endnote w:type="continuationSeparator" w:id="0">
    <w:p w:rsidR="00A337E4" w:rsidRDefault="00A337E4" w:rsidP="0004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7E4" w:rsidRDefault="00A337E4" w:rsidP="000418E0">
      <w:pPr>
        <w:spacing w:after="0" w:line="240" w:lineRule="auto"/>
      </w:pPr>
      <w:r>
        <w:separator/>
      </w:r>
    </w:p>
  </w:footnote>
  <w:footnote w:type="continuationSeparator" w:id="0">
    <w:p w:rsidR="00A337E4" w:rsidRDefault="00A337E4" w:rsidP="00041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C46BB"/>
    <w:multiLevelType w:val="hybridMultilevel"/>
    <w:tmpl w:val="8BC45566"/>
    <w:lvl w:ilvl="0" w:tplc="1AF807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222222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0006"/>
    <w:rsid w:val="00020492"/>
    <w:rsid w:val="000418E0"/>
    <w:rsid w:val="001E5215"/>
    <w:rsid w:val="0041763A"/>
    <w:rsid w:val="00490C94"/>
    <w:rsid w:val="004D4758"/>
    <w:rsid w:val="00587A6F"/>
    <w:rsid w:val="005E54B4"/>
    <w:rsid w:val="00622E18"/>
    <w:rsid w:val="006F2EDA"/>
    <w:rsid w:val="00743E14"/>
    <w:rsid w:val="008662F5"/>
    <w:rsid w:val="009E0006"/>
    <w:rsid w:val="009F3300"/>
    <w:rsid w:val="00A03AC7"/>
    <w:rsid w:val="00A337E4"/>
    <w:rsid w:val="00A7254D"/>
    <w:rsid w:val="00B20763"/>
    <w:rsid w:val="00BC3AEE"/>
    <w:rsid w:val="00C40A7D"/>
    <w:rsid w:val="00C63AA2"/>
    <w:rsid w:val="00E05FD2"/>
    <w:rsid w:val="00F1405C"/>
    <w:rsid w:val="00F17BC5"/>
    <w:rsid w:val="00FB0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492"/>
  </w:style>
  <w:style w:type="paragraph" w:styleId="2">
    <w:name w:val="heading 2"/>
    <w:basedOn w:val="a"/>
    <w:link w:val="20"/>
    <w:uiPriority w:val="9"/>
    <w:qFormat/>
    <w:rsid w:val="00BC3A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C3A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A6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C3A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3A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BC3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C3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3AE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418E0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041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418E0"/>
  </w:style>
  <w:style w:type="paragraph" w:styleId="aa">
    <w:name w:val="footer"/>
    <w:basedOn w:val="a"/>
    <w:link w:val="ab"/>
    <w:uiPriority w:val="99"/>
    <w:semiHidden/>
    <w:unhideWhenUsed/>
    <w:rsid w:val="00041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418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9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760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918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4588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s00253-023-12863-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007/s00253-015-7174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bios1005005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Mirr0y</dc:creator>
  <cp:lastModifiedBy>Mikhail Mirr0y</cp:lastModifiedBy>
  <cp:revision>2</cp:revision>
  <dcterms:created xsi:type="dcterms:W3CDTF">2024-12-27T11:21:00Z</dcterms:created>
  <dcterms:modified xsi:type="dcterms:W3CDTF">2024-12-27T11:21:00Z</dcterms:modified>
</cp:coreProperties>
</file>