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b/>
          <w:bCs/>
          <w:sz w:val="28"/>
          <w:szCs w:val="28"/>
        </w:rPr>
        <w:t xml:space="preserve">BECE406E — FPGA BASED SYSTEM DESIGN</w:t>
      </w:r>
    </w:p>
    <w:p>
      <w:pPr>
        <w:spacing w:after="600"/>
        <w:jc w:val="center"/>
      </w:pPr>
      <w:r>
        <w:rPr>
          <w:b/>
          <w:bCs/>
          <w:sz w:val="24"/>
          <w:szCs w:val="24"/>
        </w:rPr>
        <w:t xml:space="preserve">Final Project Report</w:t>
      </w:r>
    </w:p>
    <w:p>
      <w:pPr>
        <w:spacing w:after="800"/>
        <w:jc w:val="center"/>
      </w:pPr>
      <w:r>
        <w:rPr>
          <w:b/>
          <w:bCs/>
          <w:sz w:val="30"/>
          <w:szCs w:val="30"/>
        </w:rPr>
        <w:t xml:space="preserve">Hybrid Adder-Based 12×12 Multiplication: A Combination of CSA and Carry Select Adder</w:t>
      </w:r>
    </w:p>
    <w:p>
      <w:pPr>
        <w:spacing w:after="100"/>
        <w:jc w:val="center"/>
      </w:pPr>
      <w:r>
        <w:rPr>
          <w:sz w:val="24"/>
          <w:szCs w:val="24"/>
        </w:rPr>
        <w:t xml:space="preserve">Aniruddhan S — 23BLC1159</w:t>
      </w:r>
    </w:p>
    <w:p>
      <w:pPr>
        <w:spacing w:after="100"/>
        <w:jc w:val="center"/>
      </w:pPr>
      <w:r>
        <w:rPr>
          <w:sz w:val="24"/>
          <w:szCs w:val="24"/>
        </w:rPr>
        <w:t xml:space="preserve">Mirunalini A — 23BLC1224</w:t>
      </w:r>
    </w:p>
    <w:p>
      <w:pPr>
        <w:spacing w:after="600"/>
        <w:jc w:val="center"/>
      </w:pPr>
      <w:r>
        <w:rPr>
          <w:sz w:val="24"/>
          <w:szCs w:val="24"/>
        </w:rPr>
        <w:t xml:space="preserve">Vinay K — 23BLC1298</w:t>
      </w:r>
    </w:p>
    <w:p>
      <w:pPr>
        <w:spacing w:after="100"/>
        <w:jc w:val="center"/>
      </w:pPr>
      <w:r>
        <w:rPr>
          <w:i/>
          <w:iCs/>
          <w:sz w:val="22"/>
          <w:szCs w:val="22"/>
        </w:rPr>
        <w:t xml:space="preserve">Submitted to</w:t>
      </w:r>
    </w:p>
    <w:p>
      <w:pPr>
        <w:spacing w:after="100"/>
        <w:jc w:val="center"/>
      </w:pPr>
      <w:r>
        <w:rPr>
          <w:b/>
          <w:bCs/>
          <w:i/>
          <w:iCs/>
          <w:sz w:val="24"/>
          <w:szCs w:val="24"/>
        </w:rPr>
        <w:t xml:space="preserve">Dr. Jean Jennifer Nesam</w:t>
      </w:r>
    </w:p>
    <w:p>
      <w:pPr>
        <w:spacing w:after="100"/>
        <w:jc w:val="center"/>
      </w:pPr>
      <w:r>
        <w:rPr>
          <w:sz w:val="22"/>
          <w:szCs w:val="22"/>
        </w:rPr>
        <w:t xml:space="preserve">Slot: G1</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50"/>
      </w:pPr>
      <w:r>
        <w:t xml:space="preserve">Multiplication is a core arithmetic operation in Field Programmable Gate Arrays (FPGAs), especially in applications such as digital signal processing (DSP), image processing, and embedded systems. Although modern FPGAs provide dedicated DSP slices for multiplication, implementing custom multiplier architectures using hybrid adder designs is essential for understanding arithmetic optimization, resource utilization, and performance trade-offs.</w:t>
      </w:r>
    </w:p>
    <w:p>
      <w:pPr>
        <w:spacing w:after="150"/>
      </w:pPr>
      <w:r>
        <w:t xml:space="preserve">In this work, a 12×12 multiplier is designed on FPGA using a hybrid adder architecture that combines a Carry Save Adder (CSA) for partial-product reduction with a Carry Select Adder (CSLA) for the final, delay-critical addition stage. Two implementations were built and compared: a bit-level design without grouping, and a grouped, hybrid design using a CSA tree with a combined Ripple Carry Adder (RCA) and Carry Select Adder final stage.</w:t>
      </w:r>
    </w:p>
    <w:p>
      <w:pPr>
        <w:pStyle w:val="Heading1"/>
        <w:spacing w:after="150" w:before="300"/>
      </w:pPr>
      <w:r>
        <w:t xml:space="preserve">2. Multiplication on FPGA</w:t>
      </w:r>
    </w:p>
    <w:p>
      <w:pPr>
        <w:spacing w:after="150"/>
      </w:pPr>
      <w:r>
        <w:t xml:space="preserve">On FPGA, multiplication is performed through three stages:</w:t>
      </w:r>
    </w:p>
    <w:p>
      <w:pPr>
        <w:pStyle w:val="ListParagraph"/>
        <w:numPr>
          <w:ilvl w:val="0"/>
          <w:numId w:val="1"/>
        </w:numPr>
        <w:spacing w:after="80"/>
      </w:pPr>
      <w:r>
        <w:t xml:space="preserve">Partial Product Generation — using AND gates.</w:t>
      </w:r>
    </w:p>
    <w:p>
      <w:pPr>
        <w:pStyle w:val="ListParagraph"/>
        <w:numPr>
          <w:ilvl w:val="0"/>
          <w:numId w:val="1"/>
        </w:numPr>
        <w:spacing w:after="80"/>
      </w:pPr>
      <w:r>
        <w:t xml:space="preserve">Partial Product Addition (lower half) — using adders such as CSA.</w:t>
      </w:r>
    </w:p>
    <w:p>
      <w:pPr>
        <w:pStyle w:val="ListParagraph"/>
        <w:numPr>
          <w:ilvl w:val="0"/>
          <w:numId w:val="1"/>
        </w:numPr>
        <w:spacing w:after="80"/>
      </w:pPr>
      <w:r>
        <w:t xml:space="preserve">Final Addition (upper half) — using faster adders such as CSLA.</w:t>
      </w:r>
    </w:p>
    <w:p>
      <w:pPr>
        <w:spacing w:after="150"/>
      </w:pPr>
      <w:r>
        <w:t xml:space="preserve">Since FPGA performance is determined by propagation delay, LUT/ALM usage, and power consumption, efficient adder selection plays a key role in achieving optimized results.</w:t>
      </w:r>
    </w:p>
    <w:p>
      <w:pPr>
        <w:pStyle w:val="Heading2"/>
        <w:spacing w:after="120" w:before="250"/>
      </w:pPr>
      <w:r>
        <w:t xml:space="preserve">2.1 Carry Save Adder (CSA)</w:t>
      </w:r>
    </w:p>
    <w:p>
      <w:pPr>
        <w:pStyle w:val="ListParagraph"/>
        <w:numPr>
          <w:ilvl w:val="0"/>
          <w:numId w:val="1"/>
        </w:numPr>
        <w:spacing w:after="80"/>
      </w:pPr>
      <w:r>
        <w:t xml:space="preserve">Implemented where multiple partial products overlap heavily.</w:t>
      </w:r>
    </w:p>
    <w:p>
      <w:pPr>
        <w:pStyle w:val="ListParagraph"/>
        <w:numPr>
          <w:ilvl w:val="0"/>
          <w:numId w:val="1"/>
        </w:numPr>
        <w:spacing w:after="80"/>
      </w:pPr>
      <w:r>
        <w:t xml:space="preserve">Maps efficiently onto LUTs because it avoids long carry chains.</w:t>
      </w:r>
    </w:p>
    <w:p>
      <w:pPr>
        <w:pStyle w:val="ListParagraph"/>
        <w:numPr>
          <w:ilvl w:val="0"/>
          <w:numId w:val="1"/>
        </w:numPr>
        <w:spacing w:after="80"/>
      </w:pPr>
      <w:r>
        <w:t xml:space="preserve">Outputs two vectors (Sum and Carry), combined later in the final addition stage.</w:t>
      </w:r>
    </w:p>
    <w:p>
      <w:pPr>
        <w:pStyle w:val="ListParagraph"/>
        <w:numPr>
          <w:ilvl w:val="0"/>
          <w:numId w:val="1"/>
        </w:numPr>
        <w:spacing w:after="80"/>
      </w:pPr>
      <w:r>
        <w:t xml:space="preserve">Advantage: low delay due to absence of carry propagation across all bits.</w:t>
      </w:r>
    </w:p>
    <w:p>
      <w:pPr>
        <w:pStyle w:val="Heading2"/>
        <w:spacing w:after="120" w:before="250"/>
      </w:pPr>
      <w:r>
        <w:t xml:space="preserve">2.2 Carry Select Adder (CSLA)</w:t>
      </w:r>
    </w:p>
    <w:p>
      <w:pPr>
        <w:pStyle w:val="ListParagraph"/>
        <w:numPr>
          <w:ilvl w:val="0"/>
          <w:numId w:val="1"/>
        </w:numPr>
        <w:spacing w:after="80"/>
      </w:pPr>
      <w:r>
        <w:t xml:space="preserve">Implemented for the upper, more significant bits of the result.</w:t>
      </w:r>
    </w:p>
    <w:p>
      <w:pPr>
        <w:pStyle w:val="ListParagraph"/>
        <w:numPr>
          <w:ilvl w:val="0"/>
          <w:numId w:val="1"/>
        </w:numPr>
        <w:spacing w:after="80"/>
      </w:pPr>
      <w:r>
        <w:t xml:space="preserve">Precomputes results for both carry = 0 and carry = 1, selecting the correct output using multiplexers.</w:t>
      </w:r>
    </w:p>
    <w:p>
      <w:pPr>
        <w:pStyle w:val="ListParagraph"/>
        <w:numPr>
          <w:ilvl w:val="0"/>
          <w:numId w:val="1"/>
        </w:numPr>
        <w:spacing w:after="80"/>
      </w:pPr>
      <w:r>
        <w:t xml:space="preserve">Maps efficiently to parallel LUTs and multiplexers, reducing critical-path delay.</w:t>
      </w:r>
    </w:p>
    <w:p>
      <w:pPr>
        <w:pStyle w:val="ListParagraph"/>
        <w:numPr>
          <w:ilvl w:val="0"/>
          <w:numId w:val="1"/>
        </w:numPr>
        <w:spacing w:after="80"/>
      </w:pPr>
      <w:r>
        <w:t xml:space="preserve">Advantage: fast addition for higher-order bits where carry propagation would otherwise dominate.</w:t>
      </w:r>
    </w:p>
    <w:p>
      <w:pPr>
        <w:pStyle w:val="Heading2"/>
        <w:spacing w:after="120" w:before="250"/>
      </w:pPr>
      <w:r>
        <w:t xml:space="preserve">2.3 Hybrid Adder-Based Multiplier</w:t>
      </w:r>
    </w:p>
    <w:p>
      <w:pPr>
        <w:spacing w:after="150"/>
      </w:pPr>
      <w:r>
        <w:t xml:space="preserve">The proposed 12×12 multiplier combines both adder types so that CSA reduces partial products with minimal carry-chain delay, while CSLA (and a small RCA block for the least-significant final chunk) resolves the final sum quickly. This hybrid approach balances speed and logic utilization, leading to an optimized FPGA implementation.</w:t>
      </w:r>
    </w:p>
    <w:p>
      <w:pPr>
        <w:pStyle w:val="Heading1"/>
        <w:spacing w:after="150" w:before="300"/>
      </w:pPr>
      <w:r>
        <w:t xml:space="preserve">3. Block Diagram</w:t>
      </w:r>
    </w:p>
    <w:p>
      <w:pPr>
        <w:spacing w:after="200"/>
        <w:jc w:val="center"/>
      </w:pPr>
      <w:r>
        <w:drawing>
          <wp:inline distT="0" distB="0" distL="0" distR="0">
            <wp:extent cx="3619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362575"/>
                    </a:xfrm>
                    <a:prstGeom prst="rect">
                      <a:avLst/>
                    </a:prstGeom>
                  </pic:spPr>
                </pic:pic>
              </a:graphicData>
            </a:graphic>
          </wp:inline>
        </w:drawing>
      </w:r>
    </w:p>
    <w:p>
      <w:pPr>
        <w:spacing w:after="250"/>
        <w:jc w:val="center"/>
      </w:pPr>
      <w:r>
        <w:rPr>
          <w:i/>
          <w:iCs/>
          <w:sz w:val="20"/>
          <w:szCs w:val="20"/>
        </w:rPr>
        <w:t xml:space="preserve">Figure 1: Block diagram of the hybrid CSA + CSLA multiplier architecture.</w:t>
      </w:r>
    </w:p>
    <w:p>
      <w:r>
        <w:br w:type="page"/>
      </w:r>
    </w:p>
    <w:p>
      <w:pPr>
        <w:pStyle w:val="Heading1"/>
        <w:spacing w:after="150" w:before="300"/>
      </w:pPr>
      <w:r>
        <w:t xml:space="preserve">4. Design 1 — Without Bit Grouping</w:t>
      </w:r>
    </w:p>
    <w:p>
      <w:pPr>
        <w:spacing w:after="150"/>
      </w:pPr>
      <w:r>
        <w:t xml:space="preserve">In this design, multiplication is implemented directly at the bit level without grouping or segmenting the operands. Each bit of the multiplicand is ANDed with every bit of the multiplier, forming a 12×12 matrix of partial products. These partial products are arranged diagonally according to their weight positions and summed using a structured combination of Half Adders (HA) and Carry Save Adders (CSA). The final addition is performed using a Carry Select Adder (CSLA). This approach gives clear insight into the hardware structure but consumes more LUTs/ALMs due to the larger number of bit-level operations and interconnections.</w:t>
      </w:r>
    </w:p>
    <w:p>
      <w:pPr>
        <w:pStyle w:val="Heading2"/>
        <w:spacing w:after="120" w:before="250"/>
      </w:pPr>
      <w:r>
        <w:t xml:space="preserve">4.1 Verilog — Core Modules (excerpt)</w:t>
      </w:r>
    </w:p>
    <w:p>
      <w:pPr>
        <w:spacing w:after="150"/>
      </w:pPr>
      <w:r>
        <w:rPr>
          <w:i/>
          <w:iCs/>
          <w:sz w:val="20"/>
          <w:szCs w:val="20"/>
        </w:rPr>
        <w:t xml:space="preserve">Full source: rtl/multiplier_no_grouping.v in the GitHub repository.</w:t>
      </w:r>
    </w:p>
    <w:p>
      <w:pPr>
        <w:spacing w:after="0"/>
      </w:pPr>
      <w:r>
        <w:rPr>
          <w:rFonts w:ascii="Courier New" w:cs="Courier New" w:eastAsia="Courier New" w:hAnsi="Courier New"/>
          <w:sz w:val="18"/>
          <w:szCs w:val="18"/>
        </w:rPr>
        <w:t xml:space="preserve">module ha(a,b,sum,cout);</w:t>
      </w:r>
    </w:p>
    <w:p>
      <w:pPr>
        <w:spacing w:after="0"/>
      </w:pPr>
      <w:r>
        <w:rPr>
          <w:rFonts w:ascii="Courier New" w:cs="Courier New" w:eastAsia="Courier New" w:hAnsi="Courier New"/>
          <w:sz w:val="18"/>
          <w:szCs w:val="18"/>
        </w:rPr>
        <w:t xml:space="preserve">    input a,b;</w:t>
      </w:r>
    </w:p>
    <w:p>
      <w:pPr>
        <w:spacing w:after="0"/>
      </w:pPr>
      <w:r>
        <w:rPr>
          <w:rFonts w:ascii="Courier New" w:cs="Courier New" w:eastAsia="Courier New" w:hAnsi="Courier New"/>
          <w:sz w:val="18"/>
          <w:szCs w:val="18"/>
        </w:rPr>
        <w:t xml:space="preserve">    output sum,cout;</w:t>
      </w:r>
    </w:p>
    <w:p>
      <w:pPr>
        <w:spacing w:after="0"/>
      </w:pPr>
      <w:r>
        <w:rPr>
          <w:rFonts w:ascii="Courier New" w:cs="Courier New" w:eastAsia="Courier New" w:hAnsi="Courier New"/>
          <w:sz w:val="18"/>
          <w:szCs w:val="18"/>
        </w:rPr>
        <w:t xml:space="preserve">    assign sum = a^b;</w:t>
      </w:r>
    </w:p>
    <w:p>
      <w:pPr>
        <w:spacing w:after="0"/>
      </w:pPr>
      <w:r>
        <w:rPr>
          <w:rFonts w:ascii="Courier New" w:cs="Courier New" w:eastAsia="Courier New" w:hAnsi="Courier New"/>
          <w:sz w:val="18"/>
          <w:szCs w:val="18"/>
        </w:rPr>
        <w:t xml:space="preserve">    assign cout = a&amp;b;</w:t>
      </w:r>
    </w:p>
    <w:p>
      <w:pPr>
        <w:spacing w:after="0"/>
      </w:pPr>
      <w:r>
        <w:rPr>
          <w:rFonts w:ascii="Courier New" w:cs="Courier New" w:eastAsia="Courier New" w:hAnsi="Courier New"/>
          <w:sz w:val="18"/>
          <w:szCs w:val="18"/>
        </w:rPr>
        <w:t xml:space="preserve">endmodule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module csa(a,b,cin,sum,cout);</w:t>
      </w:r>
    </w:p>
    <w:p>
      <w:pPr>
        <w:spacing w:after="0"/>
      </w:pPr>
      <w:r>
        <w:rPr>
          <w:rFonts w:ascii="Courier New" w:cs="Courier New" w:eastAsia="Courier New" w:hAnsi="Courier New"/>
          <w:sz w:val="18"/>
          <w:szCs w:val="18"/>
        </w:rPr>
        <w:t xml:space="preserve">    input a,b,cin;</w:t>
      </w:r>
    </w:p>
    <w:p>
      <w:pPr>
        <w:spacing w:after="0"/>
      </w:pPr>
      <w:r>
        <w:rPr>
          <w:rFonts w:ascii="Courier New" w:cs="Courier New" w:eastAsia="Courier New" w:hAnsi="Courier New"/>
          <w:sz w:val="18"/>
          <w:szCs w:val="18"/>
        </w:rPr>
        <w:t xml:space="preserve">    output sum,cout;</w:t>
      </w:r>
    </w:p>
    <w:p>
      <w:pPr>
        <w:spacing w:after="0"/>
      </w:pPr>
      <w:r>
        <w:rPr>
          <w:rFonts w:ascii="Courier New" w:cs="Courier New" w:eastAsia="Courier New" w:hAnsi="Courier New"/>
          <w:sz w:val="18"/>
          <w:szCs w:val="18"/>
        </w:rPr>
        <w:t xml:space="preserve">    assign sum = a^b^cin;</w:t>
      </w:r>
    </w:p>
    <w:p>
      <w:pPr>
        <w:spacing w:after="0"/>
      </w:pPr>
      <w:r>
        <w:rPr>
          <w:rFonts w:ascii="Courier New" w:cs="Courier New" w:eastAsia="Courier New" w:hAnsi="Courier New"/>
          <w:sz w:val="18"/>
          <w:szCs w:val="18"/>
        </w:rPr>
        <w:t xml:space="preserve">    assign cout = (a&amp;b) | (a&amp;cin) | (b&amp;cin);</w:t>
      </w:r>
    </w:p>
    <w:p>
      <w:pPr>
        <w:spacing w:after="0"/>
      </w:pPr>
      <w:r>
        <w:rPr>
          <w:rFonts w:ascii="Courier New" w:cs="Courier New" w:eastAsia="Courier New" w:hAnsi="Courier New"/>
          <w:sz w:val="18"/>
          <w:szCs w:val="18"/>
        </w:rPr>
        <w:t xml:space="preserve">endmodule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module csel(a,b,cin,sum,cout);</w:t>
      </w:r>
    </w:p>
    <w:p>
      <w:pPr>
        <w:spacing w:after="0"/>
      </w:pPr>
      <w:r>
        <w:rPr>
          <w:rFonts w:ascii="Courier New" w:cs="Courier New" w:eastAsia="Courier New" w:hAnsi="Courier New"/>
          <w:sz w:val="18"/>
          <w:szCs w:val="18"/>
        </w:rPr>
        <w:t xml:space="preserve">    input a,b,cin;</w:t>
      </w:r>
    </w:p>
    <w:p>
      <w:pPr>
        <w:spacing w:after="0"/>
      </w:pPr>
      <w:r>
        <w:rPr>
          <w:rFonts w:ascii="Courier New" w:cs="Courier New" w:eastAsia="Courier New" w:hAnsi="Courier New"/>
          <w:sz w:val="18"/>
          <w:szCs w:val="18"/>
        </w:rPr>
        <w:t xml:space="preserve">    output sum,cout;</w:t>
      </w:r>
    </w:p>
    <w:p>
      <w:pPr>
        <w:spacing w:after="0"/>
      </w:pPr>
      <w:r>
        <w:rPr>
          <w:rFonts w:ascii="Courier New" w:cs="Courier New" w:eastAsia="Courier New" w:hAnsi="Courier New"/>
          <w:sz w:val="18"/>
          <w:szCs w:val="18"/>
        </w:rPr>
        <w:t xml:space="preserve">    wire sum0, cout0, sum1, cout1;</w:t>
      </w:r>
    </w:p>
    <w:p>
      <w:pPr>
        <w:spacing w:after="0"/>
      </w:pPr>
      <w:r>
        <w:rPr>
          <w:rFonts w:ascii="Courier New" w:cs="Courier New" w:eastAsia="Courier New" w:hAnsi="Courier New"/>
          <w:sz w:val="18"/>
          <w:szCs w:val="18"/>
        </w:rPr>
        <w:t xml:space="preserve">    assign sum0 = a^b;</w:t>
      </w:r>
    </w:p>
    <w:p>
      <w:pPr>
        <w:spacing w:after="0"/>
      </w:pPr>
      <w:r>
        <w:rPr>
          <w:rFonts w:ascii="Courier New" w:cs="Courier New" w:eastAsia="Courier New" w:hAnsi="Courier New"/>
          <w:sz w:val="18"/>
          <w:szCs w:val="18"/>
        </w:rPr>
        <w:t xml:space="preserve">    assign cout0 = a&amp;b;</w:t>
      </w:r>
    </w:p>
    <w:p>
      <w:pPr>
        <w:spacing w:after="0"/>
      </w:pPr>
      <w:r>
        <w:rPr>
          <w:rFonts w:ascii="Courier New" w:cs="Courier New" w:eastAsia="Courier New" w:hAnsi="Courier New"/>
          <w:sz w:val="18"/>
          <w:szCs w:val="18"/>
        </w:rPr>
        <w:t xml:space="preserve">    assign sum1 = a^b^1'b1;</w:t>
      </w:r>
    </w:p>
    <w:p>
      <w:pPr>
        <w:spacing w:after="0"/>
      </w:pPr>
      <w:r>
        <w:rPr>
          <w:rFonts w:ascii="Courier New" w:cs="Courier New" w:eastAsia="Courier New" w:hAnsi="Courier New"/>
          <w:sz w:val="18"/>
          <w:szCs w:val="18"/>
        </w:rPr>
        <w:t xml:space="preserve">    assign cout1 = a|b;</w:t>
      </w:r>
    </w:p>
    <w:p>
      <w:pPr>
        <w:spacing w:after="0"/>
      </w:pPr>
      <w:r>
        <w:rPr>
          <w:rFonts w:ascii="Courier New" w:cs="Courier New" w:eastAsia="Courier New" w:hAnsi="Courier New"/>
          <w:sz w:val="18"/>
          <w:szCs w:val="18"/>
        </w:rPr>
        <w:t xml:space="preserve">    assign sum  = cin ? sum1 : sum0;</w:t>
      </w:r>
    </w:p>
    <w:p>
      <w:pPr>
        <w:spacing w:after="0"/>
      </w:pPr>
      <w:r>
        <w:rPr>
          <w:rFonts w:ascii="Courier New" w:cs="Courier New" w:eastAsia="Courier New" w:hAnsi="Courier New"/>
          <w:sz w:val="18"/>
          <w:szCs w:val="18"/>
        </w:rPr>
        <w:t xml:space="preserve">    assign cout = cin ? cout1 : cout0;</w:t>
      </w:r>
    </w:p>
    <w:p>
      <w:pPr>
        <w:spacing w:after="0"/>
      </w:pPr>
      <w:r>
        <w:rPr>
          <w:rFonts w:ascii="Courier New" w:cs="Courier New" w:eastAsia="Courier New" w:hAnsi="Courier New"/>
          <w:sz w:val="18"/>
          <w:szCs w:val="18"/>
        </w:rPr>
        <w:t xml:space="preserve">endmodule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module multiplierForDa(a,b,pro);</w:t>
      </w:r>
    </w:p>
    <w:p>
      <w:pPr>
        <w:spacing w:after="0"/>
      </w:pPr>
      <w:r>
        <w:rPr>
          <w:rFonts w:ascii="Courier New" w:cs="Courier New" w:eastAsia="Courier New" w:hAnsi="Courier New"/>
          <w:sz w:val="18"/>
          <w:szCs w:val="18"/>
        </w:rPr>
        <w:t xml:space="preserve">    input  [11:0] a,b;</w:t>
      </w:r>
    </w:p>
    <w:p>
      <w:pPr>
        <w:spacing w:after="0"/>
      </w:pPr>
      <w:r>
        <w:rPr>
          <w:rFonts w:ascii="Courier New" w:cs="Courier New" w:eastAsia="Courier New" w:hAnsi="Courier New"/>
          <w:sz w:val="18"/>
          <w:szCs w:val="18"/>
        </w:rPr>
        <w:t xml:space="preserve">    output [23:0] pro;</w:t>
      </w:r>
    </w:p>
    <w:p>
      <w:pPr>
        <w:spacing w:after="0"/>
      </w:pPr>
      <w:r>
        <w:rPr>
          <w:rFonts w:ascii="Courier New" w:cs="Courier New" w:eastAsia="Courier New" w:hAnsi="Courier New"/>
          <w:sz w:val="18"/>
          <w:szCs w:val="18"/>
        </w:rPr>
        <w:t xml:space="preserve">    // ... 12x12 partial-product matrix reduced via ha/csa/csel stages</w:t>
      </w:r>
    </w:p>
    <w:p>
      <w:pPr>
        <w:spacing w:after="0"/>
      </w:pPr>
      <w:r>
        <w:rPr>
          <w:rFonts w:ascii="Courier New" w:cs="Courier New" w:eastAsia="Courier New" w:hAnsi="Courier New"/>
          <w:sz w:val="18"/>
          <w:szCs w:val="18"/>
        </w:rPr>
        <w:t xml:space="preserve">    // (see full listing in rtl/multiplier_no_grouping.v)</w:t>
      </w:r>
    </w:p>
    <w:p>
      <w:pPr>
        <w:spacing w:after="0"/>
      </w:pPr>
      <w:r>
        <w:rPr>
          <w:rFonts w:ascii="Courier New" w:cs="Courier New" w:eastAsia="Courier New" w:hAnsi="Courier New"/>
          <w:sz w:val="18"/>
          <w:szCs w:val="18"/>
        </w:rPr>
        <w:t xml:space="preserve">endmodule</w:t>
      </w:r>
    </w:p>
    <w:p>
      <w:pPr>
        <w:pStyle w:val="Heading2"/>
        <w:spacing w:after="120" w:before="250"/>
      </w:pPr>
      <w:r>
        <w:t xml:space="preserve">4.2 Simulation Results</w:t>
      </w:r>
    </w:p>
    <w:p>
      <w:pPr>
        <w:spacing w:after="200"/>
        <w:jc w:val="center"/>
      </w:pPr>
      <w:r>
        <w:drawing>
          <wp:inline distT="0" distB="0" distL="0" distR="0">
            <wp:extent cx="3810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828800"/>
                    </a:xfrm>
                    <a:prstGeom prst="rect">
                      <a:avLst/>
                    </a:prstGeom>
                  </pic:spPr>
                </pic:pic>
              </a:graphicData>
            </a:graphic>
          </wp:inline>
        </w:drawing>
      </w:r>
    </w:p>
    <w:p>
      <w:pPr>
        <w:spacing w:after="250"/>
        <w:jc w:val="center"/>
      </w:pPr>
      <w:r>
        <w:rPr>
          <w:i/>
          <w:iCs/>
          <w:sz w:val="20"/>
          <w:szCs w:val="20"/>
        </w:rPr>
        <w:t xml:space="preserve">Figure 2: Simulation waveform — Design 1.</w:t>
      </w:r>
    </w:p>
    <w:p>
      <w:pPr>
        <w:spacing w:after="200"/>
        <w:jc w:val="center"/>
      </w:pPr>
      <w:r>
        <w:drawing>
          <wp:inline distT="0" distB="0" distL="0" distR="0">
            <wp:extent cx="3619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800225"/>
                    </a:xfrm>
                    <a:prstGeom prst="rect">
                      <a:avLst/>
                    </a:prstGeom>
                  </pic:spPr>
                </pic:pic>
              </a:graphicData>
            </a:graphic>
          </wp:inline>
        </w:drawing>
      </w:r>
    </w:p>
    <w:p>
      <w:pPr>
        <w:spacing w:after="250"/>
        <w:jc w:val="center"/>
      </w:pPr>
      <w:r>
        <w:rPr>
          <w:i/>
          <w:iCs/>
          <w:sz w:val="20"/>
          <w:szCs w:val="20"/>
        </w:rPr>
        <w:t xml:space="preserve">Figure 3: Simulation output — Design 1.</w:t>
      </w:r>
    </w:p>
    <w:p>
      <w:pPr>
        <w:pStyle w:val="Heading2"/>
        <w:spacing w:after="120" w:before="250"/>
      </w:pPr>
      <w:r>
        <w:t xml:space="preserve">4.3 Synthesis Report</w:t>
      </w:r>
    </w:p>
    <w:p>
      <w:pPr>
        <w:spacing w:after="200"/>
        <w:jc w:val="center"/>
      </w:pPr>
      <w:r>
        <w:drawing>
          <wp:inline distT="0" distB="0" distL="0" distR="0">
            <wp:extent cx="3810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200275"/>
                    </a:xfrm>
                    <a:prstGeom prst="rect">
                      <a:avLst/>
                    </a:prstGeom>
                  </pic:spPr>
                </pic:pic>
              </a:graphicData>
            </a:graphic>
          </wp:inline>
        </w:drawing>
      </w:r>
    </w:p>
    <w:p>
      <w:pPr>
        <w:spacing w:after="250"/>
        <w:jc w:val="center"/>
      </w:pPr>
      <w:r>
        <w:rPr>
          <w:i/>
          <w:iCs/>
          <w:sz w:val="20"/>
          <w:szCs w:val="20"/>
        </w:rPr>
        <w:t xml:space="preserve">Figure 4: Synthesis summary — Design 1.</w:t>
      </w:r>
    </w:p>
    <w:p>
      <w:pPr>
        <w:spacing w:after="200"/>
        <w:jc w:val="center"/>
      </w:pPr>
      <w:r>
        <w:drawing>
          <wp:inline distT="0" distB="0" distL="0" distR="0">
            <wp:extent cx="3810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819275"/>
                    </a:xfrm>
                    <a:prstGeom prst="rect">
                      <a:avLst/>
                    </a:prstGeom>
                  </pic:spPr>
                </pic:pic>
              </a:graphicData>
            </a:graphic>
          </wp:inline>
        </w:drawing>
      </w:r>
    </w:p>
    <w:p>
      <w:pPr>
        <w:spacing w:after="250"/>
        <w:jc w:val="center"/>
      </w:pPr>
      <w:r>
        <w:rPr>
          <w:i/>
          <w:iCs/>
          <w:sz w:val="20"/>
          <w:szCs w:val="20"/>
        </w:rPr>
        <w:t xml:space="preserve">Figure 5: Resource utilization — Design 1.</w:t>
      </w:r>
    </w:p>
    <w:p>
      <w:pPr>
        <w:spacing w:after="200"/>
        <w:jc w:val="center"/>
      </w:pPr>
      <w:r>
        <w:drawing>
          <wp:inline distT="0" distB="0" distL="0" distR="0">
            <wp:extent cx="3619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543175"/>
                    </a:xfrm>
                    <a:prstGeom prst="rect">
                      <a:avLst/>
                    </a:prstGeom>
                  </pic:spPr>
                </pic:pic>
              </a:graphicData>
            </a:graphic>
          </wp:inline>
        </w:drawing>
      </w:r>
    </w:p>
    <w:p>
      <w:pPr>
        <w:spacing w:after="250"/>
        <w:jc w:val="center"/>
      </w:pPr>
      <w:r>
        <w:rPr>
          <w:i/>
          <w:iCs/>
          <w:sz w:val="20"/>
          <w:szCs w:val="20"/>
        </w:rPr>
        <w:t xml:space="preserve">Figure 6: Synthesis report screen — Design 1.</w:t>
      </w:r>
    </w:p>
    <w:p>
      <w:pPr>
        <w:spacing w:after="200"/>
        <w:jc w:val="center"/>
      </w:pPr>
      <w:r>
        <w:drawing>
          <wp:inline distT="0" distB="0" distL="0" distR="0">
            <wp:extent cx="3810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200275"/>
                    </a:xfrm>
                    <a:prstGeom prst="rect">
                      <a:avLst/>
                    </a:prstGeom>
                  </pic:spPr>
                </pic:pic>
              </a:graphicData>
            </a:graphic>
          </wp:inline>
        </w:drawing>
      </w:r>
    </w:p>
    <w:p>
      <w:pPr>
        <w:spacing w:after="250"/>
        <w:jc w:val="center"/>
      </w:pPr>
      <w:r>
        <w:rPr>
          <w:i/>
          <w:iCs/>
          <w:sz w:val="20"/>
          <w:szCs w:val="20"/>
        </w:rPr>
        <w:t xml:space="preserve">Figure 7: Synthesis report (compiler summary) — Design 1.</w:t>
      </w:r>
    </w:p>
    <w:p>
      <w:pPr>
        <w:spacing w:after="200"/>
        <w:jc w:val="center"/>
      </w:pPr>
      <w:r>
        <w:drawing>
          <wp:inline distT="0" distB="0" distL="0" distR="0">
            <wp:extent cx="3810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828800"/>
                    </a:xfrm>
                    <a:prstGeom prst="rect">
                      <a:avLst/>
                    </a:prstGeom>
                  </pic:spPr>
                </pic:pic>
              </a:graphicData>
            </a:graphic>
          </wp:inline>
        </w:drawing>
      </w:r>
    </w:p>
    <w:p>
      <w:pPr>
        <w:spacing w:after="250"/>
        <w:jc w:val="center"/>
      </w:pPr>
      <w:r>
        <w:rPr>
          <w:i/>
          <w:iCs/>
          <w:sz w:val="20"/>
          <w:szCs w:val="20"/>
        </w:rPr>
        <w:t xml:space="preserve">Figure 8: Fitter resource summary — Design 1.</w:t>
      </w:r>
    </w:p>
    <w:p>
      <w:pPr>
        <w:spacing w:after="200"/>
        <w:jc w:val="center"/>
      </w:pPr>
      <w:r>
        <w:drawing>
          <wp:inline distT="0" distB="0" distL="0" distR="0">
            <wp:extent cx="3619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543175"/>
                    </a:xfrm>
                    <a:prstGeom prst="rect">
                      <a:avLst/>
                    </a:prstGeom>
                  </pic:spPr>
                </pic:pic>
              </a:graphicData>
            </a:graphic>
          </wp:inline>
        </w:drawing>
      </w:r>
    </w:p>
    <w:p>
      <w:pPr>
        <w:spacing w:after="250"/>
        <w:jc w:val="center"/>
      </w:pPr>
      <w:r>
        <w:rPr>
          <w:i/>
          <w:iCs/>
          <w:sz w:val="20"/>
          <w:szCs w:val="20"/>
        </w:rPr>
        <w:t xml:space="preserve">Figure 9: Fitter summary detail — Design 1.</w:t>
      </w:r>
    </w:p>
    <w:p>
      <w:pPr>
        <w:pStyle w:val="Heading2"/>
        <w:spacing w:after="120" w:before="250"/>
      </w:pPr>
      <w:r>
        <w:t xml:space="preserve">4.4 Power and Delay — Design 1</w:t>
      </w:r>
    </w:p>
    <w:p>
      <w:pPr>
        <w:spacing w:after="200"/>
        <w:jc w:val="center"/>
      </w:pPr>
      <w:r>
        <w:drawing>
          <wp:inline distT="0" distB="0" distL="0" distR="0">
            <wp:extent cx="3810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542925"/>
                    </a:xfrm>
                    <a:prstGeom prst="rect">
                      <a:avLst/>
                    </a:prstGeom>
                  </pic:spPr>
                </pic:pic>
              </a:graphicData>
            </a:graphic>
          </wp:inline>
        </w:drawing>
      </w:r>
    </w:p>
    <w:p>
      <w:pPr>
        <w:spacing w:after="200"/>
        <w:jc w:val="center"/>
      </w:pPr>
      <w:r>
        <w:drawing>
          <wp:inline distT="0" distB="0" distL="0" distR="0">
            <wp:extent cx="3810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990725"/>
                    </a:xfrm>
                    <a:prstGeom prst="rect">
                      <a:avLst/>
                    </a:prstGeom>
                  </pic:spPr>
                </pic:pic>
              </a:graphicData>
            </a:graphic>
          </wp:inline>
        </w:drawing>
      </w:r>
    </w:p>
    <w:p>
      <w:pPr>
        <w:spacing w:after="250"/>
        <w:jc w:val="center"/>
      </w:pPr>
      <w:r>
        <w:rPr>
          <w:i/>
          <w:iCs/>
          <w:sz w:val="20"/>
          <w:szCs w:val="20"/>
        </w:rPr>
        <w:t xml:space="preserve">Figure 10: Power analyzer summary — Design 1.</w:t>
      </w:r>
    </w:p>
    <w:p>
      <w:r>
        <w:br w:type="page"/>
      </w:r>
    </w:p>
    <w:p>
      <w:pPr>
        <w:pStyle w:val="Heading1"/>
        <w:spacing w:after="150" w:before="300"/>
      </w:pPr>
      <w:r>
        <w:t xml:space="preserve">5. Design 2 — With Bit Grouping (Final Hybrid Design)</w:t>
      </w:r>
    </w:p>
    <w:p>
      <w:pPr>
        <w:spacing w:after="150"/>
      </w:pPr>
      <w:r>
        <w:t xml:space="preserve">In the grouped version, the 12-bit operands are processed via an 11-bit Carry Save Adder tree (csa_12) that reduces twelve partial-product rows into a sum/carry pair using cascaded stages of full adders. The final addition combines a Ripple Carry Adder (RCA) for the least-significant chunk with a Carry Select Adder for the upper, more significant bits — built recursively from 11/12/13/14/15-bit carry-select blocks composed of 3-bit and 2-bit ripple-carry adders.</w:t>
      </w:r>
    </w:p>
    <w:p>
      <w:pPr>
        <w:spacing w:after="150"/>
      </w:pPr>
      <w:r>
        <w:t xml:space="preserve">This grouped structure minimizes overall critical-path delay, improves resource utilization, and offers a modular, scalable implementation. It is the final, recommended design of this project.</w:t>
      </w:r>
    </w:p>
    <w:p>
      <w:pPr>
        <w:pStyle w:val="Heading2"/>
        <w:spacing w:after="120" w:before="250"/>
      </w:pPr>
      <w:r>
        <w:t xml:space="preserve">5.1 Verilog — Top Module (excerpt)</w:t>
      </w:r>
    </w:p>
    <w:p>
      <w:pPr>
        <w:spacing w:after="150"/>
      </w:pPr>
      <w:r>
        <w:rPr>
          <w:i/>
          <w:iCs/>
          <w:sz w:val="20"/>
          <w:szCs w:val="20"/>
        </w:rPr>
        <w:t xml:space="preserve">Full source: rtl/multiplier_grouped.v in the GitHub repository.</w:t>
      </w:r>
    </w:p>
    <w:p>
      <w:pPr>
        <w:spacing w:after="0"/>
      </w:pPr>
      <w:r>
        <w:rPr>
          <w:rFonts w:ascii="Courier New" w:cs="Courier New" w:eastAsia="Courier New" w:hAnsi="Courier New"/>
          <w:sz w:val="18"/>
          <w:szCs w:val="18"/>
        </w:rPr>
        <w:t xml:space="preserve">module multi_12(a,b,pro);</w:t>
      </w:r>
    </w:p>
    <w:p>
      <w:pPr>
        <w:spacing w:after="0"/>
      </w:pPr>
      <w:r>
        <w:rPr>
          <w:rFonts w:ascii="Courier New" w:cs="Courier New" w:eastAsia="Courier New" w:hAnsi="Courier New"/>
          <w:sz w:val="18"/>
          <w:szCs w:val="18"/>
        </w:rPr>
        <w:t xml:space="preserve">    input  [11:0] a,b;</w:t>
      </w:r>
    </w:p>
    <w:p>
      <w:pPr>
        <w:spacing w:after="0"/>
      </w:pPr>
      <w:r>
        <w:rPr>
          <w:rFonts w:ascii="Courier New" w:cs="Courier New" w:eastAsia="Courier New" w:hAnsi="Courier New"/>
          <w:sz w:val="18"/>
          <w:szCs w:val="18"/>
        </w:rPr>
        <w:t xml:space="preserve">    output [23:0] pro;</w:t>
      </w:r>
    </w:p>
    <w:p>
      <w:pPr>
        <w:spacing w:after="0"/>
      </w:pPr>
      <w:r>
        <w:rPr>
          <w:rFonts w:ascii="Courier New" w:cs="Courier New" w:eastAsia="Courier New" w:hAnsi="Courier New"/>
          <w:sz w:val="18"/>
          <w:szCs w:val="18"/>
        </w:rPr>
        <w:t xml:space="preserve">    // 12 partial-product rows -&gt; 11-bit CSA tree (csa_12)</w:t>
      </w:r>
    </w:p>
    <w:p>
      <w:pPr>
        <w:spacing w:after="0"/>
      </w:pPr>
      <w:r>
        <w:rPr>
          <w:rFonts w:ascii="Courier New" w:cs="Courier New" w:eastAsia="Courier New" w:hAnsi="Courier New"/>
          <w:sz w:val="18"/>
          <w:szCs w:val="18"/>
        </w:rPr>
        <w:t xml:space="preserve">    // -&gt; RCA for LSB chunk + 11-bit Carry-Select Adder for MSB chunk</w:t>
      </w:r>
    </w:p>
    <w:p>
      <w:pPr>
        <w:spacing w:after="0"/>
      </w:pPr>
      <w:r>
        <w:rPr>
          <w:rFonts w:ascii="Courier New" w:cs="Courier New" w:eastAsia="Courier New" w:hAnsi="Courier New"/>
          <w:sz w:val="18"/>
          <w:szCs w:val="18"/>
        </w:rPr>
        <w:t xml:space="preserve">    csa_12 adder1(w1,w2,...,w12, csa_sum, csa_carry);</w:t>
      </w:r>
    </w:p>
    <w:p>
      <w:pPr>
        <w:spacing w:after="0"/>
      </w:pPr>
      <w:r>
        <w:rPr>
          <w:rFonts w:ascii="Courier New" w:cs="Courier New" w:eastAsia="Courier New" w:hAnsi="Courier New"/>
          <w:sz w:val="18"/>
          <w:szCs w:val="18"/>
        </w:rPr>
        <w:t xml:space="preserve">    carry_select_adder_11bit adder2(w13,...,w23,w24,1'b0,</w:t>
      </w:r>
    </w:p>
    <w:p>
      <w:pPr>
        <w:spacing w:after="0"/>
      </w:pPr>
      <w:r>
        <w:rPr>
          <w:rFonts w:ascii="Courier New" w:cs="Courier New" w:eastAsia="Courier New" w:hAnsi="Courier New"/>
          <w:sz w:val="18"/>
          <w:szCs w:val="18"/>
        </w:rPr>
        <w:t xml:space="preserve">                                     Carry_select_adder_sum,</w:t>
      </w:r>
    </w:p>
    <w:p>
      <w:pPr>
        <w:spacing w:after="0"/>
      </w:pPr>
      <w:r>
        <w:rPr>
          <w:rFonts w:ascii="Courier New" w:cs="Courier New" w:eastAsia="Courier New" w:hAnsi="Courier New"/>
          <w:sz w:val="18"/>
          <w:szCs w:val="18"/>
        </w:rPr>
        <w:t xml:space="preserve">                                     carry_select_adder_carry);</w:t>
      </w:r>
    </w:p>
    <w:p>
      <w:pPr>
        <w:spacing w:after="0"/>
      </w:pPr>
      <w:r>
        <w:rPr>
          <w:rFonts w:ascii="Courier New" w:cs="Courier New" w:eastAsia="Courier New" w:hAnsi="Courier New"/>
          <w:sz w:val="18"/>
          <w:szCs w:val="18"/>
        </w:rPr>
        <w:t xml:space="preserve">    assign pro[0]     = a[0]&amp;b[0];</w:t>
      </w:r>
    </w:p>
    <w:p>
      <w:pPr>
        <w:spacing w:after="0"/>
      </w:pPr>
      <w:r>
        <w:rPr>
          <w:rFonts w:ascii="Courier New" w:cs="Courier New" w:eastAsia="Courier New" w:hAnsi="Courier New"/>
          <w:sz w:val="18"/>
          <w:szCs w:val="18"/>
        </w:rPr>
        <w:t xml:space="preserve">    assign pro[11:1]  = csa_sum[10:0];</w:t>
      </w:r>
    </w:p>
    <w:p>
      <w:pPr>
        <w:spacing w:after="0"/>
      </w:pPr>
      <w:r>
        <w:rPr>
          <w:rFonts w:ascii="Courier New" w:cs="Courier New" w:eastAsia="Courier New" w:hAnsi="Courier New"/>
          <w:sz w:val="18"/>
          <w:szCs w:val="18"/>
        </w:rPr>
        <w:t xml:space="preserve">    assign pro[23:12] = Carry_select_adder_sum[12:0];</w:t>
      </w:r>
    </w:p>
    <w:p>
      <w:pPr>
        <w:spacing w:after="0"/>
      </w:pPr>
      <w:r>
        <w:rPr>
          <w:rFonts w:ascii="Courier New" w:cs="Courier New" w:eastAsia="Courier New" w:hAnsi="Courier New"/>
          <w:sz w:val="18"/>
          <w:szCs w:val="18"/>
        </w:rPr>
        <w:t xml:space="preserve">endmodule</w:t>
      </w:r>
    </w:p>
    <w:p>
      <w:pPr>
        <w:pStyle w:val="Heading2"/>
        <w:spacing w:after="120" w:before="250"/>
      </w:pPr>
      <w:r>
        <w:t xml:space="preserve">5.2 Simulation Results</w:t>
      </w:r>
    </w:p>
    <w:p>
      <w:pPr>
        <w:spacing w:after="200"/>
        <w:jc w:val="center"/>
      </w:pPr>
      <w:r>
        <w:drawing>
          <wp:inline distT="0" distB="0" distL="0" distR="0">
            <wp:extent cx="2667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3990975"/>
                    </a:xfrm>
                    <a:prstGeom prst="rect">
                      <a:avLst/>
                    </a:prstGeom>
                  </pic:spPr>
                </pic:pic>
              </a:graphicData>
            </a:graphic>
          </wp:inline>
        </w:drawing>
      </w:r>
    </w:p>
    <w:p>
      <w:pPr>
        <w:spacing w:after="250"/>
        <w:jc w:val="center"/>
      </w:pPr>
      <w:r>
        <w:rPr>
          <w:i/>
          <w:iCs/>
          <w:sz w:val="20"/>
          <w:szCs w:val="20"/>
        </w:rPr>
        <w:t xml:space="preserve">Figure 11: Simulation waveform — Design 2 (grouped).</w:t>
      </w:r>
    </w:p>
    <w:p>
      <w:pPr>
        <w:spacing w:after="200"/>
        <w:jc w:val="center"/>
      </w:pPr>
      <w:r>
        <w:drawing>
          <wp:inline distT="0" distB="0" distL="0" distR="0">
            <wp:extent cx="3619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514600"/>
                    </a:xfrm>
                    <a:prstGeom prst="rect">
                      <a:avLst/>
                    </a:prstGeom>
                  </pic:spPr>
                </pic:pic>
              </a:graphicData>
            </a:graphic>
          </wp:inline>
        </w:drawing>
      </w:r>
    </w:p>
    <w:p>
      <w:pPr>
        <w:spacing w:after="250"/>
        <w:jc w:val="center"/>
      </w:pPr>
      <w:r>
        <w:rPr>
          <w:i/>
          <w:iCs/>
          <w:sz w:val="20"/>
          <w:szCs w:val="20"/>
        </w:rPr>
        <w:t xml:space="preserve">Figure 12: Simulation output — Design 2 (grouped).</w:t>
      </w:r>
    </w:p>
    <w:p>
      <w:pPr>
        <w:pStyle w:val="Heading2"/>
        <w:spacing w:after="120" w:before="250"/>
      </w:pPr>
      <w:r>
        <w:t xml:space="preserve">5.3 Synthesis Report</w:t>
      </w:r>
    </w:p>
    <w:p>
      <w:pPr>
        <w:spacing w:after="200"/>
        <w:jc w:val="center"/>
      </w:pPr>
      <w:r>
        <w:drawing>
          <wp:inline distT="0" distB="0" distL="0" distR="0">
            <wp:extent cx="3810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781300"/>
                    </a:xfrm>
                    <a:prstGeom prst="rect">
                      <a:avLst/>
                    </a:prstGeom>
                  </pic:spPr>
                </pic:pic>
              </a:graphicData>
            </a:graphic>
          </wp:inline>
        </w:drawing>
      </w:r>
    </w:p>
    <w:p>
      <w:pPr>
        <w:spacing w:after="250"/>
        <w:jc w:val="center"/>
      </w:pPr>
      <w:r>
        <w:rPr>
          <w:i/>
          <w:iCs/>
          <w:sz w:val="20"/>
          <w:szCs w:val="20"/>
        </w:rPr>
        <w:t xml:space="preserve">Figure 13: Synthesis summary — Design 2.</w:t>
      </w:r>
    </w:p>
    <w:p>
      <w:pPr>
        <w:spacing w:after="200"/>
        <w:jc w:val="center"/>
      </w:pPr>
      <w:r>
        <w:drawing>
          <wp:inline distT="0" distB="0" distL="0" distR="0">
            <wp:extent cx="3238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0" cy="4924425"/>
                    </a:xfrm>
                    <a:prstGeom prst="rect">
                      <a:avLst/>
                    </a:prstGeom>
                  </pic:spPr>
                </pic:pic>
              </a:graphicData>
            </a:graphic>
          </wp:inline>
        </w:drawing>
      </w:r>
    </w:p>
    <w:p>
      <w:pPr>
        <w:spacing w:after="250"/>
        <w:jc w:val="center"/>
      </w:pPr>
      <w:r>
        <w:rPr>
          <w:i/>
          <w:iCs/>
          <w:sz w:val="20"/>
          <w:szCs w:val="20"/>
        </w:rPr>
        <w:t xml:space="preserve">Figure 14: Resource utilization detail — Design 2.</w:t>
      </w:r>
    </w:p>
    <w:p>
      <w:pPr>
        <w:pStyle w:val="Heading2"/>
        <w:spacing w:after="120" w:before="250"/>
      </w:pPr>
      <w:r>
        <w:t xml:space="preserve">5.4 Power and Delay — Design 2</w:t>
      </w:r>
    </w:p>
    <w:p>
      <w:pPr>
        <w:spacing w:after="200"/>
        <w:jc w:val="center"/>
      </w:pPr>
      <w:r>
        <w:drawing>
          <wp:inline distT="0" distB="0" distL="0" distR="0">
            <wp:extent cx="3810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428625"/>
                    </a:xfrm>
                    <a:prstGeom prst="rect">
                      <a:avLst/>
                    </a:prstGeom>
                  </pic:spPr>
                </pic:pic>
              </a:graphicData>
            </a:graphic>
          </wp:inline>
        </w:drawing>
      </w:r>
    </w:p>
    <w:p>
      <w:pPr>
        <w:spacing w:after="200"/>
        <w:jc w:val="center"/>
      </w:pPr>
      <w:r>
        <w:drawing>
          <wp:inline distT="0" distB="0" distL="0" distR="0">
            <wp:extent cx="3810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1857375"/>
                    </a:xfrm>
                    <a:prstGeom prst="rect">
                      <a:avLst/>
                    </a:prstGeom>
                  </pic:spPr>
                </pic:pic>
              </a:graphicData>
            </a:graphic>
          </wp:inline>
        </w:drawing>
      </w:r>
    </w:p>
    <w:p>
      <w:pPr>
        <w:spacing w:after="250"/>
        <w:jc w:val="center"/>
      </w:pPr>
      <w:r>
        <w:rPr>
          <w:i/>
          <w:iCs/>
          <w:sz w:val="20"/>
          <w:szCs w:val="20"/>
        </w:rPr>
        <w:t xml:space="preserve">Figure 15: Power analyzer summary — Design 2.</w:t>
      </w:r>
    </w:p>
    <w:p>
      <w:r>
        <w:br w:type="page"/>
      </w:r>
    </w:p>
    <w:p>
      <w:pPr>
        <w:pStyle w:val="Heading1"/>
        <w:spacing w:after="150" w:before="300"/>
      </w:pPr>
      <w:r>
        <w:t xml:space="preserve">6. Results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shd w:fill="D9E2F3" w:val="clear"/>
          </w:tcPr>
          <w:p>
            <w:r>
              <w:rPr>
                <w:b/>
                <w:bCs/>
                <w:sz w:val="20"/>
                <w:szCs w:val="20"/>
              </w:rPr>
              <w:t xml:space="preserve">PARAMETER</w:t>
            </w:r>
          </w:p>
        </w:tc>
        <w:tc>
          <w:tcPr>
            <w:tcW w:type="dxa" w:w="3300"/>
            <w:shd w:fill="D9E2F3" w:val="clear"/>
          </w:tcPr>
          <w:p>
            <w:r>
              <w:rPr>
                <w:b/>
                <w:bCs/>
                <w:sz w:val="20"/>
                <w:szCs w:val="20"/>
              </w:rPr>
              <w:t xml:space="preserve">CSA + CSLA Multiplier (Code 1)</w:t>
            </w:r>
          </w:p>
        </w:tc>
        <w:tc>
          <w:tcPr>
            <w:tcW w:type="dxa" w:w="3300"/>
            <w:shd w:fill="D9E2F3" w:val="clear"/>
          </w:tcPr>
          <w:p>
            <w:r>
              <w:rPr>
                <w:b/>
                <w:bCs/>
                <w:sz w:val="20"/>
                <w:szCs w:val="20"/>
              </w:rPr>
              <w:t xml:space="preserve">Hybrid Multiplier — Grouping (Code 2)</w:t>
            </w:r>
          </w:p>
        </w:tc>
      </w:tr>
      <w:tr>
        <w:tc>
          <w:tcPr>
            <w:tcW w:type="dxa" w:w="3000"/>
          </w:tcPr>
          <w:p>
            <w:r>
              <w:rPr>
                <w:b w:val="false"/>
                <w:bCs w:val="false"/>
                <w:sz w:val="20"/>
                <w:szCs w:val="20"/>
              </w:rPr>
              <w:t xml:space="preserve">Logic Utilization (ALMs)</w:t>
            </w:r>
          </w:p>
        </w:tc>
        <w:tc>
          <w:tcPr>
            <w:tcW w:type="dxa" w:w="3300"/>
          </w:tcPr>
          <w:p>
            <w:r>
              <w:rPr>
                <w:b w:val="false"/>
                <w:bCs w:val="false"/>
                <w:sz w:val="20"/>
                <w:szCs w:val="20"/>
              </w:rPr>
              <w:t xml:space="preserve">221 / 41,910</w:t>
            </w:r>
          </w:p>
        </w:tc>
        <w:tc>
          <w:tcPr>
            <w:tcW w:type="dxa" w:w="3300"/>
          </w:tcPr>
          <w:p>
            <w:r>
              <w:rPr>
                <w:b w:val="false"/>
                <w:bCs w:val="false"/>
                <w:sz w:val="20"/>
                <w:szCs w:val="20"/>
              </w:rPr>
              <w:t xml:space="preserve">185 / 41,910</w:t>
            </w:r>
          </w:p>
        </w:tc>
      </w:tr>
      <w:tr>
        <w:tc>
          <w:tcPr>
            <w:tcW w:type="dxa" w:w="3000"/>
          </w:tcPr>
          <w:p>
            <w:r>
              <w:rPr>
                <w:b w:val="false"/>
                <w:bCs w:val="false"/>
                <w:sz w:val="20"/>
                <w:szCs w:val="20"/>
              </w:rPr>
              <w:t xml:space="preserve">Core Dynamic Power (mW)</w:t>
            </w:r>
          </w:p>
        </w:tc>
        <w:tc>
          <w:tcPr>
            <w:tcW w:type="dxa" w:w="3300"/>
          </w:tcPr>
          <w:p>
            <w:r>
              <w:rPr>
                <w:b w:val="false"/>
                <w:bCs w:val="false"/>
                <w:sz w:val="20"/>
                <w:szCs w:val="20"/>
              </w:rPr>
              <w:t xml:space="preserve">30.83</w:t>
            </w:r>
          </w:p>
        </w:tc>
        <w:tc>
          <w:tcPr>
            <w:tcW w:type="dxa" w:w="3300"/>
          </w:tcPr>
          <w:p>
            <w:r>
              <w:rPr>
                <w:b w:val="false"/>
                <w:bCs w:val="false"/>
                <w:sz w:val="20"/>
                <w:szCs w:val="20"/>
              </w:rPr>
              <w:t xml:space="preserve">23.99</w:t>
            </w:r>
          </w:p>
        </w:tc>
      </w:tr>
      <w:tr>
        <w:tc>
          <w:tcPr>
            <w:tcW w:type="dxa" w:w="3000"/>
          </w:tcPr>
          <w:p>
            <w:r>
              <w:rPr>
                <w:b w:val="false"/>
                <w:bCs w:val="false"/>
                <w:sz w:val="20"/>
                <w:szCs w:val="20"/>
              </w:rPr>
              <w:t xml:space="preserve">Core Static Power (mW)</w:t>
            </w:r>
          </w:p>
        </w:tc>
        <w:tc>
          <w:tcPr>
            <w:tcW w:type="dxa" w:w="3300"/>
          </w:tcPr>
          <w:p>
            <w:r>
              <w:rPr>
                <w:b w:val="false"/>
                <w:bCs w:val="false"/>
                <w:sz w:val="20"/>
                <w:szCs w:val="20"/>
              </w:rPr>
              <w:t xml:space="preserve">544.98</w:t>
            </w:r>
          </w:p>
        </w:tc>
        <w:tc>
          <w:tcPr>
            <w:tcW w:type="dxa" w:w="3300"/>
          </w:tcPr>
          <w:p>
            <w:r>
              <w:rPr>
                <w:b w:val="false"/>
                <w:bCs w:val="false"/>
                <w:sz w:val="20"/>
                <w:szCs w:val="20"/>
              </w:rPr>
              <w:t xml:space="preserve">544.98</w:t>
            </w:r>
          </w:p>
        </w:tc>
      </w:tr>
      <w:tr>
        <w:tc>
          <w:tcPr>
            <w:tcW w:type="dxa" w:w="3000"/>
          </w:tcPr>
          <w:p>
            <w:r>
              <w:rPr>
                <w:b w:val="false"/>
                <w:bCs w:val="false"/>
                <w:sz w:val="20"/>
                <w:szCs w:val="20"/>
              </w:rPr>
              <w:t xml:space="preserve">I/O Thermal Power (mW)</w:t>
            </w:r>
          </w:p>
        </w:tc>
        <w:tc>
          <w:tcPr>
            <w:tcW w:type="dxa" w:w="3300"/>
          </w:tcPr>
          <w:p>
            <w:r>
              <w:rPr>
                <w:b w:val="false"/>
                <w:bCs w:val="false"/>
                <w:sz w:val="20"/>
                <w:szCs w:val="20"/>
              </w:rPr>
              <w:t xml:space="preserve">20,776.69</w:t>
            </w:r>
          </w:p>
        </w:tc>
        <w:tc>
          <w:tcPr>
            <w:tcW w:type="dxa" w:w="3300"/>
          </w:tcPr>
          <w:p>
            <w:r>
              <w:rPr>
                <w:b w:val="false"/>
                <w:bCs w:val="false"/>
                <w:sz w:val="20"/>
                <w:szCs w:val="20"/>
              </w:rPr>
              <w:t xml:space="preserve">20,767.56</w:t>
            </w:r>
          </w:p>
        </w:tc>
      </w:tr>
      <w:tr>
        <w:tc>
          <w:tcPr>
            <w:tcW w:type="dxa" w:w="3000"/>
          </w:tcPr>
          <w:p>
            <w:r>
              <w:rPr>
                <w:b w:val="false"/>
                <w:bCs w:val="false"/>
                <w:sz w:val="20"/>
                <w:szCs w:val="20"/>
              </w:rPr>
              <w:t xml:space="preserve">Total Thermal Power Dissipation (mW)</w:t>
            </w:r>
          </w:p>
        </w:tc>
        <w:tc>
          <w:tcPr>
            <w:tcW w:type="dxa" w:w="3300"/>
          </w:tcPr>
          <w:p>
            <w:r>
              <w:rPr>
                <w:b w:val="false"/>
                <w:bCs w:val="false"/>
                <w:sz w:val="20"/>
                <w:szCs w:val="20"/>
              </w:rPr>
              <w:t xml:space="preserve">21,352.50</w:t>
            </w:r>
          </w:p>
        </w:tc>
        <w:tc>
          <w:tcPr>
            <w:tcW w:type="dxa" w:w="3300"/>
          </w:tcPr>
          <w:p>
            <w:r>
              <w:rPr>
                <w:b w:val="false"/>
                <w:bCs w:val="false"/>
                <w:sz w:val="20"/>
                <w:szCs w:val="20"/>
              </w:rPr>
              <w:t xml:space="preserve">21,336.53</w:t>
            </w:r>
          </w:p>
        </w:tc>
      </w:tr>
      <w:tr>
        <w:tc>
          <w:tcPr>
            <w:tcW w:type="dxa" w:w="3000"/>
          </w:tcPr>
          <w:p>
            <w:r>
              <w:rPr>
                <w:b w:val="false"/>
                <w:bCs w:val="false"/>
                <w:sz w:val="20"/>
                <w:szCs w:val="20"/>
              </w:rPr>
              <w:t xml:space="preserve">Power Estimation Confidence</w:t>
            </w:r>
          </w:p>
        </w:tc>
        <w:tc>
          <w:tcPr>
            <w:tcW w:type="dxa" w:w="3300"/>
          </w:tcPr>
          <w:p>
            <w:r>
              <w:rPr>
                <w:b w:val="false"/>
                <w:bCs w:val="false"/>
                <w:sz w:val="20"/>
                <w:szCs w:val="20"/>
              </w:rPr>
              <w:t xml:space="preserve">Low (insufficient toggle data)</w:t>
            </w:r>
          </w:p>
        </w:tc>
        <w:tc>
          <w:tcPr>
            <w:tcW w:type="dxa" w:w="3300"/>
          </w:tcPr>
          <w:p>
            <w:r>
              <w:rPr>
                <w:b w:val="false"/>
                <w:bCs w:val="false"/>
                <w:sz w:val="20"/>
                <w:szCs w:val="20"/>
              </w:rPr>
              <w:t xml:space="preserve">Low (insufficient toggle data)</w:t>
            </w:r>
          </w:p>
        </w:tc>
      </w:tr>
      <w:tr>
        <w:tc>
          <w:tcPr>
            <w:tcW w:type="dxa" w:w="3000"/>
          </w:tcPr>
          <w:p>
            <w:r>
              <w:rPr>
                <w:b w:val="false"/>
                <w:bCs w:val="false"/>
                <w:sz w:val="20"/>
                <w:szCs w:val="20"/>
              </w:rPr>
              <w:t xml:space="preserve">Timing Slack (min)</w:t>
            </w:r>
          </w:p>
        </w:tc>
        <w:tc>
          <w:tcPr>
            <w:tcW w:type="dxa" w:w="3300"/>
          </w:tcPr>
          <w:p>
            <w:r>
              <w:rPr>
                <w:b w:val="false"/>
                <w:bCs w:val="false"/>
                <w:sz w:val="20"/>
                <w:szCs w:val="20"/>
              </w:rPr>
              <w:t xml:space="preserve">0.183 ns (Slow 0°C)</w:t>
            </w:r>
          </w:p>
        </w:tc>
        <w:tc>
          <w:tcPr>
            <w:tcW w:type="dxa" w:w="3300"/>
          </w:tcPr>
          <w:p>
            <w:r>
              <w:rPr>
                <w:b w:val="false"/>
                <w:bCs w:val="false"/>
                <w:sz w:val="20"/>
                <w:szCs w:val="20"/>
              </w:rPr>
              <w:t xml:space="preserve">0.000 ns (Slow 0°C)</w:t>
            </w:r>
          </w:p>
        </w:tc>
      </w:tr>
      <w:tr>
        <w:tc>
          <w:tcPr>
            <w:tcW w:type="dxa" w:w="3000"/>
          </w:tcPr>
          <w:p>
            <w:r>
              <w:rPr>
                <w:b w:val="false"/>
                <w:bCs w:val="false"/>
                <w:sz w:val="20"/>
                <w:szCs w:val="20"/>
              </w:rPr>
              <w:t xml:space="preserve">Clock Relationship</w:t>
            </w:r>
          </w:p>
        </w:tc>
        <w:tc>
          <w:tcPr>
            <w:tcW w:type="dxa" w:w="3300"/>
          </w:tcPr>
          <w:p>
            <w:r>
              <w:rPr>
                <w:b w:val="false"/>
                <w:bCs w:val="false"/>
                <w:sz w:val="20"/>
                <w:szCs w:val="20"/>
              </w:rPr>
              <w:t xml:space="preserve">14.001 ns</w:t>
            </w:r>
          </w:p>
        </w:tc>
        <w:tc>
          <w:tcPr>
            <w:tcW w:type="dxa" w:w="3300"/>
          </w:tcPr>
          <w:p>
            <w:r>
              <w:rPr>
                <w:b w:val="false"/>
                <w:bCs w:val="false"/>
                <w:sz w:val="20"/>
                <w:szCs w:val="20"/>
              </w:rPr>
              <w:t xml:space="preserve">12.255 ns</w:t>
            </w:r>
          </w:p>
        </w:tc>
      </w:tr>
    </w:tbl>
    <w:p>
      <w:pPr>
        <w:spacing w:before="200"/>
      </w:pPr>
    </w:p>
    <w:p>
      <w:pPr>
        <w:pStyle w:val="Heading2"/>
        <w:spacing w:after="120" w:before="250"/>
      </w:pPr>
      <w:r>
        <w:t xml:space="preserve">6.1 Area Efficiency</w:t>
      </w:r>
    </w:p>
    <w:p>
      <w:pPr>
        <w:spacing w:after="150"/>
      </w:pPr>
      <w:r>
        <w:t xml:space="preserve">The hybrid CSA–Carry Select multiplier (Design 2) uses ~16% fewer ALMs (185 vs 221), showing better hardware utilization.</w:t>
      </w:r>
    </w:p>
    <w:p>
      <w:pPr>
        <w:pStyle w:val="Heading2"/>
        <w:spacing w:after="120" w:before="250"/>
      </w:pPr>
      <w:r>
        <w:t xml:space="preserve">6.2 Power Efficiency</w:t>
      </w:r>
    </w:p>
    <w:p>
      <w:pPr>
        <w:spacing w:after="150"/>
      </w:pPr>
      <w:r>
        <w:t xml:space="preserve">Design 2 consumes slightly lower total power (21.336 W vs 21.352 W) and less dynamic power (23.99 mW vs 30.83 mW), implying improved switching activity and internal optimization.</w:t>
      </w:r>
    </w:p>
    <w:p>
      <w:pPr>
        <w:pStyle w:val="Heading2"/>
        <w:spacing w:after="120" w:before="250"/>
      </w:pPr>
      <w:r>
        <w:t xml:space="preserve">6.3 Timing</w:t>
      </w:r>
    </w:p>
    <w:p>
      <w:pPr>
        <w:spacing w:after="150"/>
      </w:pPr>
      <w:r>
        <w:t xml:space="preserve">Both designs meet timing, but Design 2 operates with a shorter clock relationship (12.255 ns vs 14.001 ns), suggesting a higher potential operating frequency — at the cost of a tighter (zero) timing slack margin.</w:t>
      </w:r>
    </w:p>
    <w:p>
      <w:pPr>
        <w:pStyle w:val="Heading1"/>
        <w:spacing w:after="150" w:before="300"/>
      </w:pPr>
      <w:r>
        <w:t xml:space="preserve">7. Conclusion</w:t>
      </w:r>
    </w:p>
    <w:p>
      <w:pPr>
        <w:spacing w:after="150"/>
      </w:pPr>
      <w:r>
        <w:t xml:space="preserve">The proposed 12×12 hybrid adder-based multiplier demonstrates an efficient FPGA implementation by strategically combining Carry Save Adder (CSA) and Carry Select Adder (CSLA) architectures, with a Ripple Carry Adder handling the least-significant final chunk. By utilizing CSA where partial products overlap most, the design minimizes carry propagation during partial-product accumulation, while CSLA accelerates final addition in the most delay-sensitive region. This division of labor reduces critical-path delay, optimizes LUT/ALM utilization, and balances performance with resource consumption.</w:t>
      </w:r>
    </w:p>
    <w:p>
      <w:pPr>
        <w:spacing w:after="150"/>
      </w:pPr>
      <w:r>
        <w:t xml:space="preserve">Between the two implementations, the grouped hybrid design (Design 2) is the better-performing architecture overall: fewer logic resources (185 vs 221 ALMs), lower dynamic power (23.99 mW vs 30.83 mW), and a faster clock relationship (12.255 ns vs 14.001 ns), making it the more scalable and performance-optimized choice for larger multipliers on FPGA.</w:t>
      </w:r>
    </w:p>
    <w:p>
      <w:pPr>
        <w:pStyle w:val="Heading1"/>
        <w:spacing w:after="150" w:before="300"/>
      </w:pPr>
      <w:r>
        <w:t xml:space="preserve">8. Authors</w:t>
      </w:r>
    </w:p>
    <w:p>
      <w:pPr>
        <w:pStyle w:val="ListParagraph"/>
        <w:numPr>
          <w:ilvl w:val="0"/>
          <w:numId w:val="1"/>
        </w:numPr>
        <w:spacing w:after="80"/>
      </w:pPr>
      <w:r>
        <w:t xml:space="preserve">Aniruddhan S — 23BLC1159</w:t>
      </w:r>
    </w:p>
    <w:p>
      <w:pPr>
        <w:pStyle w:val="ListParagraph"/>
        <w:numPr>
          <w:ilvl w:val="0"/>
          <w:numId w:val="1"/>
        </w:numPr>
        <w:spacing w:after="80"/>
      </w:pPr>
      <w:r>
        <w:t xml:space="preserve">Mirunalini A — 23BLC1224</w:t>
      </w:r>
    </w:p>
    <w:p>
      <w:pPr>
        <w:pStyle w:val="ListParagraph"/>
        <w:numPr>
          <w:ilvl w:val="0"/>
          <w:numId w:val="1"/>
        </w:numPr>
        <w:spacing w:after="80"/>
      </w:pPr>
      <w:r>
        <w:t xml:space="preserve">Vinay K — 23BLC1298</w:t>
      </w:r>
    </w:p>
    <w:p>
      <w:pPr>
        <w:spacing w:after="150"/>
      </w:pPr>
      <w:r>
        <w:rPr>
          <w:i/>
          <w:iCs/>
        </w:rPr>
        <w:t xml:space="preserve">BECE406E – FPGA Based System Design, VIT Chennai · Guide: Dr. Jean Jennifer Nesam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b4f582f39d05fb2340b6292e2c7e3b0be5f536.jpg"/><Relationship Id="rId8" Type="http://schemas.openxmlformats.org/officeDocument/2006/relationships/image" Target="media/5abfa9aae046238d0d929a168894cae466ae27da.jpg"/><Relationship Id="rId9" Type="http://schemas.openxmlformats.org/officeDocument/2006/relationships/image" Target="media/9ad0c1a8222a9b4348c58239850923ecebff7389.png"/><Relationship Id="rId10" Type="http://schemas.openxmlformats.org/officeDocument/2006/relationships/image" Target="media/9c76c04d1e7bed3660fafd867f7daed075249b9c.png"/><Relationship Id="rId11" Type="http://schemas.openxmlformats.org/officeDocument/2006/relationships/image" Target="media/51021e7ea7518d5710cca316e2bbc5d365ea9a9b.png"/><Relationship Id="rId12" Type="http://schemas.openxmlformats.org/officeDocument/2006/relationships/image" Target="media/94c9244fd0b18789f38d3d8f99c26f071fa975dc.jpg"/><Relationship Id="rId13" Type="http://schemas.openxmlformats.org/officeDocument/2006/relationships/image" Target="media/8c207603d675597710fdda61af5fcfe1c08a0c79.png"/><Relationship Id="rId14" Type="http://schemas.openxmlformats.org/officeDocument/2006/relationships/image" Target="media/9599ea8d63c08b6c295aea376b43582d34099a56.png"/><Relationship Id="rId15" Type="http://schemas.openxmlformats.org/officeDocument/2006/relationships/image" Target="media/d7887f82531a66bf95c2c4ab553e84cbc18f0ce9.png"/><Relationship Id="rId16" Type="http://schemas.openxmlformats.org/officeDocument/2006/relationships/image" Target="media/1a25387e024244df0bd30b89887a87a48613e866.png"/><Relationship Id="rId17" Type="http://schemas.openxmlformats.org/officeDocument/2006/relationships/image" Target="media/7892d2c2920aa4a70a6307cfcc2c1fbbe5967ec4.png"/><Relationship Id="rId18" Type="http://schemas.openxmlformats.org/officeDocument/2006/relationships/image" Target="media/6e95851592a56b5659889b57fc814cba6ae53edf.png"/><Relationship Id="rId19" Type="http://schemas.openxmlformats.org/officeDocument/2006/relationships/image" Target="media/26ccee23e77982f86a4ce4e314030d220bef8131.png"/><Relationship Id="rId20" Type="http://schemas.openxmlformats.org/officeDocument/2006/relationships/image" Target="media/18f6de421147ea5ebf699d77a6440481594200fd.png"/><Relationship Id="rId21" Type="http://schemas.openxmlformats.org/officeDocument/2006/relationships/image" Target="media/6d74036ca87f38f742c8c4ee17961ccee6a9dd13.png"/><Relationship Id="rId22" Type="http://schemas.openxmlformats.org/officeDocument/2006/relationships/image" Target="media/532b658b19497aacdae05b060ce103cb4762a354.png"/><Relationship Id="rId23" Type="http://schemas.openxmlformats.org/officeDocument/2006/relationships/image" Target="media/3388eae4313fb2e8d84f646cb89767c33cd9676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2026-07-26T12:14:17.581Z</dcterms:created>
  <dcterms:modified xsi:type="dcterms:W3CDTF">2026-07-26T12:14:17.592Z</dcterms:modified>
</cp:coreProperties>
</file>

<file path=docProps/custom.xml><?xml version="1.0" encoding="utf-8"?>
<Properties xmlns="http://schemas.openxmlformats.org/officeDocument/2006/custom-properties" xmlns:vt="http://schemas.openxmlformats.org/officeDocument/2006/docPropsVTypes"/>
</file>