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Project Initialization and Planning Phase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0.4798889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26 July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087890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MIRUTHALA M 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Global AI Adoption in Education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Define Problem Statements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Problem Statement Template):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9999999999998" w:line="1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Ind w:w="0.4798889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560"/>
        <w:gridCol w:w="1635"/>
        <w:gridCol w:w="1335"/>
        <w:gridCol w:w="1680"/>
        <w:gridCol w:w="2085"/>
        <w:tblGridChange w:id="0">
          <w:tblGrid>
            <w:gridCol w:w="1335"/>
            <w:gridCol w:w="1560"/>
            <w:gridCol w:w="1635"/>
            <w:gridCol w:w="1335"/>
            <w:gridCol w:w="1680"/>
            <w:gridCol w:w="2085"/>
          </w:tblGrid>
        </w:tblGridChange>
      </w:tblGrid>
      <w:tr>
        <w:trPr>
          <w:cantSplit w:val="0"/>
          <w:trHeight w:val="595.19989013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Problem 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120.2400207519531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Statement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351562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 am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(Customer)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I’m trying 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5974121093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351562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Because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05761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Which makes me feel</w:t>
            </w:r>
          </w:p>
        </w:tc>
      </w:tr>
      <w:tr>
        <w:trPr>
          <w:cantSplit w:val="0"/>
          <w:trHeight w:val="3658.86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600524902343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PS-1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 Education Policymaker / Education Administrator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Understand the global adoption of AI in education across countries, regions, students, teachers, and communities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required information is scattered across different data categories and is difficult to compare quickly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There is no single interactive visual platform that presents global AI adoption trends, country comparisons, student-teacher usage, rural-urban differences, and regional adoption in one place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  <w:tbl>
            <w:tblPr>
              <w:tblStyle w:val="Table3"/>
              <w:tblW w:w="9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30"/>
              <w:tblGridChange w:id="0">
                <w:tblGrid>
                  <w:gridCol w:w="93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Challenged in understanding AI adoption patterns and making data-driven decisions for educational planning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32116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600524902343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PS-2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 Education Researcher / Data Analyst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Analyze the growth and distribution of AI adoption in education from 2015 to 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 is difficult to identify trends and relationships from raw records and numerical data alone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There is no centralized interactive dashboard that visually presents AI adoption levels, leading AI tools, country-level usage, and rural-urban comparisons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Challenged in extracting meaningful insights and comparing AI adoption across different dimensions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20" w:w="11900" w:orient="portrait"/>
      <w:pgMar w:bottom="1788.4796142578125" w:top="840.001220703125" w:left="1440" w:right="403.20068359375" w:header="431.99999999999994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widowControl w:val="0"/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-466722</wp:posOffset>
          </wp:positionH>
          <wp:positionV relativeFrom="paragraph">
            <wp:posOffset>-335276</wp:posOffset>
          </wp:positionV>
          <wp:extent cx="1804988" cy="741334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2709" r="2709" t="0"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6">
    <w:pPr>
      <w:widowControl w:val="0"/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JV4jJ1OuIQh5kfOhSUJ/yB5M1A==">CgMxLjA4AHIhMVFTWWItRjRwaFJRaW9UZUhHdm13cm5DOUtIUEV3WW1f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