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Project Initialization and Planning Phase</w:t>
      </w:r>
      <w:r w:rsidDel="00000000" w:rsidR="00000000" w:rsidRPr="00000000">
        <w:rPr>
          <w:rtl w:val="0"/>
        </w:rPr>
      </w:r>
    </w:p>
    <w:p w:rsidR="00000000" w:rsidDel="00000000" w:rsidP="00000000" w:rsidRDefault="00000000" w:rsidRPr="00000000" w14:paraId="00000002">
      <w:pPr>
        <w:widowControl w:val="1"/>
        <w:spacing w:after="160" w:line="12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July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MIRUTHALA M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AI Adoption in Education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Marks</w:t>
            </w:r>
          </w:p>
        </w:tc>
      </w:tr>
    </w:tbl>
    <w:p w:rsidR="00000000" w:rsidDel="00000000" w:rsidP="00000000" w:rsidRDefault="00000000" w:rsidRPr="00000000" w14:paraId="0000000B">
      <w:pPr>
        <w:widowControl w:val="1"/>
        <w:spacing w:after="160" w:lin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Proposal (Proposed Solution) template</w:t>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6930"/>
        <w:tblGridChange w:id="0">
          <w:tblGrid>
            <w:gridCol w:w="2430"/>
            <w:gridCol w:w="6930"/>
          </w:tblGrid>
        </w:tblGridChange>
      </w:tblGrid>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Overview</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global AI adoption in education and develop an interactive Tableau dashboard that presents AI usage trends, country-level comparisons, student and teacher usage, rural and urban adoption, leading AI tools, and regional school AI adoption. </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includes collecting and preparing AI education adoption data, cleaning and analyzing the dataset, creating visualizations in Tableau, analyzing AI adoption from 2015 to 2026, comparing countries and regions, analyzing rural and urban AI usage, and publishing an interactive Tableau dashboard. </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adoption in education is growing across different countries and communities. However, the data related to AI usage, student and teacher adoption, rural and urban differences, AI tools, and regional adoption can be difficult to analyze when presented as raw records or separate data points. Users need a centralized visual platform to explore and compare these different aspects of AI adoption. </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Addressing this problem makes global AI adoption data easier to understand and compare. An interactive dashboard can help users identify trends, understand adoption gaps, compare countries and regions, and generate meaningful insights for educational analysis and planning</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is a data analytics and visualization approach. The AI education adoption dataset is collected, cleaned, prepared, and analyzed using Tableau. Different visualizations are created to analyze country-level AI usage, student-teacher comparisons, AI adoption trends from 2015 to 2026, rural-urban differences, leading AI tools, adoption levels, and regional school adoption. These visualizations are combined into an interactive Tableau dashboard. </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interactive dashboard provides a concise overview of global AI adoption through key metrics, country comparisons, adoption trends, student–teacher usage, rural–urban differences, AI tool usage, and adoption-level classification. </w:t>
            </w:r>
          </w:p>
        </w:tc>
      </w:tr>
    </w:tbl>
    <w:p w:rsidR="00000000" w:rsidDel="00000000" w:rsidP="00000000" w:rsidRDefault="00000000" w:rsidRPr="00000000" w14:paraId="00000020">
      <w:pPr>
        <w:widowControl w:val="1"/>
        <w:spacing w:after="160" w:lin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Requirements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Type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Specification/Allocation</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Computing 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Development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2 x NVIDIA V100 GPUs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GB RAM minimum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 space for data, models, and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1 GB</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frameworks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Flask (</w:t>
            </w:r>
            <w:r w:rsidDel="00000000" w:rsidR="00000000" w:rsidRPr="00000000">
              <w:rPr>
                <w:rFonts w:ascii="Roboto Mono" w:cs="Roboto Mono" w:eastAsia="Roboto Mono" w:hAnsi="Roboto Mono"/>
                <w:sz w:val="24"/>
                <w:szCs w:val="24"/>
                <w:rtl w:val="0"/>
              </w:rPr>
              <w:t xml:space="preserve">v3.0.3</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libraries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Gunicorn (</w:t>
            </w:r>
            <w:r w:rsidDel="00000000" w:rsidR="00000000" w:rsidRPr="00000000">
              <w:rPr>
                <w:rFonts w:ascii="Roboto Mono" w:cs="Roboto Mono" w:eastAsia="Roboto Mono" w:hAnsi="Roboto Mono"/>
                <w:sz w:val="24"/>
                <w:szCs w:val="24"/>
                <w:rtl w:val="0"/>
              </w:rPr>
              <w:t xml:space="preserve">v21.2.0</w:t>
            </w:r>
            <w:r w:rsidDel="00000000" w:rsidR="00000000" w:rsidRPr="00000000">
              <w:rPr>
                <w:rFonts w:ascii="Times New Roman" w:cs="Times New Roman" w:eastAsia="Times New Roman" w:hAnsi="Times New Roman"/>
                <w:sz w:val="24"/>
                <w:szCs w:val="24"/>
                <w:rtl w:val="0"/>
              </w:rPr>
              <w:t xml:space="preserve">) for stable cloud routing execution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version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 (or Text Editor), macOS Terminal, Git, and GitHub UI</w:t>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records data</w:t>
            </w:r>
          </w:p>
        </w:tc>
        <w:tc>
          <w:tcPr>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Cleaned Heart Disease Clinical Metrics Dataset (CSV format)</w:t>
            </w:r>
          </w:p>
        </w:tc>
      </w:tr>
    </w:tbl>
    <w:p w:rsidR="00000000" w:rsidDel="00000000" w:rsidP="00000000" w:rsidRDefault="00000000" w:rsidRPr="00000000" w14:paraId="00000043">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1"/>
        <w:spacing w:after="160" w:line="259" w:lineRule="auto"/>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-466722</wp:posOffset>
          </wp:positionH>
          <wp:positionV relativeFrom="paragraph">
            <wp:posOffset>-335276</wp:posOffset>
          </wp:positionV>
          <wp:extent cx="1804988" cy="74133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2709" r="2709" t="0"/>
                  <a:stretch>
                    <a:fillRect/>
                  </a:stretch>
                </pic:blipFill>
                <pic:spPr>
                  <a:xfrm>
                    <a:off x="0" y="0"/>
                    <a:ext cx="1804988" cy="741334"/>
                  </a:xfrm>
                  <a:prstGeom prst="rect"/>
                  <a:ln/>
                </pic:spPr>
              </pic:pic>
            </a:graphicData>
          </a:graphic>
        </wp:anchor>
      </w:drawing>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vpYshYfelhTZ9SkS38bscku0Dw==">CgMxLjA4AHIhMWx3VTR3bUNBTF92a1NwZVV5ZVpadnZMcFViS3RjZFBf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