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Adoption in Education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895"/>
        <w:gridCol w:w="1185"/>
        <w:gridCol w:w="3450"/>
        <w:tblGridChange w:id="0">
          <w:tblGrid>
            <w:gridCol w:w="1845"/>
            <w:gridCol w:w="2895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Quality Issue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Adoption in Education Dataset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or incomplete values may affect calculations such as average AI usage and adoption percentages.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the dataset for null or blank values and handle them appropriately before creating Tableau visualizations. </w:t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OyE3o6bIY/x3MmXIsWywq4RRg==">CgMxLjA4AHIhMUFTaGVwV3B2d3VlQkU3dG5jVmkxWHlrVmFsaEk2cHFq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