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July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MIRUTHALA M 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Education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data sources, assesses quality issues like missing values and duplicates, and implements resolution plans to ensure accurate and reliable analysis.</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510"/>
        <w:tblGridChange w:id="0">
          <w:tblGrid>
            <w:gridCol w:w="2850"/>
            <w:gridCol w:w="651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Global AI Adoption in Education dataset containing country, region, year, student AI usage, teacher AI usage, rural AI usage, urban AI usage, AI tool usage, and AI adoption level information. The dataset is used to analyze global AI adoption patterns and create interactive Tableau visualizations.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The dataset was checked for missing or incomplete values before analysis. </w:t>
            </w:r>
            <w:r w:rsidDel="00000000" w:rsidR="00000000" w:rsidRPr="00000000">
              <w:rPr>
                <w:rFonts w:ascii="Times New Roman" w:cs="Times New Roman" w:eastAsia="Times New Roman" w:hAnsi="Times New Roman"/>
                <w:b w:val="1"/>
                <w:bCs w:val="1"/>
                <w:sz w:val="24"/>
                <w:szCs w:val="24"/>
                <w:rtl w:val="0"/>
              </w:rPr>
              <w:t xml:space="preserve">Duplicates:</w:t>
            </w:r>
            <w:r w:rsidDel="00000000" w:rsidR="00000000" w:rsidRPr="00000000">
              <w:rPr>
                <w:rFonts w:ascii="Times New Roman" w:cs="Times New Roman" w:eastAsia="Times New Roman" w:hAnsi="Times New Roman"/>
                <w:sz w:val="24"/>
                <w:szCs w:val="24"/>
                <w:rtl w:val="0"/>
              </w:rPr>
              <w:t xml:space="preserve"> Duplicate records were reviewed and removed where necessary to maintain data integrity. </w:t>
            </w:r>
            <w:r w:rsidDel="00000000" w:rsidR="00000000" w:rsidRPr="00000000">
              <w:rPr>
                <w:rFonts w:ascii="Times New Roman" w:cs="Times New Roman" w:eastAsia="Times New Roman" w:hAnsi="Times New Roman"/>
                <w:b w:val="1"/>
                <w:bCs w:val="1"/>
                <w:sz w:val="24"/>
                <w:szCs w:val="24"/>
                <w:rtl w:val="0"/>
              </w:rPr>
              <w:t xml:space="preserve">Error Correction:</w:t>
            </w:r>
            <w:r w:rsidDel="00000000" w:rsidR="00000000" w:rsidRPr="00000000">
              <w:rPr>
                <w:rFonts w:ascii="Times New Roman" w:cs="Times New Roman" w:eastAsia="Times New Roman" w:hAnsi="Times New Roman"/>
                <w:sz w:val="24"/>
                <w:szCs w:val="24"/>
                <w:rtl w:val="0"/>
              </w:rPr>
              <w:t xml:space="preserve"> Inconsistent country, region, category, and text values were checked and standardized to ensure proper grouping and filtering in Tableau.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Calculated Fields:</w:t>
            </w:r>
            <w:r w:rsidDel="00000000" w:rsidR="00000000" w:rsidRPr="00000000">
              <w:rPr>
                <w:rFonts w:ascii="Times New Roman" w:cs="Times New Roman" w:eastAsia="Times New Roman" w:hAnsi="Times New Roman"/>
                <w:sz w:val="24"/>
                <w:szCs w:val="24"/>
                <w:rtl w:val="0"/>
              </w:rPr>
              <w:t xml:space="preserve"> KPI measures such as average daily AI usage, average rural AI usage, and average urban AI usage were used for analysis. </w:t>
            </w:r>
            <w:r w:rsidDel="00000000" w:rsidR="00000000" w:rsidRPr="00000000">
              <w:rPr>
                <w:rFonts w:ascii="Times New Roman" w:cs="Times New Roman" w:eastAsia="Times New Roman" w:hAnsi="Times New Roman"/>
                <w:b w:val="1"/>
                <w:bCs w:val="1"/>
                <w:sz w:val="24"/>
                <w:szCs w:val="24"/>
                <w:rtl w:val="0"/>
              </w:rPr>
              <w:t xml:space="preserve">Aggregations:</w:t>
            </w:r>
            <w:r w:rsidDel="00000000" w:rsidR="00000000" w:rsidRPr="00000000">
              <w:rPr>
                <w:rFonts w:ascii="Times New Roman" w:cs="Times New Roman" w:eastAsia="Times New Roman" w:hAnsi="Times New Roman"/>
                <w:sz w:val="24"/>
                <w:szCs w:val="24"/>
                <w:rtl w:val="0"/>
              </w:rPr>
              <w:t xml:space="preserve"> Data was aggregated to calculate country-level AI usage, student and teacher usage, year-wise adoption trends, regional adoption, and AI tool market share. </w:t>
            </w:r>
            <w:r w:rsidDel="00000000" w:rsidR="00000000" w:rsidRPr="00000000">
              <w:rPr>
                <w:rFonts w:ascii="Times New Roman" w:cs="Times New Roman" w:eastAsia="Times New Roman" w:hAnsi="Times New Roman"/>
                <w:b w:val="1"/>
                <w:bCs w:val="1"/>
                <w:sz w:val="24"/>
                <w:szCs w:val="24"/>
                <w:rtl w:val="0"/>
              </w:rPr>
              <w:t xml:space="preserve">Filtering:</w:t>
            </w:r>
            <w:r w:rsidDel="00000000" w:rsidR="00000000" w:rsidRPr="00000000">
              <w:rPr>
                <w:rFonts w:ascii="Times New Roman" w:cs="Times New Roman" w:eastAsia="Times New Roman" w:hAnsi="Times New Roman"/>
                <w:sz w:val="24"/>
                <w:szCs w:val="24"/>
                <w:rtl w:val="0"/>
              </w:rPr>
              <w:t xml:space="preserve"> Data was filtered based on countries, years, regions, AI tools, and adoption levels to support different visualizations.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region, and AI tool fields were treated as text or categorical data. Year was treated as a numerical/time-based field. AI usage percentages, adoption percentages, and daily usage values were treated as numerical measures to support calculations and visualizations in Tableau.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fields were organized into separate logical columns such as country, region, year, student usage, teacher usage, rural usage, urban usage, AI tool, and adoption level. This structure enables responsive filtering and comparison across different dimensions in Tableau.</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structured to support analysis across multiple dimensions, including country, region, year, user group, community type, AI tool, and adoption level. These dimensions were used to create relationships and comparisons within Tableau visualizations.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data preparation and validation, the structured dataset was used as the data source for Tableau. The cleaned and prepared data was connected to Tableau to create KPI cards, maps, bar charts, trend charts, pie charts, and comparative visualizations.</w:t>
            </w:r>
          </w:p>
        </w:tc>
      </w:tr>
    </w:tbl>
    <w:p w:rsidR="00000000" w:rsidDel="00000000" w:rsidP="00000000" w:rsidRDefault="00000000" w:rsidRPr="00000000" w14:paraId="00000020">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104775</wp:posOffset>
          </wp:positionV>
          <wp:extent cx="1681163" cy="65306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653067"/>
                  </a:xfrm>
                  <a:prstGeom prst="rect"/>
                  <a:ln/>
                </pic:spPr>
              </pic:pic>
            </a:graphicData>
          </a:graphic>
        </wp:anchor>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t/BkMXinGDi1JGexJNuCfst4A==">CgMxLjA4AHIhMThpLUxoLXNIWE8zaHFEb3J5QU9pbGRlMGp3NlNTRTJC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