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BraTS 2021 Research and NeuroScan AI Improvement Guide</w:t>
      </w:r>
    </w:p>
    <w:p>
      <w:pPr>
        <w:pStyle w:val="Subtitle"/>
      </w:pPr>
      <w:r>
        <w:t>Dataset verification research limitations and practical experiments</w:t>
      </w:r>
    </w:p>
    <w:p>
      <w:r>
        <w:rPr>
          <w:b w:val="0"/>
        </w:rPr>
        <w:t>Prepared for Hamza Mustafa and Wajid Ali</w:t>
        <w:br/>
        <w:t>Project supervisor Ms. Saira Ishtiaq</w:t>
        <w:br/>
        <w:t>Evidence review date 8 October 2026</w:t>
      </w:r>
    </w:p>
    <w:p>
      <w:pPr>
        <w:pStyle w:val="Heading2"/>
      </w:pPr>
      <w:r>
        <w:t>Main conclusion</w:t>
      </w:r>
    </w:p>
    <w:p>
      <w:r>
        <w:rPr>
          <w:b w:val="0"/>
        </w:rPr>
        <w:t>NeuroScan should first improve full-volume coverage and trustworthy evaluation, then learn to handle missing MRI sequences. A more complicated model is useful only when controlled experiments show that it solves a specific problem without unacceptable memory or runtime cost.</w:t>
      </w:r>
    </w:p>
    <w:p>
      <w:r>
        <w:rPr>
          <w:b w:val="0"/>
        </w:rPr>
        <w:t>This guide explains ten papers from 2023 to 2026 in everyday language, reconfirms their stated use of BraTS 2021, separates their findings from our proposed research questions, and connects the lessons to the current project. It is a learning report, not a clinical assessment or a claim that our application is ready for patient care.</w:t>
      </w:r>
    </w:p>
    <w:p>
      <w:pPr>
        <w:pStyle w:val="Heading2"/>
      </w:pPr>
      <w:r>
        <w:t>How to read the evidence</w:t>
      </w:r>
    </w:p>
    <w:p>
      <w:r>
        <w:rPr>
          <w:b w:val="0"/>
        </w:rPr>
        <w:t>Verified dataset use means a primary article, its dataset section, or its author abstract explicitly identifies BraTS 2021 as experimental data. It does not mean we reproduced the experiment, inspected private data, or verified every reported number.</w:t>
      </w:r>
    </w:p>
    <w:p>
      <w:r>
        <w:rPr>
          <w:b w:val="0"/>
        </w:rPr>
        <w:t>Reported challenge or limitation means the authors describe it in the identified source. Reviewer inference means a question or concern we derive from the method or scope; it must not be quoted as an admission by the authors. Proposed experiment means work that NeuroScan has not yet completed.</w:t>
      </w:r>
    </w:p>
    <w:p>
      <w:pPr>
        <w:pStyle w:val="Heading2"/>
      </w:pPr>
      <w:r>
        <w:t>Reading route</w:t>
      </w:r>
    </w:p>
    <w:p>
      <w:r>
        <w:rPr>
          <w:b w:val="0"/>
        </w:rPr>
        <w:t>Start with the two concept pages, use the dataset verification register, then read the ten paper profiles. Each profile ends with a concrete learning exercise. Finish with the code audit and three implementation priorities. The register uses P1 to P10 so that references remain easy to follow.</w:t>
      </w:r>
    </w:p>
    <w:p>
      <w:r>
        <w:rPr>
          <w:b w:val="0"/>
        </w:rPr>
        <w:t>The list is curated for this project rather than ranked by citations or claimed to be an exhaustive list of the newest publications. A paper can be recent without having established long-term impact. Publication years refer to journal editions where an online date differs.</w:t>
      </w:r>
    </w:p>
    <w:p>
      <w:r>
        <w:br w:type="page"/>
      </w:r>
    </w:p>
    <w:p>
      <w:pPr>
        <w:pStyle w:val="Heading1"/>
      </w:pPr>
      <w:r>
        <w:t>Understanding the dataset and evaluation</w:t>
      </w:r>
    </w:p>
    <w:p>
      <w:r>
        <w:rPr>
          <w:b w:val="0"/>
        </w:rPr>
        <w:t>BraTS 2021 Task 1 concerns segmentation: assigning a tissue-region label to each voxel, the three-dimensional equivalent of an image pixel. This is different from predicting tumor grade or a molecular marker. The official challenge also had a separate MGMT classification task. [B1]</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7704"/>
      </w:tblGrid>
      <w:tr>
        <w:trPr>
          <w:cantSplit/>
          <w:tblHeader/>
        </w:trPr>
        <w:tc>
          <w:tcPr>
            <w:tcW w:type="dxa" w:w="2160"/>
            <w:vAlign w:val="center"/>
            <w:shd w:fill="E7EDF3"/>
            <w:tcMar>
              <w:top w:w="90" w:type="dxa"/>
              <w:bottom w:w="90" w:type="dxa"/>
              <w:left w:w="90" w:type="dxa"/>
              <w:right w:w="90" w:type="dxa"/>
            </w:tcMar>
          </w:tcPr>
          <w:p>
            <w:pPr>
              <w:spacing w:after="40" w:line="245" w:lineRule="auto"/>
            </w:pPr>
            <w:r>
              <w:rPr>
                <w:b/>
                <w:sz w:val="20"/>
              </w:rPr>
              <w:t>Term</w:t>
            </w:r>
          </w:p>
        </w:tc>
        <w:tc>
          <w:tcPr>
            <w:tcW w:type="dxa" w:w="7704"/>
            <w:vAlign w:val="center"/>
            <w:shd w:fill="E7EDF3"/>
            <w:tcMar>
              <w:top w:w="90" w:type="dxa"/>
              <w:bottom w:w="90" w:type="dxa"/>
              <w:left w:w="90" w:type="dxa"/>
              <w:right w:w="90" w:type="dxa"/>
            </w:tcMar>
          </w:tcPr>
          <w:p>
            <w:pPr>
              <w:spacing w:after="40" w:line="245" w:lineRule="auto"/>
            </w:pPr>
            <w:r>
              <w:rPr>
                <w:b/>
                <w:sz w:val="20"/>
              </w:rPr>
              <w:t>Plain meaning</w:t>
            </w:r>
          </w:p>
        </w:tc>
      </w:tr>
      <w:tr>
        <w:trPr>
          <w:cantSplit/>
        </w:trPr>
        <w:tc>
          <w:tcPr>
            <w:tcW w:type="dxa" w:w="2160"/>
            <w:vAlign w:val="center"/>
            <w:shd w:fill="F7F8FA"/>
            <w:tcMar>
              <w:top w:w="90" w:type="dxa"/>
              <w:bottom w:w="90" w:type="dxa"/>
              <w:left w:w="90" w:type="dxa"/>
              <w:right w:w="90" w:type="dxa"/>
            </w:tcMar>
          </w:tcPr>
          <w:p>
            <w:pPr>
              <w:spacing w:after="40" w:line="245" w:lineRule="auto"/>
            </w:pPr>
            <w:r>
              <w:rPr>
                <w:b w:val="0"/>
                <w:sz w:val="20"/>
              </w:rPr>
              <w:t>T1</w:t>
            </w:r>
          </w:p>
        </w:tc>
        <w:tc>
          <w:tcPr>
            <w:tcW w:type="dxa" w:w="7704"/>
            <w:vAlign w:val="center"/>
            <w:shd w:fill="F7F8FA"/>
            <w:tcMar>
              <w:top w:w="90" w:type="dxa"/>
              <w:bottom w:w="90" w:type="dxa"/>
              <w:left w:w="90" w:type="dxa"/>
              <w:right w:w="90" w:type="dxa"/>
            </w:tcMar>
          </w:tcPr>
          <w:p>
            <w:pPr>
              <w:spacing w:after="40" w:line="245" w:lineRule="auto"/>
            </w:pPr>
            <w:r>
              <w:rPr>
                <w:b w:val="0"/>
                <w:sz w:val="20"/>
              </w:rPr>
              <w:t>An anatomical MRI sequence.</w:t>
            </w:r>
          </w:p>
        </w:tc>
      </w:tr>
      <w:tr>
        <w:trPr>
          <w:cantSplit/>
        </w:trPr>
        <w:tc>
          <w:tcPr>
            <w:tcW w:type="dxa" w:w="2160"/>
            <w:vAlign w:val="center"/>
            <w:shd w:fill="FFFFFF"/>
            <w:tcMar>
              <w:top w:w="90" w:type="dxa"/>
              <w:bottom w:w="90" w:type="dxa"/>
              <w:left w:w="90" w:type="dxa"/>
              <w:right w:w="90" w:type="dxa"/>
            </w:tcMar>
          </w:tcPr>
          <w:p>
            <w:pPr>
              <w:spacing w:after="40" w:line="245" w:lineRule="auto"/>
            </w:pPr>
            <w:r>
              <w:rPr>
                <w:b w:val="0"/>
                <w:sz w:val="20"/>
              </w:rPr>
              <w:t>T1ce or T1Gd</w:t>
            </w:r>
          </w:p>
        </w:tc>
        <w:tc>
          <w:tcPr>
            <w:tcW w:type="dxa" w:w="7704"/>
            <w:vAlign w:val="center"/>
            <w:shd w:fill="FFFFFF"/>
            <w:tcMar>
              <w:top w:w="90" w:type="dxa"/>
              <w:bottom w:w="90" w:type="dxa"/>
              <w:left w:w="90" w:type="dxa"/>
              <w:right w:w="90" w:type="dxa"/>
            </w:tcMar>
          </w:tcPr>
          <w:p>
            <w:pPr>
              <w:spacing w:after="40" w:line="245" w:lineRule="auto"/>
            </w:pPr>
            <w:r>
              <w:rPr>
                <w:b w:val="0"/>
                <w:sz w:val="20"/>
              </w:rPr>
              <w:t>T1 imaging after contrast administration; useful for enhancement.</w:t>
            </w:r>
          </w:p>
        </w:tc>
      </w:tr>
      <w:tr>
        <w:trPr>
          <w:cantSplit/>
        </w:trPr>
        <w:tc>
          <w:tcPr>
            <w:tcW w:type="dxa" w:w="2160"/>
            <w:vAlign w:val="center"/>
            <w:shd w:fill="F7F8FA"/>
            <w:tcMar>
              <w:top w:w="90" w:type="dxa"/>
              <w:bottom w:w="90" w:type="dxa"/>
              <w:left w:w="90" w:type="dxa"/>
              <w:right w:w="90" w:type="dxa"/>
            </w:tcMar>
          </w:tcPr>
          <w:p>
            <w:pPr>
              <w:spacing w:after="40" w:line="245" w:lineRule="auto"/>
            </w:pPr>
            <w:r>
              <w:rPr>
                <w:b w:val="0"/>
                <w:sz w:val="20"/>
              </w:rPr>
              <w:t>T2 and FLAIR</w:t>
            </w:r>
          </w:p>
        </w:tc>
        <w:tc>
          <w:tcPr>
            <w:tcW w:type="dxa" w:w="7704"/>
            <w:vAlign w:val="center"/>
            <w:shd w:fill="F7F8FA"/>
            <w:tcMar>
              <w:top w:w="90" w:type="dxa"/>
              <w:bottom w:w="90" w:type="dxa"/>
              <w:left w:w="90" w:type="dxa"/>
              <w:right w:w="90" w:type="dxa"/>
            </w:tcMar>
          </w:tcPr>
          <w:p>
            <w:pPr>
              <w:spacing w:after="40" w:line="245" w:lineRule="auto"/>
            </w:pPr>
            <w:r>
              <w:rPr>
                <w:b w:val="0"/>
                <w:sz w:val="20"/>
              </w:rPr>
              <w:t>Different MRI contrasts; FLAIR helps reveal abnormal fluid-related signal.</w:t>
            </w:r>
          </w:p>
        </w:tc>
      </w:tr>
      <w:tr>
        <w:trPr>
          <w:cantSplit/>
        </w:trPr>
        <w:tc>
          <w:tcPr>
            <w:tcW w:type="dxa" w:w="2160"/>
            <w:vAlign w:val="center"/>
            <w:shd w:fill="FFFFFF"/>
            <w:tcMar>
              <w:top w:w="90" w:type="dxa"/>
              <w:bottom w:w="90" w:type="dxa"/>
              <w:left w:w="90" w:type="dxa"/>
              <w:right w:w="90" w:type="dxa"/>
            </w:tcMar>
          </w:tcPr>
          <w:p>
            <w:pPr>
              <w:spacing w:after="40" w:line="245" w:lineRule="auto"/>
            </w:pPr>
            <w:r>
              <w:rPr>
                <w:b w:val="0"/>
                <w:sz w:val="20"/>
              </w:rPr>
              <w:t>NCR label 1</w:t>
            </w:r>
          </w:p>
        </w:tc>
        <w:tc>
          <w:tcPr>
            <w:tcW w:type="dxa" w:w="7704"/>
            <w:vAlign w:val="center"/>
            <w:shd w:fill="FFFFFF"/>
            <w:tcMar>
              <w:top w:w="90" w:type="dxa"/>
              <w:bottom w:w="90" w:type="dxa"/>
              <w:left w:w="90" w:type="dxa"/>
              <w:right w:w="90" w:type="dxa"/>
            </w:tcMar>
          </w:tcPr>
          <w:p>
            <w:pPr>
              <w:spacing w:after="40" w:line="245" w:lineRule="auto"/>
            </w:pPr>
            <w:r>
              <w:rPr>
                <w:b w:val="0"/>
                <w:sz w:val="20"/>
              </w:rPr>
              <w:t>Necrotic core label; some literature uses NCR/NET terminology.</w:t>
            </w:r>
          </w:p>
        </w:tc>
      </w:tr>
      <w:tr>
        <w:trPr>
          <w:cantSplit/>
        </w:trPr>
        <w:tc>
          <w:tcPr>
            <w:tcW w:type="dxa" w:w="2160"/>
            <w:vAlign w:val="center"/>
            <w:shd w:fill="F7F8FA"/>
            <w:tcMar>
              <w:top w:w="90" w:type="dxa"/>
              <w:bottom w:w="90" w:type="dxa"/>
              <w:left w:w="90" w:type="dxa"/>
              <w:right w:w="90" w:type="dxa"/>
            </w:tcMar>
          </w:tcPr>
          <w:p>
            <w:pPr>
              <w:spacing w:after="40" w:line="245" w:lineRule="auto"/>
            </w:pPr>
            <w:r>
              <w:rPr>
                <w:b w:val="0"/>
                <w:sz w:val="20"/>
              </w:rPr>
              <w:t>ED label 2</w:t>
            </w:r>
          </w:p>
        </w:tc>
        <w:tc>
          <w:tcPr>
            <w:tcW w:type="dxa" w:w="7704"/>
            <w:vAlign w:val="center"/>
            <w:shd w:fill="F7F8FA"/>
            <w:tcMar>
              <w:top w:w="90" w:type="dxa"/>
              <w:bottom w:w="90" w:type="dxa"/>
              <w:left w:w="90" w:type="dxa"/>
              <w:right w:w="90" w:type="dxa"/>
            </w:tcMar>
          </w:tcPr>
          <w:p>
            <w:pPr>
              <w:spacing w:after="40" w:line="245" w:lineRule="auto"/>
            </w:pPr>
            <w:r>
              <w:rPr>
                <w:b w:val="0"/>
                <w:sz w:val="20"/>
              </w:rPr>
              <w:t>Peritumoral edematous or invaded tissue.</w:t>
            </w:r>
          </w:p>
        </w:tc>
      </w:tr>
      <w:tr>
        <w:trPr>
          <w:cantSplit/>
        </w:trPr>
        <w:tc>
          <w:tcPr>
            <w:tcW w:type="dxa" w:w="2160"/>
            <w:vAlign w:val="center"/>
            <w:shd w:fill="FFFFFF"/>
            <w:tcMar>
              <w:top w:w="90" w:type="dxa"/>
              <w:bottom w:w="90" w:type="dxa"/>
              <w:left w:w="90" w:type="dxa"/>
              <w:right w:w="90" w:type="dxa"/>
            </w:tcMar>
          </w:tcPr>
          <w:p>
            <w:pPr>
              <w:spacing w:after="40" w:line="245" w:lineRule="auto"/>
            </w:pPr>
            <w:r>
              <w:rPr>
                <w:b w:val="0"/>
                <w:sz w:val="20"/>
              </w:rPr>
              <w:t>ET label 4</w:t>
            </w:r>
          </w:p>
        </w:tc>
        <w:tc>
          <w:tcPr>
            <w:tcW w:type="dxa" w:w="7704"/>
            <w:vAlign w:val="center"/>
            <w:shd w:fill="FFFFFF"/>
            <w:tcMar>
              <w:top w:w="90" w:type="dxa"/>
              <w:bottom w:w="90" w:type="dxa"/>
              <w:left w:w="90" w:type="dxa"/>
              <w:right w:w="90" w:type="dxa"/>
            </w:tcMar>
          </w:tcPr>
          <w:p>
            <w:pPr>
              <w:spacing w:after="40" w:line="245" w:lineRule="auto"/>
            </w:pPr>
            <w:r>
              <w:rPr>
                <w:b w:val="0"/>
                <w:sz w:val="20"/>
              </w:rPr>
              <w:t>Enhancing tumor.</w:t>
            </w:r>
          </w:p>
        </w:tc>
      </w:tr>
      <w:tr>
        <w:trPr>
          <w:cantSplit/>
        </w:trPr>
        <w:tc>
          <w:tcPr>
            <w:tcW w:type="dxa" w:w="2160"/>
            <w:vAlign w:val="center"/>
            <w:shd w:fill="F7F8FA"/>
            <w:tcMar>
              <w:top w:w="90" w:type="dxa"/>
              <w:bottom w:w="90" w:type="dxa"/>
              <w:left w:w="90" w:type="dxa"/>
              <w:right w:w="90" w:type="dxa"/>
            </w:tcMar>
          </w:tcPr>
          <w:p>
            <w:pPr>
              <w:spacing w:after="40" w:line="245" w:lineRule="auto"/>
            </w:pPr>
            <w:r>
              <w:rPr>
                <w:b w:val="0"/>
                <w:sz w:val="20"/>
              </w:rPr>
              <w:t>TC</w:t>
            </w:r>
          </w:p>
        </w:tc>
        <w:tc>
          <w:tcPr>
            <w:tcW w:type="dxa" w:w="7704"/>
            <w:vAlign w:val="center"/>
            <w:shd w:fill="F7F8FA"/>
            <w:tcMar>
              <w:top w:w="90" w:type="dxa"/>
              <w:bottom w:w="90" w:type="dxa"/>
              <w:left w:w="90" w:type="dxa"/>
              <w:right w:w="90" w:type="dxa"/>
            </w:tcMar>
          </w:tcPr>
          <w:p>
            <w:pPr>
              <w:spacing w:after="40" w:line="245" w:lineRule="auto"/>
            </w:pPr>
            <w:r>
              <w:rPr>
                <w:b w:val="0"/>
                <w:sz w:val="20"/>
              </w:rPr>
              <w:t>Tumor core formed from labels 1 and 4.</w:t>
            </w:r>
          </w:p>
        </w:tc>
      </w:tr>
      <w:tr>
        <w:trPr>
          <w:cantSplit/>
        </w:trPr>
        <w:tc>
          <w:tcPr>
            <w:tcW w:type="dxa" w:w="2160"/>
            <w:vAlign w:val="center"/>
            <w:shd w:fill="FFFFFF"/>
            <w:tcMar>
              <w:top w:w="90" w:type="dxa"/>
              <w:bottom w:w="90" w:type="dxa"/>
              <w:left w:w="90" w:type="dxa"/>
              <w:right w:w="90" w:type="dxa"/>
            </w:tcMar>
          </w:tcPr>
          <w:p>
            <w:pPr>
              <w:spacing w:after="40" w:line="245" w:lineRule="auto"/>
            </w:pPr>
            <w:r>
              <w:rPr>
                <w:b w:val="0"/>
                <w:sz w:val="20"/>
              </w:rPr>
              <w:t>WT</w:t>
            </w:r>
          </w:p>
        </w:tc>
        <w:tc>
          <w:tcPr>
            <w:tcW w:type="dxa" w:w="7704"/>
            <w:vAlign w:val="center"/>
            <w:shd w:fill="FFFFFF"/>
            <w:tcMar>
              <w:top w:w="90" w:type="dxa"/>
              <w:bottom w:w="90" w:type="dxa"/>
              <w:left w:w="90" w:type="dxa"/>
              <w:right w:w="90" w:type="dxa"/>
            </w:tcMar>
          </w:tcPr>
          <w:p>
            <w:pPr>
              <w:spacing w:after="40" w:line="245" w:lineRule="auto"/>
            </w:pPr>
            <w:r>
              <w:rPr>
                <w:b w:val="0"/>
                <w:sz w:val="20"/>
              </w:rPr>
              <w:t>Whole tumor formed from labels 1, 2 and 4.</w:t>
            </w:r>
          </w:p>
        </w:tc>
      </w:tr>
    </w:tbl>
    <w:p>
      <w:r>
        <w:rPr>
          <w:b w:val="0"/>
        </w:rPr>
      </w:r>
    </w:p>
    <w:p>
      <w:r>
        <w:rPr>
          <w:b w:val="0"/>
        </w:rPr>
        <w:t>The challenge inputs are co-registered, skull-stripped and resampled. Routine scans may not meet these assumptions. DICOM conversion alone is not anatomical registration. BraTS editions reuse some subjects, so a different year is not automatically an independent test population. [B1]</w:t>
      </w:r>
    </w:p>
    <w:p>
      <w:pPr>
        <w:pStyle w:val="Heading2"/>
      </w:pPr>
      <w:r>
        <w:t>What the common metrics mean</w:t>
      </w:r>
    </w:p>
    <w:p>
      <w:r>
        <w:rPr>
          <w:b w:val="0"/>
        </w:rPr>
        <w:t>Dice measures overlap between a predicted region and a reference annotation. Higher is better, with 1 indicating exact agreement. HD95 measures a high percentile of boundary distances; lower is better and distances should be reported in millimetres. Neither metric alone explains every error.</w:t>
      </w:r>
    </w:p>
    <w:p>
      <w:r>
        <w:rPr>
          <w:b w:val="0"/>
        </w:rPr>
        <w:t>A useful thought experiment: if 98 of every 100 voxels are background, predicting background everywhere achieves 98 percent voxel accuracy while finding no tumor. This is why a target of 90 percent accuracy is not a sufficient segmentation objective.</w:t>
      </w:r>
    </w:p>
    <w:p>
      <w:r>
        <w:rPr>
          <w:b w:val="0"/>
        </w:rPr>
        <w:t>Compare studies only after checking region definitions, patient splits, full-volume versus cropped evaluation, treatment of empty regions, and whether results are local tests or official hidden-test results. A low loss is not the same as a high Dice score.</w:t>
      </w:r>
    </w:p>
    <w:p>
      <w:hyperlink r:id="rId10">
        <w:r>
          <w:rPr>
            <w:color w:val="0563C1"/>
            <w:u w:val="single"/>
          </w:rPr>
          <w:t>B1 Official BraTS 2021 tasks labels preprocessing and evaluation</w:t>
        </w:r>
      </w:hyperlink>
    </w:p>
    <w:p>
      <w:r>
        <w:br w:type="page"/>
      </w:r>
    </w:p>
    <w:p>
      <w:pPr>
        <w:pStyle w:val="Heading1"/>
      </w:pPr>
      <w:r>
        <w:t>Why these research problems are difficult</w:t>
      </w:r>
    </w:p>
    <w:p>
      <w:pPr>
        <w:pStyle w:val="Heading2"/>
      </w:pPr>
      <w:r>
        <w:t>Small targets and imbalanced classes</w:t>
      </w:r>
    </w:p>
    <w:p>
      <w:r>
        <w:rPr>
          <w:b w:val="0"/>
        </w:rPr>
        <w:t>A small tumor component contributes few training voxels compared with normal tissue. A model may minimize a voxel loss while overlooking it. Tumor-aware patch sampling and Dice-based losses are reasonable experiments, but over-sampling tumors can also increase false positives. Always retain background examples and inspect lesion-size-specific performance. This is a methodological explanation, not a claim that every paper has the same sampling flaw.</w:t>
      </w:r>
    </w:p>
    <w:p>
      <w:pPr>
        <w:pStyle w:val="Heading2"/>
      </w:pPr>
      <w:r>
        <w:t>Uncertain boundaries</w:t>
      </w:r>
    </w:p>
    <w:p>
      <w:r>
        <w:rPr>
          <w:b w:val="0"/>
        </w:rPr>
        <w:t>A boundary can look like a gradual fade rather than a sharp line. PF-CMNet documents missed weak enhancement and unstable contours in ambiguous cases; EHFF acknowledges remaining loss of fine details. The learning point is to inspect boundary errors separately from overall overlap. An edge detector cannot create contrast that was not acquired. [P2, P9]</w:t>
      </w:r>
    </w:p>
    <w:p>
      <w:pPr>
        <w:pStyle w:val="Heading2"/>
      </w:pPr>
      <w:r>
        <w:t>Missing sequences and corrupted sequences</w:t>
      </w:r>
    </w:p>
    <w:p>
      <w:r>
        <w:rPr>
          <w:b w:val="0"/>
        </w:rPr>
        <w:t>Removing an entire input channel is different from motion artifacts or a shifted scan. Sequence dropout teaches a network to use the remaining inputs, but does not make those inputs contain all the information of a genuine contrast-enhanced acquisition. Distillation transfers a teacher model’s learned behavior, not a new patient measurement. [P4, P10]</w:t>
      </w:r>
    </w:p>
    <w:p>
      <w:pPr>
        <w:pStyle w:val="Heading2"/>
      </w:pPr>
      <w:r>
        <w:t>Volumetric compute and real application latency</w:t>
      </w:r>
    </w:p>
    <w:p>
      <w:r>
        <w:rPr>
          <w:b w:val="0"/>
        </w:rPr>
        <w:t>A four-channel 240 by 240 by 155 float32 input uses about 136 MiB before model activations or gradients. Processing patches controls memory but requires a plan to cover the whole scan. For a web app, total delay also includes reading, normalization, prediction, saving and display. Parameter count alone does not predict that delay. PF-CMNet explicitly separates its model-level efficiency measurements from the complete workflow. [P2]</w:t>
      </w:r>
    </w:p>
    <w:p>
      <w:pPr>
        <w:pStyle w:val="Heading2"/>
      </w:pPr>
      <w:r>
        <w:t>Generalization and human use</w:t>
      </w:r>
    </w:p>
    <w:p>
      <w:r>
        <w:rPr>
          <w:b w:val="0"/>
        </w:rPr>
        <w:t>Success on a prepared benchmark does not establish reliability on a new hospital’s scans. External data help, but one additional center does not cover every scanner, protocol, tumor presentation or postoperative change. The imputation study acknowledges limited clinical diversity despite including an external cohort. [P7]</w:t>
      </w:r>
    </w:p>
    <w:p>
      <w:pPr>
        <w:pStyle w:val="Heading2"/>
      </w:pPr>
      <w:r>
        <w:t>A useful research gap has a test</w:t>
      </w:r>
    </w:p>
    <w:p>
      <w:r>
        <w:rPr>
          <w:b w:val="0"/>
        </w:rPr>
        <w:t>Instead of saying “existing models are inaccurate,” ask a measurable question: Does sequence dropout improve ET Dice when T1ce is missing without materially reducing complete-input performance? Specify a baseline, a fixed patient split, a metric and an acceptable trade-off before training.</w:t>
      </w:r>
    </w:p>
    <w:p>
      <w:r>
        <w:br w:type="page"/>
      </w:r>
    </w:p>
    <w:p>
      <w:pPr>
        <w:pStyle w:val="Heading1"/>
      </w:pPr>
      <w:r>
        <w:t>Dataset verification register</w:t>
      </w:r>
    </w:p>
    <w:p>
      <w:r>
        <w:rPr>
          <w:b w:val="0"/>
        </w:rPr>
        <w:t>All ten papers explicitly identify BraTS 2021 in experimental use. The evidence locator below tells you where to check. P8 uses the 2021 data for testing, not for its reported training cohort. Dataset use must not be confused with official challenge participation or leaderboard validation.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48"/>
        <w:gridCol w:w="2880"/>
        <w:gridCol w:w="6336"/>
      </w:tblGrid>
      <w:tr>
        <w:trPr>
          <w:cantSplit/>
          <w:tblHeader/>
        </w:trPr>
        <w:tc>
          <w:tcPr>
            <w:tcW w:type="dxa" w:w="648"/>
            <w:vAlign w:val="center"/>
            <w:shd w:fill="E7EDF3"/>
            <w:tcMar>
              <w:top w:w="90" w:type="dxa"/>
              <w:bottom w:w="90" w:type="dxa"/>
              <w:left w:w="90" w:type="dxa"/>
              <w:right w:w="90" w:type="dxa"/>
            </w:tcMar>
          </w:tcPr>
          <w:p>
            <w:pPr>
              <w:spacing w:after="40" w:line="245" w:lineRule="auto"/>
            </w:pPr>
            <w:r>
              <w:rPr>
                <w:b/>
                <w:sz w:val="20"/>
              </w:rPr>
              <w:t>ID</w:t>
            </w:r>
          </w:p>
        </w:tc>
        <w:tc>
          <w:tcPr>
            <w:tcW w:type="dxa" w:w="2880"/>
            <w:vAlign w:val="center"/>
            <w:shd w:fill="E7EDF3"/>
            <w:tcMar>
              <w:top w:w="90" w:type="dxa"/>
              <w:bottom w:w="90" w:type="dxa"/>
              <w:left w:w="90" w:type="dxa"/>
              <w:right w:w="90" w:type="dxa"/>
            </w:tcMar>
          </w:tcPr>
          <w:p>
            <w:pPr>
              <w:spacing w:after="40" w:line="245" w:lineRule="auto"/>
            </w:pPr>
            <w:r>
              <w:rPr>
                <w:b/>
                <w:sz w:val="20"/>
              </w:rPr>
              <w:t>Study</w:t>
            </w:r>
          </w:p>
        </w:tc>
        <w:tc>
          <w:tcPr>
            <w:tcW w:type="dxa" w:w="6336"/>
            <w:vAlign w:val="center"/>
            <w:shd w:fill="E7EDF3"/>
            <w:tcMar>
              <w:top w:w="90" w:type="dxa"/>
              <w:bottom w:w="90" w:type="dxa"/>
              <w:left w:w="90" w:type="dxa"/>
              <w:right w:w="90" w:type="dxa"/>
            </w:tcMar>
          </w:tcPr>
          <w:p>
            <w:pPr>
              <w:spacing w:after="40" w:line="245" w:lineRule="auto"/>
            </w:pPr>
            <w:r>
              <w:rPr>
                <w:b/>
                <w:sz w:val="20"/>
              </w:rPr>
              <w:t>BraTS 2021 evidence locator</w:t>
            </w:r>
          </w:p>
        </w:tc>
      </w:tr>
      <w:tr>
        <w:trPr>
          <w:cantSplit/>
        </w:trPr>
        <w:tc>
          <w:tcPr>
            <w:tcW w:type="dxa" w:w="648"/>
            <w:vAlign w:val="center"/>
            <w:shd w:fill="F7F8FA"/>
            <w:tcMar>
              <w:top w:w="90" w:type="dxa"/>
              <w:bottom w:w="90" w:type="dxa"/>
              <w:left w:w="90" w:type="dxa"/>
              <w:right w:w="90" w:type="dxa"/>
            </w:tcMar>
          </w:tcPr>
          <w:p>
            <w:pPr>
              <w:spacing w:after="40" w:line="245" w:lineRule="auto"/>
            </w:pPr>
            <w:r>
              <w:rPr>
                <w:b w:val="0"/>
                <w:sz w:val="20"/>
              </w:rPr>
              <w:t>P1</w:t>
            </w:r>
          </w:p>
        </w:tc>
        <w:tc>
          <w:tcPr>
            <w:tcW w:type="dxa" w:w="2880"/>
            <w:vAlign w:val="center"/>
            <w:shd w:fill="F7F8FA"/>
            <w:tcMar>
              <w:top w:w="90" w:type="dxa"/>
              <w:bottom w:w="90" w:type="dxa"/>
              <w:left w:w="90" w:type="dxa"/>
              <w:right w:w="90" w:type="dxa"/>
            </w:tcMar>
          </w:tcPr>
          <w:p>
            <w:pPr>
              <w:spacing w:after="40" w:line="245" w:lineRule="auto"/>
            </w:pPr>
            <w:r>
              <w:rPr>
                <w:b w:val="0"/>
                <w:sz w:val="20"/>
              </w:rPr>
              <w:t>LiteFreqMamba 2026</w:t>
            </w:r>
          </w:p>
        </w:tc>
        <w:tc>
          <w:tcPr>
            <w:tcW w:type="dxa" w:w="6336"/>
            <w:vAlign w:val="center"/>
            <w:shd w:fill="F7F8FA"/>
            <w:tcMar>
              <w:top w:w="90" w:type="dxa"/>
              <w:bottom w:w="90" w:type="dxa"/>
              <w:left w:w="90" w:type="dxa"/>
              <w:right w:w="90" w:type="dxa"/>
            </w:tcMar>
          </w:tcPr>
          <w:p>
            <w:pPr>
              <w:spacing w:after="40" w:line="245" w:lineRule="auto"/>
            </w:pPr>
            <w:r>
              <w:rPr>
                <w:b w:val="0"/>
                <w:sz w:val="20"/>
              </w:rPr>
              <w:t>Section 4.1 and data availability; local patient-wise split.</w:t>
            </w:r>
          </w:p>
        </w:tc>
      </w:tr>
      <w:tr>
        <w:trPr>
          <w:cantSplit/>
        </w:trPr>
        <w:tc>
          <w:tcPr>
            <w:tcW w:type="dxa" w:w="648"/>
            <w:vAlign w:val="center"/>
            <w:shd w:fill="FFFFFF"/>
            <w:tcMar>
              <w:top w:w="90" w:type="dxa"/>
              <w:bottom w:w="90" w:type="dxa"/>
              <w:left w:w="90" w:type="dxa"/>
              <w:right w:w="90" w:type="dxa"/>
            </w:tcMar>
          </w:tcPr>
          <w:p>
            <w:pPr>
              <w:spacing w:after="40" w:line="245" w:lineRule="auto"/>
            </w:pPr>
            <w:r>
              <w:rPr>
                <w:b w:val="0"/>
                <w:sz w:val="20"/>
              </w:rPr>
              <w:t>P2</w:t>
            </w:r>
          </w:p>
        </w:tc>
        <w:tc>
          <w:tcPr>
            <w:tcW w:type="dxa" w:w="2880"/>
            <w:vAlign w:val="center"/>
            <w:shd w:fill="FFFFFF"/>
            <w:tcMar>
              <w:top w:w="90" w:type="dxa"/>
              <w:bottom w:w="90" w:type="dxa"/>
              <w:left w:w="90" w:type="dxa"/>
              <w:right w:w="90" w:type="dxa"/>
            </w:tcMar>
          </w:tcPr>
          <w:p>
            <w:pPr>
              <w:spacing w:after="40" w:line="245" w:lineRule="auto"/>
            </w:pPr>
            <w:r>
              <w:rPr>
                <w:b w:val="0"/>
                <w:sz w:val="20"/>
              </w:rPr>
              <w:t>PF CMNet 2026</w:t>
            </w:r>
          </w:p>
        </w:tc>
        <w:tc>
          <w:tcPr>
            <w:tcW w:type="dxa" w:w="6336"/>
            <w:vAlign w:val="center"/>
            <w:shd w:fill="FFFFFF"/>
            <w:tcMar>
              <w:top w:w="90" w:type="dxa"/>
              <w:bottom w:w="90" w:type="dxa"/>
              <w:left w:w="90" w:type="dxa"/>
              <w:right w:w="90" w:type="dxa"/>
            </w:tcMar>
          </w:tcPr>
          <w:p>
            <w:pPr>
              <w:spacing w:after="40" w:line="245" w:lineRule="auto"/>
            </w:pPr>
            <w:r>
              <w:rPr>
                <w:b w:val="0"/>
                <w:sz w:val="20"/>
              </w:rPr>
              <w:t>Abstract and experimental evaluation; BraTS2021 plus MSD.</w:t>
            </w:r>
          </w:p>
        </w:tc>
      </w:tr>
      <w:tr>
        <w:trPr>
          <w:cantSplit/>
        </w:trPr>
        <w:tc>
          <w:tcPr>
            <w:tcW w:type="dxa" w:w="648"/>
            <w:vAlign w:val="center"/>
            <w:shd w:fill="F7F8FA"/>
            <w:tcMar>
              <w:top w:w="90" w:type="dxa"/>
              <w:bottom w:w="90" w:type="dxa"/>
              <w:left w:w="90" w:type="dxa"/>
              <w:right w:w="90" w:type="dxa"/>
            </w:tcMar>
          </w:tcPr>
          <w:p>
            <w:pPr>
              <w:spacing w:after="40" w:line="245" w:lineRule="auto"/>
            </w:pPr>
            <w:r>
              <w:rPr>
                <w:b w:val="0"/>
                <w:sz w:val="20"/>
              </w:rPr>
              <w:t>P3</w:t>
            </w:r>
          </w:p>
        </w:tc>
        <w:tc>
          <w:tcPr>
            <w:tcW w:type="dxa" w:w="2880"/>
            <w:vAlign w:val="center"/>
            <w:shd w:fill="F7F8FA"/>
            <w:tcMar>
              <w:top w:w="90" w:type="dxa"/>
              <w:bottom w:w="90" w:type="dxa"/>
              <w:left w:w="90" w:type="dxa"/>
              <w:right w:w="90" w:type="dxa"/>
            </w:tcMar>
          </w:tcPr>
          <w:p>
            <w:pPr>
              <w:spacing w:after="40" w:line="245" w:lineRule="auto"/>
            </w:pPr>
            <w:r>
              <w:rPr>
                <w:b w:val="0"/>
                <w:sz w:val="20"/>
              </w:rPr>
              <w:t>Cross modal fusion 2026</w:t>
            </w:r>
          </w:p>
        </w:tc>
        <w:tc>
          <w:tcPr>
            <w:tcW w:type="dxa" w:w="6336"/>
            <w:vAlign w:val="center"/>
            <w:shd w:fill="F7F8FA"/>
            <w:tcMar>
              <w:top w:w="90" w:type="dxa"/>
              <w:bottom w:w="90" w:type="dxa"/>
              <w:left w:w="90" w:type="dxa"/>
              <w:right w:w="90" w:type="dxa"/>
            </w:tcMar>
          </w:tcPr>
          <w:p>
            <w:pPr>
              <w:spacing w:after="40" w:line="245" w:lineRule="auto"/>
            </w:pPr>
            <w:r>
              <w:rPr>
                <w:b w:val="0"/>
                <w:sz w:val="20"/>
              </w:rPr>
              <w:t>Dataset section; 1251 cases and an 8 to 1 to 1 split.</w:t>
            </w:r>
          </w:p>
        </w:tc>
      </w:tr>
      <w:tr>
        <w:trPr>
          <w:cantSplit/>
        </w:trPr>
        <w:tc>
          <w:tcPr>
            <w:tcW w:type="dxa" w:w="648"/>
            <w:vAlign w:val="center"/>
            <w:shd w:fill="FFFFFF"/>
            <w:tcMar>
              <w:top w:w="90" w:type="dxa"/>
              <w:bottom w:w="90" w:type="dxa"/>
              <w:left w:w="90" w:type="dxa"/>
              <w:right w:w="90" w:type="dxa"/>
            </w:tcMar>
          </w:tcPr>
          <w:p>
            <w:pPr>
              <w:spacing w:after="40" w:line="245" w:lineRule="auto"/>
            </w:pPr>
            <w:r>
              <w:rPr>
                <w:b w:val="0"/>
                <w:sz w:val="20"/>
              </w:rPr>
              <w:t>P4</w:t>
            </w:r>
          </w:p>
        </w:tc>
        <w:tc>
          <w:tcPr>
            <w:tcW w:type="dxa" w:w="2880"/>
            <w:vAlign w:val="center"/>
            <w:shd w:fill="FFFFFF"/>
            <w:tcMar>
              <w:top w:w="90" w:type="dxa"/>
              <w:bottom w:w="90" w:type="dxa"/>
              <w:left w:w="90" w:type="dxa"/>
              <w:right w:w="90" w:type="dxa"/>
            </w:tcMar>
          </w:tcPr>
          <w:p>
            <w:pPr>
              <w:spacing w:after="40" w:line="245" w:lineRule="auto"/>
            </w:pPr>
            <w:r>
              <w:rPr>
                <w:b w:val="0"/>
                <w:sz w:val="20"/>
              </w:rPr>
              <w:t>Collaborative distillation 2026</w:t>
            </w:r>
          </w:p>
        </w:tc>
        <w:tc>
          <w:tcPr>
            <w:tcW w:type="dxa" w:w="6336"/>
            <w:vAlign w:val="center"/>
            <w:shd w:fill="FFFFFF"/>
            <w:tcMar>
              <w:top w:w="90" w:type="dxa"/>
              <w:bottom w:w="90" w:type="dxa"/>
              <w:left w:w="90" w:type="dxa"/>
              <w:right w:w="90" w:type="dxa"/>
            </w:tcMar>
          </w:tcPr>
          <w:p>
            <w:pPr>
              <w:spacing w:after="40" w:line="245" w:lineRule="auto"/>
            </w:pPr>
            <w:r>
              <w:rPr>
                <w:b w:val="0"/>
                <w:sz w:val="20"/>
              </w:rPr>
              <w:t>Publisher abstract and highlights name BraTS2020 and 2021.</w:t>
            </w:r>
          </w:p>
        </w:tc>
      </w:tr>
      <w:tr>
        <w:trPr>
          <w:cantSplit/>
        </w:trPr>
        <w:tc>
          <w:tcPr>
            <w:tcW w:type="dxa" w:w="648"/>
            <w:vAlign w:val="center"/>
            <w:shd w:fill="F7F8FA"/>
            <w:tcMar>
              <w:top w:w="90" w:type="dxa"/>
              <w:bottom w:w="90" w:type="dxa"/>
              <w:left w:w="90" w:type="dxa"/>
              <w:right w:w="90" w:type="dxa"/>
            </w:tcMar>
          </w:tcPr>
          <w:p>
            <w:pPr>
              <w:spacing w:after="40" w:line="245" w:lineRule="auto"/>
            </w:pPr>
            <w:r>
              <w:rPr>
                <w:b w:val="0"/>
                <w:sz w:val="20"/>
              </w:rPr>
              <w:t>P5</w:t>
            </w:r>
          </w:p>
        </w:tc>
        <w:tc>
          <w:tcPr>
            <w:tcW w:type="dxa" w:w="2880"/>
            <w:vAlign w:val="center"/>
            <w:shd w:fill="F7F8FA"/>
            <w:tcMar>
              <w:top w:w="90" w:type="dxa"/>
              <w:bottom w:w="90" w:type="dxa"/>
              <w:left w:w="90" w:type="dxa"/>
              <w:right w:w="90" w:type="dxa"/>
            </w:tcMar>
          </w:tcPr>
          <w:p>
            <w:pPr>
              <w:spacing w:after="40" w:line="245" w:lineRule="auto"/>
            </w:pPr>
            <w:r>
              <w:rPr>
                <w:b w:val="0"/>
                <w:sz w:val="20"/>
              </w:rPr>
              <w:t>Medical SAM Adapter 2025</w:t>
            </w:r>
          </w:p>
        </w:tc>
        <w:tc>
          <w:tcPr>
            <w:tcW w:type="dxa" w:w="6336"/>
            <w:vAlign w:val="center"/>
            <w:shd w:fill="F7F8FA"/>
            <w:tcMar>
              <w:top w:w="90" w:type="dxa"/>
              <w:bottom w:w="90" w:type="dxa"/>
              <w:left w:w="90" w:type="dxa"/>
              <w:right w:w="90" w:type="dxa"/>
            </w:tcMar>
          </w:tcPr>
          <w:p>
            <w:pPr>
              <w:spacing w:after="40" w:line="245" w:lineRule="auto"/>
            </w:pPr>
            <w:r>
              <w:rPr>
                <w:b w:val="0"/>
                <w:sz w:val="20"/>
              </w:rPr>
              <w:t>Dataset and evaluation metrics section explicitly lists BraTS2021.</w:t>
            </w:r>
          </w:p>
        </w:tc>
      </w:tr>
      <w:tr>
        <w:trPr>
          <w:cantSplit/>
        </w:trPr>
        <w:tc>
          <w:tcPr>
            <w:tcW w:type="dxa" w:w="648"/>
            <w:vAlign w:val="center"/>
            <w:shd w:fill="FFFFFF"/>
            <w:tcMar>
              <w:top w:w="90" w:type="dxa"/>
              <w:bottom w:w="90" w:type="dxa"/>
              <w:left w:w="90" w:type="dxa"/>
              <w:right w:w="90" w:type="dxa"/>
            </w:tcMar>
          </w:tcPr>
          <w:p>
            <w:pPr>
              <w:spacing w:after="40" w:line="245" w:lineRule="auto"/>
            </w:pPr>
            <w:r>
              <w:rPr>
                <w:b w:val="0"/>
                <w:sz w:val="20"/>
              </w:rPr>
              <w:t>P6</w:t>
            </w:r>
          </w:p>
        </w:tc>
        <w:tc>
          <w:tcPr>
            <w:tcW w:type="dxa" w:w="2880"/>
            <w:vAlign w:val="center"/>
            <w:shd w:fill="FFFFFF"/>
            <w:tcMar>
              <w:top w:w="90" w:type="dxa"/>
              <w:bottom w:w="90" w:type="dxa"/>
              <w:left w:w="90" w:type="dxa"/>
              <w:right w:w="90" w:type="dxa"/>
            </w:tcMar>
          </w:tcPr>
          <w:p>
            <w:pPr>
              <w:spacing w:after="40" w:line="245" w:lineRule="auto"/>
            </w:pPr>
            <w:r>
              <w:rPr>
                <w:b w:val="0"/>
                <w:sz w:val="20"/>
              </w:rPr>
              <w:t>LR Net 2025</w:t>
            </w:r>
          </w:p>
        </w:tc>
        <w:tc>
          <w:tcPr>
            <w:tcW w:type="dxa" w:w="6336"/>
            <w:vAlign w:val="center"/>
            <w:shd w:fill="FFFFFF"/>
            <w:tcMar>
              <w:top w:w="90" w:type="dxa"/>
              <w:bottom w:w="90" w:type="dxa"/>
              <w:left w:w="90" w:type="dxa"/>
              <w:right w:w="90" w:type="dxa"/>
            </w:tcMar>
          </w:tcPr>
          <w:p>
            <w:pPr>
              <w:spacing w:after="40" w:line="245" w:lineRule="auto"/>
            </w:pPr>
            <w:r>
              <w:rPr>
                <w:b w:val="0"/>
                <w:sz w:val="20"/>
              </w:rPr>
              <w:t>Abstract and experiments report BraTS2019, 2020 and 2021.</w:t>
            </w:r>
          </w:p>
        </w:tc>
      </w:tr>
      <w:tr>
        <w:trPr>
          <w:cantSplit/>
        </w:trPr>
        <w:tc>
          <w:tcPr>
            <w:tcW w:type="dxa" w:w="648"/>
            <w:vAlign w:val="center"/>
            <w:shd w:fill="F7F8FA"/>
            <w:tcMar>
              <w:top w:w="90" w:type="dxa"/>
              <w:bottom w:w="90" w:type="dxa"/>
              <w:left w:w="90" w:type="dxa"/>
              <w:right w:w="90" w:type="dxa"/>
            </w:tcMar>
          </w:tcPr>
          <w:p>
            <w:pPr>
              <w:spacing w:after="40" w:line="245" w:lineRule="auto"/>
            </w:pPr>
            <w:r>
              <w:rPr>
                <w:b w:val="0"/>
                <w:sz w:val="20"/>
              </w:rPr>
              <w:t>P7</w:t>
            </w:r>
          </w:p>
        </w:tc>
        <w:tc>
          <w:tcPr>
            <w:tcW w:type="dxa" w:w="2880"/>
            <w:vAlign w:val="center"/>
            <w:shd w:fill="F7F8FA"/>
            <w:tcMar>
              <w:top w:w="90" w:type="dxa"/>
              <w:bottom w:w="90" w:type="dxa"/>
              <w:left w:w="90" w:type="dxa"/>
              <w:right w:w="90" w:type="dxa"/>
            </w:tcMar>
          </w:tcPr>
          <w:p>
            <w:pPr>
              <w:spacing w:after="40" w:line="245" w:lineRule="auto"/>
            </w:pPr>
            <w:r>
              <w:rPr>
                <w:b w:val="0"/>
                <w:sz w:val="20"/>
              </w:rPr>
              <w:t>Modality imputation 2025</w:t>
            </w:r>
          </w:p>
        </w:tc>
        <w:tc>
          <w:tcPr>
            <w:tcW w:type="dxa" w:w="6336"/>
            <w:vAlign w:val="center"/>
            <w:shd w:fill="F7F8FA"/>
            <w:tcMar>
              <w:top w:w="90" w:type="dxa"/>
              <w:bottom w:w="90" w:type="dxa"/>
              <w:left w:w="90" w:type="dxa"/>
              <w:right w:w="90" w:type="dxa"/>
            </w:tcMar>
          </w:tcPr>
          <w:p>
            <w:pPr>
              <w:spacing w:after="40" w:line="245" w:lineRule="auto"/>
            </w:pPr>
            <w:r>
              <w:rPr>
                <w:b w:val="0"/>
                <w:sz w:val="20"/>
              </w:rPr>
              <w:t>Methods identify 1251 BraTS2021 cases and a clinical cohort.</w:t>
            </w:r>
          </w:p>
        </w:tc>
      </w:tr>
      <w:tr>
        <w:trPr>
          <w:cantSplit/>
        </w:trPr>
        <w:tc>
          <w:tcPr>
            <w:tcW w:type="dxa" w:w="648"/>
            <w:vAlign w:val="center"/>
            <w:shd w:fill="FFFFFF"/>
            <w:tcMar>
              <w:top w:w="90" w:type="dxa"/>
              <w:bottom w:w="90" w:type="dxa"/>
              <w:left w:w="90" w:type="dxa"/>
              <w:right w:w="90" w:type="dxa"/>
            </w:tcMar>
          </w:tcPr>
          <w:p>
            <w:pPr>
              <w:spacing w:after="40" w:line="245" w:lineRule="auto"/>
            </w:pPr>
            <w:r>
              <w:rPr>
                <w:b w:val="0"/>
                <w:sz w:val="20"/>
              </w:rPr>
              <w:t>P8</w:t>
            </w:r>
          </w:p>
        </w:tc>
        <w:tc>
          <w:tcPr>
            <w:tcW w:type="dxa" w:w="2880"/>
            <w:vAlign w:val="center"/>
            <w:shd w:fill="FFFFFF"/>
            <w:tcMar>
              <w:top w:w="90" w:type="dxa"/>
              <w:bottom w:w="90" w:type="dxa"/>
              <w:left w:w="90" w:type="dxa"/>
              <w:right w:w="90" w:type="dxa"/>
            </w:tcMar>
          </w:tcPr>
          <w:p>
            <w:pPr>
              <w:spacing w:after="40" w:line="245" w:lineRule="auto"/>
            </w:pPr>
            <w:r>
              <w:rPr>
                <w:b w:val="0"/>
                <w:sz w:val="20"/>
              </w:rPr>
              <w:t>Minimized MRI data 2025</w:t>
            </w:r>
          </w:p>
        </w:tc>
        <w:tc>
          <w:tcPr>
            <w:tcW w:type="dxa" w:w="6336"/>
            <w:vAlign w:val="center"/>
            <w:shd w:fill="FFFFFF"/>
            <w:tcMar>
              <w:top w:w="90" w:type="dxa"/>
              <w:bottom w:w="90" w:type="dxa"/>
              <w:left w:w="90" w:type="dxa"/>
              <w:right w:w="90" w:type="dxa"/>
            </w:tcMar>
          </w:tcPr>
          <w:p>
            <w:pPr>
              <w:spacing w:after="40" w:line="245" w:lineRule="auto"/>
            </w:pPr>
            <w:r>
              <w:rPr>
                <w:b w:val="0"/>
                <w:sz w:val="20"/>
              </w:rPr>
              <w:t>Abstract methods identify 292 BraTS2021 test cases.</w:t>
            </w:r>
          </w:p>
        </w:tc>
      </w:tr>
      <w:tr>
        <w:trPr>
          <w:cantSplit/>
        </w:trPr>
        <w:tc>
          <w:tcPr>
            <w:tcW w:type="dxa" w:w="648"/>
            <w:vAlign w:val="center"/>
            <w:shd w:fill="F7F8FA"/>
            <w:tcMar>
              <w:top w:w="90" w:type="dxa"/>
              <w:bottom w:w="90" w:type="dxa"/>
              <w:left w:w="90" w:type="dxa"/>
              <w:right w:w="90" w:type="dxa"/>
            </w:tcMar>
          </w:tcPr>
          <w:p>
            <w:pPr>
              <w:spacing w:after="40" w:line="245" w:lineRule="auto"/>
            </w:pPr>
            <w:r>
              <w:rPr>
                <w:b w:val="0"/>
                <w:sz w:val="20"/>
              </w:rPr>
              <w:t>P9</w:t>
            </w:r>
          </w:p>
        </w:tc>
        <w:tc>
          <w:tcPr>
            <w:tcW w:type="dxa" w:w="2880"/>
            <w:vAlign w:val="center"/>
            <w:shd w:fill="F7F8FA"/>
            <w:tcMar>
              <w:top w:w="90" w:type="dxa"/>
              <w:bottom w:w="90" w:type="dxa"/>
              <w:left w:w="90" w:type="dxa"/>
              <w:right w:w="90" w:type="dxa"/>
            </w:tcMar>
          </w:tcPr>
          <w:p>
            <w:pPr>
              <w:spacing w:after="40" w:line="245" w:lineRule="auto"/>
            </w:pPr>
            <w:r>
              <w:rPr>
                <w:b w:val="0"/>
                <w:sz w:val="20"/>
              </w:rPr>
              <w:t>EHFF 2024</w:t>
            </w:r>
          </w:p>
        </w:tc>
        <w:tc>
          <w:tcPr>
            <w:tcW w:type="dxa" w:w="6336"/>
            <w:vAlign w:val="center"/>
            <w:shd w:fill="F7F8FA"/>
            <w:tcMar>
              <w:top w:w="90" w:type="dxa"/>
              <w:bottom w:w="90" w:type="dxa"/>
              <w:left w:w="90" w:type="dxa"/>
              <w:right w:w="90" w:type="dxa"/>
            </w:tcMar>
          </w:tcPr>
          <w:p>
            <w:pPr>
              <w:spacing w:after="40" w:line="245" w:lineRule="auto"/>
            </w:pPr>
            <w:r>
              <w:rPr>
                <w:b w:val="0"/>
                <w:sz w:val="20"/>
              </w:rPr>
              <w:t>Experiments and Section 3.4 name BraTS2021.</w:t>
            </w:r>
          </w:p>
        </w:tc>
      </w:tr>
      <w:tr>
        <w:trPr>
          <w:cantSplit/>
        </w:trPr>
        <w:tc>
          <w:tcPr>
            <w:tcW w:type="dxa" w:w="648"/>
            <w:vAlign w:val="center"/>
            <w:shd w:fill="FFFFFF"/>
            <w:tcMar>
              <w:top w:w="90" w:type="dxa"/>
              <w:bottom w:w="90" w:type="dxa"/>
              <w:left w:w="90" w:type="dxa"/>
              <w:right w:w="90" w:type="dxa"/>
            </w:tcMar>
          </w:tcPr>
          <w:p>
            <w:pPr>
              <w:spacing w:after="40" w:line="245" w:lineRule="auto"/>
            </w:pPr>
            <w:r>
              <w:rPr>
                <w:b w:val="0"/>
                <w:sz w:val="20"/>
              </w:rPr>
              <w:t>P10</w:t>
            </w:r>
          </w:p>
        </w:tc>
        <w:tc>
          <w:tcPr>
            <w:tcW w:type="dxa" w:w="2880"/>
            <w:vAlign w:val="center"/>
            <w:shd w:fill="FFFFFF"/>
            <w:tcMar>
              <w:top w:w="90" w:type="dxa"/>
              <w:bottom w:w="90" w:type="dxa"/>
              <w:left w:w="90" w:type="dxa"/>
              <w:right w:w="90" w:type="dxa"/>
            </w:tcMar>
          </w:tcPr>
          <w:p>
            <w:pPr>
              <w:spacing w:after="40" w:line="245" w:lineRule="auto"/>
            </w:pPr>
            <w:r>
              <w:rPr>
                <w:b w:val="0"/>
                <w:sz w:val="20"/>
              </w:rPr>
              <w:t>Sequence dropout 2023</w:t>
            </w:r>
          </w:p>
        </w:tc>
        <w:tc>
          <w:tcPr>
            <w:tcW w:type="dxa" w:w="6336"/>
            <w:vAlign w:val="center"/>
            <w:shd w:fill="FFFFFF"/>
            <w:tcMar>
              <w:top w:w="90" w:type="dxa"/>
              <w:bottom w:w="90" w:type="dxa"/>
              <w:left w:w="90" w:type="dxa"/>
              <w:right w:w="90" w:type="dxa"/>
            </w:tcMar>
          </w:tcPr>
          <w:p>
            <w:pPr>
              <w:spacing w:after="40" w:line="245" w:lineRule="auto"/>
            </w:pPr>
            <w:r>
              <w:rPr>
                <w:b w:val="0"/>
                <w:sz w:val="20"/>
              </w:rPr>
              <w:t>Abstract explicitly identifies the BraTS 2021 challenge dataset.</w:t>
            </w:r>
          </w:p>
        </w:tc>
      </w:tr>
    </w:tbl>
    <w:p>
      <w:r>
        <w:rPr>
          <w:b w:val="0"/>
        </w:rPr>
      </w:r>
    </w:p>
    <w:p>
      <w:pPr>
        <w:pStyle w:val="Heading2"/>
      </w:pPr>
      <w:r>
        <w:t>Important qualifications</w:t>
      </w:r>
    </w:p>
    <w:p>
      <w:r>
        <w:rPr>
          <w:b w:val="0"/>
        </w:rPr>
        <w:t>P4 is assessed from accessible publisher abstract and introduction material; its full experimental protocol is not independently audited here. P5 explicitly names BraTS2021 but describes 1280 scans, which should not be silently equated with the standard 1251 labeled training cases. Confirm its exact release and split before reproducing it.</w:t>
      </w:r>
    </w:p>
    <w:p>
      <w:r>
        <w:rPr>
          <w:b w:val="0"/>
        </w:rPr>
        <w:t>Verification is based on the authors’ primary reports, not merely a citation to the BraTS paper in their bibliography. Review each linked profile for the problem addressed, remaining limitations and an experiment appropriate to NeuroScan. No cross-paper performance ranking is made because protocols differ.</w:t>
      </w:r>
    </w:p>
    <w:p>
      <w:r>
        <w:br w:type="page"/>
      </w:r>
    </w:p>
    <w:p>
      <w:pPr>
        <w:pStyle w:val="Heading1"/>
      </w:pPr>
      <w:r>
        <w:t>P1 Frequency aware efficient segmentation</w:t>
      </w:r>
    </w:p>
    <w:p>
      <w:r>
        <w:rPr>
          <w:b/>
        </w:rPr>
        <w:t>LiteFreqMamba: lightweight frequency-enhanced Mamba for efficient 3D brain tumor segmentation</w:t>
      </w:r>
    </w:p>
    <w:p>
      <w:r>
        <w:rPr>
          <w:b w:val="0"/>
        </w:rPr>
        <w:t>2026 | Frontiers in Oncology</w:t>
      </w:r>
    </w:p>
    <w:p>
      <w:hyperlink r:id="rId11">
        <w:r>
          <w:rPr>
            <w:color w:val="0563C1"/>
            <w:u w:val="single"/>
          </w:rPr>
          <w:t>Read the primary paper</w:t>
        </w:r>
      </w:hyperlink>
    </w:p>
    <w:p>
      <w:pPr>
        <w:pStyle w:val="Heading2"/>
      </w:pPr>
      <w:r>
        <w:t>Dataset confirmation</w:t>
      </w:r>
    </w:p>
    <w:p>
      <w:r>
        <w:rPr>
          <w:b w:val="0"/>
        </w:rPr>
        <w:t>Section 4.1 describes BraTS2020 and BraTS2021 using publicly annotated cohorts and a local patient-wise split. This is not an official hidden-test score.</w:t>
      </w:r>
    </w:p>
    <w:p>
      <w:pPr>
        <w:pStyle w:val="Heading2"/>
      </w:pPr>
      <w:r>
        <w:t>Problem and proposed solution</w:t>
      </w:r>
    </w:p>
    <w:p>
      <w:r>
        <w:rPr>
          <w:b w:val="0"/>
        </w:rPr>
        <w:t>The authors target expensive long-range modeling and weak recovery of fine boundaries. Their network combines frequency decomposition with state-space processing and an attention component.</w:t>
      </w:r>
    </w:p>
    <w:p>
      <w:pPr>
        <w:pStyle w:val="Heading2"/>
      </w:pPr>
      <w:r>
        <w:t>What remains unresolved</w:t>
      </w:r>
    </w:p>
    <w:p>
      <w:r>
        <w:rPr>
          <w:b w:val="0"/>
        </w:rPr>
        <w:t>Author-reported: inference assumes all modalities; the experiments do not directly establish that spectral bias has been removed; external multicenter and deployment validation remain future work. See the discussion and conclusion.</w:t>
      </w:r>
    </w:p>
    <w:p>
      <w:r>
        <w:rPr>
          <w:b w:val="0"/>
        </w:rPr>
        <w:t>Reviewer inference: A smaller architecture is not automatically the fastest choice on our CPU. Specialized operations and overlapping windows can dominate runtime. Its complete-input results should not be presented as missing-modality evidence.</w:t>
      </w:r>
    </w:p>
    <w:p>
      <w:pPr>
        <w:pStyle w:val="Heading2"/>
      </w:pPr>
      <w:r>
        <w:t>The idea in everyday language</w:t>
      </w:r>
    </w:p>
    <w:p>
      <w:r>
        <w:rPr>
          <w:b w:val="0"/>
        </w:rPr>
        <w:t>Think of frequency features as separating broad structures from rapid image changes. The goal is to keep small contour details while still recognizing the overall tumor shape. This is an explanation of the idea, not proof that every high-frequency feature is tumor.</w:t>
      </w:r>
    </w:p>
    <w:p>
      <w:pPr>
        <w:pStyle w:val="Heading2"/>
      </w:pPr>
      <w:r>
        <w:t>An experiment for NeuroScan</w:t>
      </w:r>
    </w:p>
    <w:p>
      <w:r>
        <w:rPr>
          <w:b w:val="0"/>
        </w:rPr>
        <w:t>Keep our current model as the baseline. Add one boundary-sensitive component only after full-volume evaluation works. Compare per-patient Dice, HD95, peak memory and end-to-end time on the same patients. Include low-contrast cases and record failures rather than displaying only attractive examples.</w:t>
      </w:r>
    </w:p>
    <w:p>
      <w:r>
        <w:br w:type="page"/>
      </w:r>
    </w:p>
    <w:p>
      <w:pPr>
        <w:pStyle w:val="Heading1"/>
      </w:pPr>
      <w:r>
        <w:t>P2 Boundary recovery with missing sequences</w:t>
      </w:r>
    </w:p>
    <w:p>
      <w:r>
        <w:rPr>
          <w:b/>
        </w:rPr>
        <w:t>PF-CMNet: Progressive Frequency-Aware Cross-Modal Network with Missing-Modality Distillation for 3D Brain Tumor Segmentation</w:t>
      </w:r>
    </w:p>
    <w:p>
      <w:r>
        <w:rPr>
          <w:b w:val="0"/>
        </w:rPr>
        <w:t>2026 | Brain Sciences</w:t>
      </w:r>
    </w:p>
    <w:p>
      <w:hyperlink r:id="rId12">
        <w:r>
          <w:rPr>
            <w:color w:val="0563C1"/>
            <w:u w:val="single"/>
          </w:rPr>
          <w:t>Read the primary paper</w:t>
        </w:r>
      </w:hyperlink>
    </w:p>
    <w:p>
      <w:pPr>
        <w:pStyle w:val="Heading2"/>
      </w:pPr>
      <w:r>
        <w:t>Dataset confirmation</w:t>
      </w:r>
    </w:p>
    <w:p>
      <w:r>
        <w:rPr>
          <w:b w:val="0"/>
        </w:rPr>
        <w:t>The abstract and evaluation identify BraTS2021 and MSD Task01 BrainTumour. The study also evaluates predefined missing-input settings.</w:t>
      </w:r>
    </w:p>
    <w:p>
      <w:pPr>
        <w:pStyle w:val="Heading2"/>
      </w:pPr>
      <w:r>
        <w:t>Problem and proposed solution</w:t>
      </w:r>
    </w:p>
    <w:p>
      <w:r>
        <w:rPr>
          <w:b w:val="0"/>
        </w:rPr>
        <w:t>Low contrast, small enhancing regions and ambiguous contours motivate frequency-aware modality fusion, a progressive decoder and teacher-to-student distillation.</w:t>
      </w:r>
    </w:p>
    <w:p>
      <w:pPr>
        <w:pStyle w:val="Heading2"/>
      </w:pPr>
      <w:r>
        <w:t>What remains unresolved</w:t>
      </w:r>
    </w:p>
    <w:p>
      <w:r>
        <w:rPr>
          <w:b w:val="0"/>
        </w:rPr>
        <w:t>Author-reported: small or weak ET can still be missed without T1ce; ambiguous transitions can produce unstable contours. The discussion identifies limited boundary metrics, a fixed frequency-band choice, hardware-specific efficiency measurements and no complete clinical workflow or clinical user validation.</w:t>
      </w:r>
    </w:p>
    <w:p>
      <w:r>
        <w:rPr>
          <w:b w:val="0"/>
        </w:rPr>
        <w:t>Reviewer inference: A web viewer should expose suspicious regions rather than imply that the additional model complexity has eliminated failure. Noise, misregistration and missing sequences need different tests.</w:t>
      </w:r>
    </w:p>
    <w:p>
      <w:pPr>
        <w:pStyle w:val="Heading2"/>
      </w:pPr>
      <w:r>
        <w:t>The idea in everyday language</w:t>
      </w:r>
    </w:p>
    <w:p>
      <w:r>
        <w:rPr>
          <w:b w:val="0"/>
        </w:rPr>
        <w:t>A teacher sees all available views during training. A student practices with some views removed and learns from the teacher. This can help the student, but it cannot guarantee recovery of enhancement that the remaining images do not reveal.</w:t>
      </w:r>
    </w:p>
    <w:p>
      <w:pPr>
        <w:pStyle w:val="Heading2"/>
      </w:pPr>
      <w:r>
        <w:t>An experiment for NeuroScan</w:t>
      </w:r>
    </w:p>
    <w:p>
      <w:r>
        <w:rPr>
          <w:b w:val="0"/>
        </w:rPr>
        <w:t>Create a failure checklist with three categories: missed ET, fragmented core and excessive edema. Run each case with all sequences, then without T1ce. Inspect the same slices and calculate region-specific errors. Separately time file reading, normalization, inference and mask saving to find the actual application bottleneck.</w:t>
      </w:r>
    </w:p>
    <w:p>
      <w:r>
        <w:br w:type="page"/>
      </w:r>
    </w:p>
    <w:p>
      <w:pPr>
        <w:pStyle w:val="Heading1"/>
      </w:pPr>
      <w:r>
        <w:t>P3 Compact cross modality fusion</w:t>
      </w:r>
    </w:p>
    <w:p>
      <w:r>
        <w:rPr>
          <w:b/>
        </w:rPr>
        <w:t>A lightweight brain tumor segmentation network based on cross-modality feature fusion</w:t>
      </w:r>
    </w:p>
    <w:p>
      <w:r>
        <w:rPr>
          <w:b w:val="0"/>
        </w:rPr>
        <w:t>2026 | Engineering Applications of Artificial Intelligence</w:t>
      </w:r>
    </w:p>
    <w:p>
      <w:hyperlink r:id="rId13">
        <w:r>
          <w:rPr>
            <w:color w:val="0563C1"/>
            <w:u w:val="single"/>
          </w:rPr>
          <w:t>Read the primary paper</w:t>
        </w:r>
      </w:hyperlink>
    </w:p>
    <w:p>
      <w:pPr>
        <w:pStyle w:val="Heading2"/>
      </w:pPr>
      <w:r>
        <w:t>Dataset confirmation</w:t>
      </w:r>
    </w:p>
    <w:p>
      <w:r>
        <w:rPr>
          <w:b w:val="0"/>
        </w:rPr>
        <w:t>The Dataset section identifies 1251 BraTS2021 cases with a local 8 to 1 to 1 training, validation and test division.</w:t>
      </w:r>
    </w:p>
    <w:p>
      <w:pPr>
        <w:pStyle w:val="Heading2"/>
      </w:pPr>
      <w:r>
        <w:t>Problem and proposed solution</w:t>
      </w:r>
    </w:p>
    <w:p>
      <w:r>
        <w:rPr>
          <w:b w:val="0"/>
        </w:rPr>
        <w:t>Different MRI sequences highlight different structures. The paper uses four encoder branches with modality-specific attention and a compact cross-modal fusion module; it reports 3.66 million parameters.</w:t>
      </w:r>
    </w:p>
    <w:p>
      <w:pPr>
        <w:pStyle w:val="Heading2"/>
      </w:pPr>
      <w:r>
        <w:t>What remains unresolved</w:t>
      </w:r>
    </w:p>
    <w:p>
      <w:r>
        <w:rPr>
          <w:b w:val="0"/>
        </w:rPr>
        <w:t>Evidence boundary: the accessible dataset section describes a benchmark split. A claim about architectural adaptability is not, by itself, validation under every missing-modality pattern. A separate author limitations passage is not asserted here.</w:t>
      </w:r>
    </w:p>
    <w:p>
      <w:r>
        <w:rPr>
          <w:b w:val="0"/>
        </w:rPr>
        <w:t>Reviewer inference: We should not infer multicenter deployment reliability or web performance from parameter count and internal segmentation scores. Reproducing the split and implementation matters before comparing this model against NeuroScan.</w:t>
      </w:r>
    </w:p>
    <w:p>
      <w:pPr>
        <w:pStyle w:val="Heading2"/>
      </w:pPr>
      <w:r>
        <w:t>The idea in everyday language</w:t>
      </w:r>
    </w:p>
    <w:p>
      <w:r>
        <w:rPr>
          <w:b w:val="0"/>
        </w:rPr>
        <w:t>Instead of mixing all four scans immediately, separate branches first learn what is useful in each scan. Fusion then combines those clues. An analogy is four observers writing notes before comparing them, rather than speaking over one another.</w:t>
      </w:r>
    </w:p>
    <w:p>
      <w:pPr>
        <w:pStyle w:val="Heading2"/>
      </w:pPr>
      <w:r>
        <w:t>An experiment for NeuroScan</w:t>
      </w:r>
    </w:p>
    <w:p>
      <w:r>
        <w:rPr>
          <w:b w:val="0"/>
        </w:rPr>
        <w:t>Compare early fusion, our present four-channel input, against a small multi-branch model. Match the number of training updates and augmentation. Measure both parameters and real latency. If a branch is removed at test time, treat that as a new robustness experiment and train appropriately; do not assume it will work.</w:t>
      </w:r>
    </w:p>
    <w:p>
      <w:r>
        <w:br w:type="page"/>
      </w:r>
    </w:p>
    <w:p>
      <w:pPr>
        <w:pStyle w:val="Heading1"/>
      </w:pPr>
      <w:r>
        <w:t>P4 Learning from complete modality teachers</w:t>
      </w:r>
    </w:p>
    <w:p>
      <w:r>
        <w:rPr>
          <w:b/>
        </w:rPr>
        <w:t>Collaborative encoding attributed hybrid attention knowledge distillation for missing-modality brain tumor segmentation</w:t>
      </w:r>
    </w:p>
    <w:p>
      <w:r>
        <w:rPr>
          <w:b w:val="0"/>
        </w:rPr>
        <w:t>2026 | Biomedical Signal Processing and Control</w:t>
      </w:r>
    </w:p>
    <w:p>
      <w:hyperlink r:id="rId14">
        <w:r>
          <w:rPr>
            <w:color w:val="0563C1"/>
            <w:u w:val="single"/>
          </w:rPr>
          <w:t>Read the primary paper</w:t>
        </w:r>
      </w:hyperlink>
    </w:p>
    <w:p>
      <w:pPr>
        <w:pStyle w:val="Heading2"/>
      </w:pPr>
      <w:r>
        <w:t>Dataset confirmation</w:t>
      </w:r>
    </w:p>
    <w:p>
      <w:r>
        <w:rPr>
          <w:b w:val="0"/>
        </w:rPr>
        <w:t>The publisher abstract and highlights explicitly report experiments on BraTS2020 and BraTS2021. The journal issue is March 2026 although the DOI contains 2025.</w:t>
      </w:r>
    </w:p>
    <w:p>
      <w:pPr>
        <w:pStyle w:val="Heading2"/>
      </w:pPr>
      <w:r>
        <w:t>Problem and proposed solution</w:t>
      </w:r>
    </w:p>
    <w:p>
      <w:r>
        <w:rPr>
          <w:b w:val="0"/>
        </w:rPr>
        <w:t>The paper addresses reduced segmentation performance with missing inputs using complementary Mamba and vision-Transformer encoders, followed by attention-based knowledge transfer from a complete-input teacher.</w:t>
      </w:r>
    </w:p>
    <w:p>
      <w:pPr>
        <w:pStyle w:val="Heading2"/>
      </w:pPr>
      <w:r>
        <w:t>What remains unresolved</w:t>
      </w:r>
    </w:p>
    <w:p>
      <w:r>
        <w:rPr>
          <w:b w:val="0"/>
        </w:rPr>
        <w:t>Evidence boundary: accessible primary material confirms the datasets and proposed method, but does not establish a complete deployment audit. No unverified failure or author-stated limitation is attributed to this paper.</w:t>
      </w:r>
    </w:p>
    <w:p>
      <w:r>
        <w:rPr>
          <w:b w:val="0"/>
        </w:rPr>
        <w:t>Reviewer inference: A complete-input teacher still needs suitable training data and additional training resources. Whether this approach fits our Kaggle budget or improves a small U-Net more than simple sequence dropout requires a controlled comparison.</w:t>
      </w:r>
    </w:p>
    <w:p>
      <w:pPr>
        <w:pStyle w:val="Heading2"/>
      </w:pPr>
      <w:r>
        <w:t>The idea in everyday language</w:t>
      </w:r>
    </w:p>
    <w:p>
      <w:r>
        <w:rPr>
          <w:b w:val="0"/>
        </w:rPr>
        <w:t>Knowledge distillation is guided learning: a stronger model provides probabilities or intermediate features to a smaller or less-informed model. The teacher can pass on errors, so both teacher and student need independent evaluation.</w:t>
      </w:r>
    </w:p>
    <w:p>
      <w:pPr>
        <w:pStyle w:val="Heading2"/>
      </w:pPr>
      <w:r>
        <w:t>An experiment for NeuroScan</w:t>
      </w:r>
    </w:p>
    <w:p>
      <w:r>
        <w:rPr>
          <w:b w:val="0"/>
        </w:rPr>
        <w:t>First build a sequence-dropout baseline. Then train a student with the same architecture, data and update budget, adding only a distillation loss. Compare all 15 nonempty sequence combinations. Track teacher-training time separately. An improvement in one difficult combination should not conceal a large loss on complete scans.</w:t>
      </w:r>
    </w:p>
    <w:p>
      <w:r>
        <w:br w:type="page"/>
      </w:r>
    </w:p>
    <w:p>
      <w:pPr>
        <w:pStyle w:val="Heading1"/>
      </w:pPr>
      <w:r>
        <w:t>P5 Adapting a general model to medical scans</w:t>
      </w:r>
    </w:p>
    <w:p>
      <w:r>
        <w:rPr>
          <w:b/>
        </w:rPr>
        <w:t>Medical SAM adapter: Adapting segment anything model for medical image segmentation</w:t>
      </w:r>
    </w:p>
    <w:p>
      <w:r>
        <w:rPr>
          <w:b w:val="0"/>
        </w:rPr>
        <w:t>2025 | Medical Image Analysis</w:t>
      </w:r>
    </w:p>
    <w:p>
      <w:hyperlink r:id="rId15">
        <w:r>
          <w:rPr>
            <w:color w:val="0563C1"/>
            <w:u w:val="single"/>
          </w:rPr>
          <w:t>Read the primary paper</w:t>
        </w:r>
      </w:hyperlink>
    </w:p>
    <w:p>
      <w:pPr>
        <w:pStyle w:val="Heading2"/>
      </w:pPr>
      <w:r>
        <w:t>Dataset confirmation</w:t>
      </w:r>
    </w:p>
    <w:p>
      <w:r>
        <w:rPr>
          <w:b w:val="0"/>
        </w:rPr>
        <w:t>The Dataset and evaluation metrics section lists BraTS2021 among the medical benchmarks. Its stated 1280-scan count requires clarification before reproduction.</w:t>
      </w:r>
    </w:p>
    <w:p>
      <w:pPr>
        <w:pStyle w:val="Heading2"/>
      </w:pPr>
      <w:r>
        <w:t>Problem and proposed solution</w:t>
      </w:r>
    </w:p>
    <w:p>
      <w:r>
        <w:rPr>
          <w:b w:val="0"/>
        </w:rPr>
        <w:t>A natural-image segmentation model does not automatically understand medical images or 3D structure. Med-SA introduces Space-Depth Transpose and a Hyper-Prompting Adapter while updating only a small fraction of SAM parameters.</w:t>
      </w:r>
    </w:p>
    <w:p>
      <w:pPr>
        <w:pStyle w:val="Heading2"/>
      </w:pPr>
      <w:r>
        <w:t>What remains unresolved</w:t>
      </w:r>
    </w:p>
    <w:p>
      <w:r>
        <w:rPr>
          <w:b w:val="0"/>
        </w:rPr>
        <w:t>Scope caveat: the method is prompt-conditioned. Its parameter-efficient adaptation claim concerns trainable parameters, not necessarily a small full model. These are properties of the setup, not an assertion that the authors tested and failed at web deployment.</w:t>
      </w:r>
    </w:p>
    <w:p>
      <w:r>
        <w:rPr>
          <w:b w:val="0"/>
        </w:rPr>
        <w:t>Reviewer inference: Prompt quality and user effort must be accounted for when comparing interactive segmentation with our automatic model. A bounding box derived from a reference mask would not represent realistic independent user input.</w:t>
      </w:r>
    </w:p>
    <w:p>
      <w:pPr>
        <w:pStyle w:val="Heading2"/>
      </w:pPr>
      <w:r>
        <w:t>The idea in everyday language</w:t>
      </w:r>
    </w:p>
    <w:p>
      <w:r>
        <w:rPr>
          <w:b w:val="0"/>
        </w:rPr>
        <w:t>An adapter is a small set of trainable additions around a larger pretrained network. Freezing the original network can reduce training work, but the frozen network still participates in prediction. Small training updates and cheap inference are different goals.</w:t>
      </w:r>
    </w:p>
    <w:p>
      <w:pPr>
        <w:pStyle w:val="Heading2"/>
      </w:pPr>
      <w:r>
        <w:t>An experiment for NeuroScan</w:t>
      </w:r>
    </w:p>
    <w:p>
      <w:r>
        <w:rPr>
          <w:b w:val="0"/>
        </w:rPr>
        <w:t>If interactive correction is added to NeuroScan, define who draws the prompt and when. Compare automatic output with output after a fixed number of user corrections. Record correction time and residual error. Preserve the original mask and each revision so that editing does not erase the audit trail.</w:t>
      </w:r>
    </w:p>
    <w:p>
      <w:r>
        <w:br w:type="page"/>
      </w:r>
    </w:p>
    <w:p>
      <w:pPr>
        <w:pStyle w:val="Heading1"/>
      </w:pPr>
      <w:r>
        <w:t>P6 Low cost models and fuzzy boundaries</w:t>
      </w:r>
    </w:p>
    <w:p>
      <w:r>
        <w:rPr>
          <w:b/>
        </w:rPr>
        <w:t>A 3D lightweight network with Roberts edge enhancement model (LR-Net) for brain tumor segmentation</w:t>
      </w:r>
    </w:p>
    <w:p>
      <w:r>
        <w:rPr>
          <w:b w:val="0"/>
        </w:rPr>
        <w:t>2025 | Scientific Reports</w:t>
      </w:r>
    </w:p>
    <w:p>
      <w:hyperlink r:id="rId16">
        <w:r>
          <w:rPr>
            <w:color w:val="0563C1"/>
            <w:u w:val="single"/>
          </w:rPr>
          <w:t>Read the primary paper</w:t>
        </w:r>
      </w:hyperlink>
    </w:p>
    <w:p>
      <w:pPr>
        <w:pStyle w:val="Heading2"/>
      </w:pPr>
      <w:r>
        <w:t>Dataset confirmation</w:t>
      </w:r>
    </w:p>
    <w:p>
      <w:r>
        <w:rPr>
          <w:b w:val="0"/>
        </w:rPr>
        <w:t>The abstract and experiments report evaluations on BraTS2019, BraTS2020 and BraTS2021.</w:t>
      </w:r>
    </w:p>
    <w:p>
      <w:pPr>
        <w:pStyle w:val="Heading2"/>
      </w:pPr>
      <w:r>
        <w:t>Problem and proposed solution</w:t>
      </w:r>
    </w:p>
    <w:p>
      <w:r>
        <w:rPr>
          <w:b w:val="0"/>
        </w:rPr>
        <w:t>The authors seek a compromise between local detail, broad context and compute. Spatial-shift convolution, pixel-shuffle upsampling and channel attention with Roberts edge enhancement form the proposed network.</w:t>
      </w:r>
    </w:p>
    <w:p>
      <w:pPr>
        <w:pStyle w:val="Heading2"/>
      </w:pPr>
      <w:r>
        <w:t>What remains unresolved</w:t>
      </w:r>
    </w:p>
    <w:p>
      <w:r>
        <w:rPr>
          <w:b w:val="0"/>
        </w:rPr>
        <w:t>Reported outcome: the paper reports a BraTS2021 Dice value of 0.860, so reduced complexity is not perfect segmentation. Do not directly compare that value with our current NCR/ED/ET mean because the evaluation definitions and splits differ.</w:t>
      </w:r>
    </w:p>
    <w:p>
      <w:r>
        <w:rPr>
          <w:b w:val="0"/>
        </w:rPr>
        <w:t>Reviewer inference: Edge cues may include noise or normal anatomy as well as lesion borders. That is a reason to test artifact sensitivity, not evidence that this paper necessarily fails on every noisy scan. Runtime also depends on implementation and hardware.</w:t>
      </w:r>
    </w:p>
    <w:p>
      <w:pPr>
        <w:pStyle w:val="Heading2"/>
      </w:pPr>
      <w:r>
        <w:t>The idea in everyday language</w:t>
      </w:r>
    </w:p>
    <w:p>
      <w:r>
        <w:rPr>
          <w:b w:val="0"/>
        </w:rPr>
        <w:t>A spatial shift moves features before combining them, allowing information from nearby positions to interact at relatively low cost. An edge operator highlights changes in intensity. Neither operation knows by itself whether the change is a clinically relevant boundary.</w:t>
      </w:r>
    </w:p>
    <w:p>
      <w:pPr>
        <w:pStyle w:val="Heading2"/>
      </w:pPr>
      <w:r>
        <w:t>An experiment for NeuroScan</w:t>
      </w:r>
    </w:p>
    <w:p>
      <w:r>
        <w:rPr>
          <w:b w:val="0"/>
        </w:rPr>
        <w:t>Before adopting the architecture, compare a baseline and a boundary-enhanced variant using the same training split. Add controlled noise and contrast changes only to the evaluation copies. Check whether improvements survive these perturbations, and preserve the original ground truth geometry. Report small-region misses as well as mean overlap.</w:t>
      </w:r>
    </w:p>
    <w:p>
      <w:r>
        <w:br w:type="page"/>
      </w:r>
    </w:p>
    <w:p>
      <w:pPr>
        <w:pStyle w:val="Heading1"/>
      </w:pPr>
      <w:r>
        <w:t>P7 Synthesizing absent scans before segmentation</w:t>
      </w:r>
    </w:p>
    <w:p>
      <w:r>
        <w:rPr>
          <w:b/>
        </w:rPr>
        <w:t>Deep learning-driven modality imputation and subregion segmentation to enhance high-grade glioma grading</w:t>
      </w:r>
    </w:p>
    <w:p>
      <w:r>
        <w:rPr>
          <w:b w:val="0"/>
        </w:rPr>
        <w:t>2025 | BMC Medical Informatics and Decision Making</w:t>
      </w:r>
    </w:p>
    <w:p>
      <w:hyperlink r:id="rId17">
        <w:r>
          <w:rPr>
            <w:color w:val="0563C1"/>
            <w:u w:val="single"/>
          </w:rPr>
          <w:t>Read the primary paper</w:t>
        </w:r>
      </w:hyperlink>
    </w:p>
    <w:p>
      <w:pPr>
        <w:pStyle w:val="Heading2"/>
      </w:pPr>
      <w:r>
        <w:t>Dataset confirmation</w:t>
      </w:r>
    </w:p>
    <w:p>
      <w:r>
        <w:rPr>
          <w:b w:val="0"/>
        </w:rPr>
        <w:t>Methods identify 1251 BraTS2021 cases as the main cohort and 181 clinical cases as an external test cohort.</w:t>
      </w:r>
    </w:p>
    <w:p>
      <w:pPr>
        <w:pStyle w:val="Heading2"/>
      </w:pPr>
      <w:r>
        <w:t>Problem and proposed solution</w:t>
      </w:r>
    </w:p>
    <w:p>
      <w:r>
        <w:rPr>
          <w:b w:val="0"/>
        </w:rPr>
        <w:t>The study combines missing-sequence synthesis and subregion segmentation. A PatchGAN-based generator with aggregated residual Transformer blocks is paired with a U-Net variant.</w:t>
      </w:r>
    </w:p>
    <w:p>
      <w:pPr>
        <w:pStyle w:val="Heading2"/>
      </w:pPr>
      <w:r>
        <w:t>What remains unresolved</w:t>
      </w:r>
    </w:p>
    <w:p>
      <w:r>
        <w:rPr>
          <w:b w:val="0"/>
        </w:rPr>
        <w:t>Author-reported: dependence on BraTS and single-center clinical data limits representation of multi-device and multicenter variability; the clinical cohort is small and heterogeneous. See the discussion limitations paragraph.</w:t>
      </w:r>
    </w:p>
    <w:p>
      <w:r>
        <w:rPr>
          <w:b w:val="0"/>
        </w:rPr>
        <w:t>Reviewer inference: A plausible generated MRI is not an acquired MRI. Synthetic images could smooth or invent a feature, so visual similarity alone is insufficient. This is a risk to evaluate, not a claim that a specific patient image in the paper was fabricated incorrectly.</w:t>
      </w:r>
    </w:p>
    <w:p>
      <w:pPr>
        <w:pStyle w:val="Heading2"/>
      </w:pPr>
      <w:r>
        <w:t>The idea in everyday language</w:t>
      </w:r>
    </w:p>
    <w:p>
      <w:r>
        <w:rPr>
          <w:b w:val="0"/>
        </w:rPr>
        <w:t>Imputation tries to estimate a missing view from the available views. Good-looking output is useful only if it also preserves the information needed for the downstream task. A generator can be visually convincing yet change the lesion boundary.</w:t>
      </w:r>
    </w:p>
    <w:p>
      <w:pPr>
        <w:pStyle w:val="Heading2"/>
      </w:pPr>
      <w:r>
        <w:t>An experiment for NeuroScan</w:t>
      </w:r>
    </w:p>
    <w:p>
      <w:r>
        <w:rPr>
          <w:b w:val="0"/>
        </w:rPr>
        <w:t>For a future imputation experiment, compare segmentation using real complete inputs, incomplete inputs and generated replacements. Evaluate lesion-region errors separately from whole-image similarity. Mark every synthesized sequence clearly in the interface and report. Do not extend our segmentation application into tumor grading without a separate labeled task and validation protocol.</w:t>
      </w:r>
    </w:p>
    <w:p>
      <w:r>
        <w:br w:type="page"/>
      </w:r>
    </w:p>
    <w:p>
      <w:pPr>
        <w:pStyle w:val="Heading1"/>
      </w:pPr>
      <w:r>
        <w:t>P8 Using fewer acquired MRI sequences</w:t>
      </w:r>
    </w:p>
    <w:p>
      <w:r>
        <w:rPr>
          <w:b/>
        </w:rPr>
        <w:t>Brain tumor segmentation using deep learning: high performance with minimized MRI data</w:t>
      </w:r>
    </w:p>
    <w:p>
      <w:r>
        <w:rPr>
          <w:b w:val="0"/>
        </w:rPr>
        <w:t>2025 | Frontiers in Radiology</w:t>
      </w:r>
    </w:p>
    <w:p>
      <w:hyperlink r:id="rId18">
        <w:r>
          <w:rPr>
            <w:color w:val="0563C1"/>
            <w:u w:val="single"/>
          </w:rPr>
          <w:t>Read the primary paper</w:t>
        </w:r>
      </w:hyperlink>
    </w:p>
    <w:p>
      <w:pPr>
        <w:pStyle w:val="Heading2"/>
      </w:pPr>
      <w:r>
        <w:t>Dataset confirmation</w:t>
      </w:r>
    </w:p>
    <w:p>
      <w:r>
        <w:rPr>
          <w:b w:val="0"/>
        </w:rPr>
        <w:t>Abstract methods report training on 285 BraTS2018 cases and testing on 358 cases, including 292 from BraTS2021. It uses BraTS2021 for testing, not its stated training cohort.</w:t>
      </w:r>
    </w:p>
    <w:p>
      <w:pPr>
        <w:pStyle w:val="Heading2"/>
      </w:pPr>
      <w:r>
        <w:t>Problem and proposed solution</w:t>
      </w:r>
    </w:p>
    <w:p>
      <w:r>
        <w:rPr>
          <w:b w:val="0"/>
        </w:rPr>
        <w:t>The study compares a 3D U-Net using T1C only, FLAIR only, T1C plus FLAIR and all four sequences to reduce input requirements.</w:t>
      </w:r>
    </w:p>
    <w:p>
      <w:pPr>
        <w:pStyle w:val="Heading2"/>
      </w:pPr>
      <w:r>
        <w:t>What remains unresolved</w:t>
      </w:r>
    </w:p>
    <w:p>
      <w:r>
        <w:rPr>
          <w:b w:val="0"/>
        </w:rPr>
        <w:t>Author-reported: anatomical generalization beyond the assessed tumor locations remains untested; a different grade mixture may change conclusions; the four-sequence model may not have converged within the training duration. See Discussion.</w:t>
      </w:r>
    </w:p>
    <w:p>
      <w:r>
        <w:rPr>
          <w:b w:val="0"/>
        </w:rPr>
        <w:t>Reviewer inference: This is not proof that two sequences always outperform four. Equal epochs can still produce unequal convergence. Its selected input combinations are also not equivalent to one model validated across all 15 possible nonempty combinations.</w:t>
      </w:r>
    </w:p>
    <w:p>
      <w:pPr>
        <w:pStyle w:val="Heading2"/>
      </w:pPr>
      <w:r>
        <w:t>The idea in everyday language</w:t>
      </w:r>
    </w:p>
    <w:p>
      <w:r>
        <w:rPr>
          <w:b w:val="0"/>
        </w:rPr>
        <w:t>A smaller input set can make a task easier to deploy, but the comparison must be fair. If a larger model is still improving when training stops, an apparent advantage of a smaller model may partly reflect training budget.</w:t>
      </w:r>
    </w:p>
    <w:p>
      <w:pPr>
        <w:pStyle w:val="Heading2"/>
      </w:pPr>
      <w:r>
        <w:t>An experiment for NeuroScan</w:t>
      </w:r>
    </w:p>
    <w:p>
      <w:r>
        <w:rPr>
          <w:b w:val="0"/>
        </w:rPr>
        <w:t>Train T1ce-plus-FLAIR and four-input baselines with documented stopping criteria. Plot measured validation metrics, preserve the best checkpoint, and report update count and training time. Test the same patients with both models. Do not advise removing clinical acquisitions based on this student software experiment.</w:t>
      </w:r>
    </w:p>
    <w:p>
      <w:r>
        <w:br w:type="page"/>
      </w:r>
    </w:p>
    <w:p>
      <w:pPr>
        <w:pStyle w:val="Heading1"/>
      </w:pPr>
      <w:r>
        <w:t>P9 Preserving detail during feature fusion</w:t>
      </w:r>
    </w:p>
    <w:p>
      <w:r>
        <w:rPr>
          <w:b/>
        </w:rPr>
        <w:t>Lightweight MRI Brain Tumor Segmentation Enhanced by Hierarchical Feature Fusion</w:t>
      </w:r>
    </w:p>
    <w:p>
      <w:r>
        <w:rPr>
          <w:b w:val="0"/>
        </w:rPr>
        <w:t>2024 | Tomography</w:t>
      </w:r>
    </w:p>
    <w:p>
      <w:hyperlink r:id="rId19">
        <w:r>
          <w:rPr>
            <w:color w:val="0563C1"/>
            <w:u w:val="single"/>
          </w:rPr>
          <w:t>Read the primary paper</w:t>
        </w:r>
      </w:hyperlink>
    </w:p>
    <w:p>
      <w:pPr>
        <w:pStyle w:val="Heading2"/>
      </w:pPr>
      <w:r>
        <w:t>Dataset confirmation</w:t>
      </w:r>
    </w:p>
    <w:p>
      <w:r>
        <w:rPr>
          <w:b w:val="0"/>
        </w:rPr>
        <w:t>The experiments use BraTS2021; Section 3.4 specifies that component ablations were performed on fold 4.</w:t>
      </w:r>
    </w:p>
    <w:p>
      <w:pPr>
        <w:pStyle w:val="Heading2"/>
      </w:pPr>
      <w:r>
        <w:t>Problem and proposed solution</w:t>
      </w:r>
    </w:p>
    <w:p>
      <w:r>
        <w:rPr>
          <w:b w:val="0"/>
        </w:rPr>
        <w:t>EHFF combines adaptive feature learning, hierarchical weighting and feature retention to preserve information through encoding and decoding.</w:t>
      </w:r>
    </w:p>
    <w:p>
      <w:pPr>
        <w:pStyle w:val="Heading2"/>
      </w:pPr>
      <w:r>
        <w:t>What remains unresolved</w:t>
      </w:r>
    </w:p>
    <w:p>
      <w:r>
        <w:rPr>
          <w:b w:val="0"/>
        </w:rPr>
        <w:t>Author-reported in Section 3.5: large-kernel global processing can still lose fine tumor detail despite the micro-focus module. The authors propose more refined local feature processing. The fold-specific ablation is a stated experimental scope, not proof of invalid results.</w:t>
      </w:r>
    </w:p>
    <w:p>
      <w:r>
        <w:rPr>
          <w:b w:val="0"/>
        </w:rPr>
        <w:t>Reviewer inference: A gain on one ablation fold does not establish stability across all patient splits. Repeating an ablation across seeds or folds would show whether an added module is consistently helpful or only beneficial in a particular sample.</w:t>
      </w:r>
    </w:p>
    <w:p>
      <w:pPr>
        <w:pStyle w:val="Heading2"/>
      </w:pPr>
      <w:r>
        <w:t>The idea in everyday language</w:t>
      </w:r>
    </w:p>
    <w:p>
      <w:r>
        <w:rPr>
          <w:b w:val="0"/>
        </w:rPr>
        <w:t>An encoder summarizes the image; a decoder reconstructs the segmentation. Small structures can disappear during summarization or reconstruction. Feature retention gives the decoder additional detail, rather like keeping detailed notes alongside a short summary.</w:t>
      </w:r>
    </w:p>
    <w:p>
      <w:pPr>
        <w:pStyle w:val="Heading2"/>
      </w:pPr>
      <w:r>
        <w:t>An experiment for NeuroScan</w:t>
      </w:r>
    </w:p>
    <w:p>
      <w:r>
        <w:rPr>
          <w:b w:val="0"/>
        </w:rPr>
        <w:t>Use paired comparisons: baseline, feature weighting only, detail-retention only, and both. Keep everything else fixed. Save per-patient predictions and compare the smallest lesions, not only an average. If available compute is limited, disclose which seeds or folds were run instead of implying full cross-validation.</w:t>
      </w:r>
    </w:p>
    <w:p>
      <w:r>
        <w:br w:type="page"/>
      </w:r>
    </w:p>
    <w:p>
      <w:pPr>
        <w:pStyle w:val="Heading1"/>
      </w:pPr>
      <w:r>
        <w:t>P10 A practical starting point with sequence dropout</w:t>
      </w:r>
    </w:p>
    <w:p>
      <w:r>
        <w:rPr>
          <w:b/>
        </w:rPr>
        <w:t>Brain Tumor Segmentation for Multi-Modal MRI with Missing Information</w:t>
      </w:r>
    </w:p>
    <w:p>
      <w:r>
        <w:rPr>
          <w:b w:val="0"/>
        </w:rPr>
        <w:t>2023 | Journal of Digital Imaging</w:t>
      </w:r>
    </w:p>
    <w:p>
      <w:hyperlink r:id="rId20">
        <w:r>
          <w:rPr>
            <w:color w:val="0563C1"/>
            <w:u w:val="single"/>
          </w:rPr>
          <w:t>Read the primary paper</w:t>
        </w:r>
      </w:hyperlink>
    </w:p>
    <w:p>
      <w:pPr>
        <w:pStyle w:val="Heading2"/>
      </w:pPr>
      <w:r>
        <w:t>Dataset confirmation</w:t>
      </w:r>
    </w:p>
    <w:p>
      <w:r>
        <w:rPr>
          <w:b w:val="0"/>
        </w:rPr>
        <w:t>The abstract names BraTS2021. The methods also describe an additional 30-case TCGA evaluation; this paper should not be described as having no external testing.</w:t>
      </w:r>
    </w:p>
    <w:p>
      <w:pPr>
        <w:pStyle w:val="Heading2"/>
      </w:pPr>
      <w:r>
        <w:t>Problem and proposed solution</w:t>
      </w:r>
    </w:p>
    <w:p>
      <w:r>
        <w:rPr>
          <w:b w:val="0"/>
        </w:rPr>
        <w:t>A complete-input model can degrade when an MRI sequence is absent. The method randomly removes sequences during training so one network learns to use different available subsets.</w:t>
      </w:r>
    </w:p>
    <w:p>
      <w:pPr>
        <w:pStyle w:val="Heading2"/>
      </w:pPr>
      <w:r>
        <w:t>What remains unresolved</w:t>
      </w:r>
    </w:p>
    <w:p>
      <w:r>
        <w:rPr>
          <w:b w:val="0"/>
        </w:rPr>
        <w:t>Reported result: with T1, T2 and FLAIR but no T1ce, ET Dice improves from 0.143 to 0.486. That is substantial improvement but leaves considerable error. The additional external cohort is limited in size.</w:t>
      </w:r>
    </w:p>
    <w:p>
      <w:r>
        <w:rPr>
          <w:b w:val="0"/>
        </w:rPr>
        <w:t>Reviewer inference: Channel removal does not reproduce every motion, alignment or scanner problem. Any reused TCGA/BraTS subjects should be checked before claiming cohort independence. This is a due-diligence question, not an allegation of leakage in the paper.</w:t>
      </w:r>
    </w:p>
    <w:p>
      <w:pPr>
        <w:pStyle w:val="Heading2"/>
      </w:pPr>
      <w:r>
        <w:t>The idea in everyday language</w:t>
      </w:r>
    </w:p>
    <w:p>
      <w:r>
        <w:rPr>
          <w:b w:val="0"/>
        </w:rPr>
        <w:t>The model practices incomplete questions during training instead of seeing only complete questions and being surprised at deployment. It still cannot always infer missing contrast information accurately. Robustness means a measured reduction in failure, not a guarantee.</w:t>
      </w:r>
    </w:p>
    <w:p>
      <w:pPr>
        <w:pStyle w:val="Heading2"/>
      </w:pPr>
      <w:r>
        <w:t>An experiment for NeuroScan</w:t>
      </w:r>
    </w:p>
    <w:p>
      <w:r>
        <w:rPr>
          <w:b w:val="0"/>
        </w:rPr>
        <w:t>This is the best first experiment for our current U-Net. Randomly zero normalized channels while keeping at least one present. Keep some complete-input examples. Train a new checkpoint and evaluate all 15 nonempty subsets. Do not enable partial uploads for the old checkpoint. Display missing inputs and supported configurations in the viewer.</w:t>
      </w:r>
    </w:p>
    <w:p>
      <w:r>
        <w:br w:type="page"/>
      </w:r>
    </w:p>
    <w:p>
      <w:pPr>
        <w:pStyle w:val="Heading1"/>
      </w:pPr>
      <w:r>
        <w:t>What the current NeuroScan code shows</w:t>
      </w:r>
    </w:p>
    <w:p>
      <w:r>
        <w:rPr>
          <w:b w:val="0"/>
        </w:rPr>
        <w:t>These observations come from the repository files, not a new training run. Stored metrics are evidence of what was recorded, not independently reproduced performance.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52"/>
        <w:gridCol w:w="6912"/>
      </w:tblGrid>
      <w:tr>
        <w:trPr>
          <w:cantSplit/>
          <w:tblHeader/>
        </w:trPr>
        <w:tc>
          <w:tcPr>
            <w:tcW w:type="dxa" w:w="2952"/>
            <w:vAlign w:val="center"/>
            <w:shd w:fill="E7EDF3"/>
            <w:tcMar>
              <w:top w:w="90" w:type="dxa"/>
              <w:bottom w:w="90" w:type="dxa"/>
              <w:left w:w="90" w:type="dxa"/>
              <w:right w:w="90" w:type="dxa"/>
            </w:tcMar>
          </w:tcPr>
          <w:p>
            <w:pPr>
              <w:spacing w:after="40" w:line="245" w:lineRule="auto"/>
            </w:pPr>
            <w:r>
              <w:rPr>
                <w:b/>
                <w:sz w:val="20"/>
              </w:rPr>
              <w:t>Finding</w:t>
            </w:r>
          </w:p>
        </w:tc>
        <w:tc>
          <w:tcPr>
            <w:tcW w:type="dxa" w:w="6912"/>
            <w:vAlign w:val="center"/>
            <w:shd w:fill="E7EDF3"/>
            <w:tcMar>
              <w:top w:w="90" w:type="dxa"/>
              <w:bottom w:w="90" w:type="dxa"/>
              <w:left w:w="90" w:type="dxa"/>
              <w:right w:w="90" w:type="dxa"/>
            </w:tcMar>
          </w:tcPr>
          <w:p>
            <w:pPr>
              <w:spacing w:after="40" w:line="245" w:lineRule="auto"/>
            </w:pPr>
            <w:r>
              <w:rPr>
                <w:b/>
                <w:sz w:val="20"/>
              </w:rPr>
              <w:t>Why it matters</w:t>
            </w:r>
          </w:p>
        </w:tc>
      </w:tr>
      <w:tr>
        <w:trPr>
          <w:cantSplit/>
        </w:trPr>
        <w:tc>
          <w:tcPr>
            <w:tcW w:type="dxa" w:w="2952"/>
            <w:vAlign w:val="center"/>
            <w:shd w:fill="F7F8FA"/>
            <w:tcMar>
              <w:top w:w="90" w:type="dxa"/>
              <w:bottom w:w="90" w:type="dxa"/>
              <w:left w:w="90" w:type="dxa"/>
              <w:right w:w="90" w:type="dxa"/>
            </w:tcMar>
          </w:tcPr>
          <w:p>
            <w:pPr>
              <w:spacing w:after="40" w:line="245" w:lineRule="auto"/>
            </w:pPr>
            <w:r>
              <w:rPr>
                <w:b w:val="0"/>
                <w:sz w:val="20"/>
              </w:rPr>
              <w:t>40 epochs recorded</w:t>
            </w:r>
          </w:p>
        </w:tc>
        <w:tc>
          <w:tcPr>
            <w:tcW w:type="dxa" w:w="6912"/>
            <w:vAlign w:val="center"/>
            <w:shd w:fill="F7F8FA"/>
            <w:tcMar>
              <w:top w:w="90" w:type="dxa"/>
              <w:bottom w:w="90" w:type="dxa"/>
              <w:left w:w="90" w:type="dxa"/>
              <w:right w:w="90" w:type="dxa"/>
            </w:tcMar>
          </w:tcPr>
          <w:p>
            <w:pPr>
              <w:spacing w:after="40" w:line="245" w:lineRule="auto"/>
            </w:pPr>
            <w:r>
              <w:rPr>
                <w:b w:val="0"/>
                <w:sz w:val="20"/>
              </w:rPr>
              <w:t>training/train_brats.py sets NUM_EPOCHS to 40 and metrics.json lists 40 epochs. A separate 20-epoch run has not been supplied.</w:t>
            </w:r>
          </w:p>
        </w:tc>
      </w:tr>
      <w:tr>
        <w:trPr>
          <w:cantSplit/>
        </w:trPr>
        <w:tc>
          <w:tcPr>
            <w:tcW w:type="dxa" w:w="2952"/>
            <w:vAlign w:val="center"/>
            <w:shd w:fill="FFFFFF"/>
            <w:tcMar>
              <w:top w:w="90" w:type="dxa"/>
              <w:bottom w:w="90" w:type="dxa"/>
              <w:left w:w="90" w:type="dxa"/>
              <w:right w:w="90" w:type="dxa"/>
            </w:tcMar>
          </w:tcPr>
          <w:p>
            <w:pPr>
              <w:spacing w:after="40" w:line="245" w:lineRule="auto"/>
            </w:pPr>
            <w:r>
              <w:rPr>
                <w:b w:val="0"/>
                <w:sz w:val="20"/>
              </w:rPr>
              <w:t>NCR 82.62 ED 87.68 ET 90.94 percent Dice</w:t>
            </w:r>
          </w:p>
        </w:tc>
        <w:tc>
          <w:tcPr>
            <w:tcW w:type="dxa" w:w="6912"/>
            <w:vAlign w:val="center"/>
            <w:shd w:fill="FFFFFF"/>
            <w:tcMar>
              <w:top w:w="90" w:type="dxa"/>
              <w:bottom w:w="90" w:type="dxa"/>
              <w:left w:w="90" w:type="dxa"/>
              <w:right w:w="90" w:type="dxa"/>
            </w:tcMar>
          </w:tcPr>
          <w:p>
            <w:pPr>
              <w:spacing w:after="40" w:line="245" w:lineRule="auto"/>
            </w:pPr>
            <w:r>
              <w:rPr>
                <w:b w:val="0"/>
                <w:sz w:val="20"/>
              </w:rPr>
              <w:t>Their simple mean is 87.08 percent. These are NCR/ED/ET scores, not an official WT/TC/ET mean.</w:t>
            </w:r>
          </w:p>
        </w:tc>
      </w:tr>
      <w:tr>
        <w:trPr>
          <w:cantSplit/>
        </w:trPr>
        <w:tc>
          <w:tcPr>
            <w:tcW w:type="dxa" w:w="2952"/>
            <w:vAlign w:val="center"/>
            <w:shd w:fill="F7F8FA"/>
            <w:tcMar>
              <w:top w:w="90" w:type="dxa"/>
              <w:bottom w:w="90" w:type="dxa"/>
              <w:left w:w="90" w:type="dxa"/>
              <w:right w:w="90" w:type="dxa"/>
            </w:tcMar>
          </w:tcPr>
          <w:p>
            <w:pPr>
              <w:spacing w:after="40" w:line="245" w:lineRule="auto"/>
            </w:pPr>
            <w:r>
              <w:rPr>
                <w:b w:val="0"/>
                <w:sz w:val="20"/>
              </w:rPr>
              <w:t>1253 cases in recorded notes</w:t>
            </w:r>
          </w:p>
        </w:tc>
        <w:tc>
          <w:tcPr>
            <w:tcW w:type="dxa" w:w="6912"/>
            <w:vAlign w:val="center"/>
            <w:shd w:fill="F7F8FA"/>
            <w:tcMar>
              <w:top w:w="90" w:type="dxa"/>
              <w:bottom w:w="90" w:type="dxa"/>
              <w:left w:w="90" w:type="dxa"/>
              <w:right w:w="90" w:type="dxa"/>
            </w:tcMar>
          </w:tcPr>
          <w:p>
            <w:pPr>
              <w:spacing w:after="40" w:line="245" w:lineRule="auto"/>
            </w:pPr>
            <w:r>
              <w:rPr>
                <w:b w:val="0"/>
                <w:sz w:val="20"/>
              </w:rPr>
              <w:t>1128 plus 125 differs from the standard 1251 labeled cohort. Verify export contents and patient identity before reporting totals.</w:t>
            </w:r>
          </w:p>
        </w:tc>
      </w:tr>
      <w:tr>
        <w:trPr>
          <w:cantSplit/>
        </w:trPr>
        <w:tc>
          <w:tcPr>
            <w:tcW w:type="dxa" w:w="2952"/>
            <w:vAlign w:val="center"/>
            <w:shd w:fill="FFFFFF"/>
            <w:tcMar>
              <w:top w:w="90" w:type="dxa"/>
              <w:bottom w:w="90" w:type="dxa"/>
              <w:left w:w="90" w:type="dxa"/>
              <w:right w:w="90" w:type="dxa"/>
            </w:tcMar>
          </w:tcPr>
          <w:p>
            <w:pPr>
              <w:spacing w:after="40" w:line="245" w:lineRule="auto"/>
            </w:pPr>
            <w:r>
              <w:rPr>
                <w:b w:val="0"/>
                <w:sz w:val="20"/>
              </w:rPr>
              <w:t>One central 128 cubed crop</w:t>
            </w:r>
          </w:p>
        </w:tc>
        <w:tc>
          <w:tcPr>
            <w:tcW w:type="dxa" w:w="6912"/>
            <w:vAlign w:val="center"/>
            <w:shd w:fill="FFFFFF"/>
            <w:tcMar>
              <w:top w:w="90" w:type="dxa"/>
              <w:bottom w:w="90" w:type="dxa"/>
              <w:left w:w="90" w:type="dxa"/>
              <w:right w:w="90" w:type="dxa"/>
            </w:tcMar>
          </w:tcPr>
          <w:p>
            <w:pPr>
              <w:spacing w:after="40" w:line="245" w:lineRule="auto"/>
            </w:pPr>
            <w:r>
              <w:rPr>
                <w:b w:val="0"/>
                <w:sz w:val="20"/>
              </w:rPr>
              <w:t>Outside-crop predictions become background when restored to the original shape; peripheral tumor can be excluded.</w:t>
            </w:r>
          </w:p>
        </w:tc>
      </w:tr>
      <w:tr>
        <w:trPr>
          <w:cantSplit/>
        </w:trPr>
        <w:tc>
          <w:tcPr>
            <w:tcW w:type="dxa" w:w="2952"/>
            <w:vAlign w:val="center"/>
            <w:shd w:fill="F7F8FA"/>
            <w:tcMar>
              <w:top w:w="90" w:type="dxa"/>
              <w:bottom w:w="90" w:type="dxa"/>
              <w:left w:w="90" w:type="dxa"/>
              <w:right w:w="90" w:type="dxa"/>
            </w:tcMar>
          </w:tcPr>
          <w:p>
            <w:pPr>
              <w:spacing w:after="40" w:line="245" w:lineRule="auto"/>
            </w:pPr>
            <w:r>
              <w:rPr>
                <w:b w:val="0"/>
                <w:sz w:val="20"/>
              </w:rPr>
              <w:t>Validation recorded on skipped epochs</w:t>
            </w:r>
          </w:p>
        </w:tc>
        <w:tc>
          <w:tcPr>
            <w:tcW w:type="dxa" w:w="6912"/>
            <w:vAlign w:val="center"/>
            <w:shd w:fill="F7F8FA"/>
            <w:tcMar>
              <w:top w:w="90" w:type="dxa"/>
              <w:bottom w:w="90" w:type="dxa"/>
              <w:left w:w="90" w:type="dxa"/>
              <w:right w:w="90" w:type="dxa"/>
            </w:tcMar>
          </w:tcPr>
          <w:p>
            <w:pPr>
              <w:spacing w:after="40" w:line="245" w:lineRule="auto"/>
            </w:pPr>
            <w:r>
              <w:rPr>
                <w:b w:val="0"/>
                <w:sz w:val="20"/>
              </w:rPr>
              <w:t>The script assigns training loss to validation loss before conditional validation, producing misleading validation points.</w:t>
            </w:r>
          </w:p>
        </w:tc>
      </w:tr>
      <w:tr>
        <w:trPr>
          <w:cantSplit/>
        </w:trPr>
        <w:tc>
          <w:tcPr>
            <w:tcW w:type="dxa" w:w="2952"/>
            <w:vAlign w:val="center"/>
            <w:shd w:fill="FFFFFF"/>
            <w:tcMar>
              <w:top w:w="90" w:type="dxa"/>
              <w:bottom w:w="90" w:type="dxa"/>
              <w:left w:w="90" w:type="dxa"/>
              <w:right w:w="90" w:type="dxa"/>
            </w:tcMar>
          </w:tcPr>
          <w:p>
            <w:pPr>
              <w:spacing w:after="40" w:line="245" w:lineRule="auto"/>
            </w:pPr>
            <w:r>
              <w:rPr>
                <w:b w:val="0"/>
                <w:sz w:val="20"/>
              </w:rPr>
              <w:t>Different scoring and deployed decoding</w:t>
            </w:r>
          </w:p>
        </w:tc>
        <w:tc>
          <w:tcPr>
            <w:tcW w:type="dxa" w:w="6912"/>
            <w:vAlign w:val="center"/>
            <w:shd w:fill="FFFFFF"/>
            <w:tcMar>
              <w:top w:w="90" w:type="dxa"/>
              <w:bottom w:w="90" w:type="dxa"/>
              <w:left w:w="90" w:type="dxa"/>
              <w:right w:w="90" w:type="dxa"/>
            </w:tcMar>
          </w:tcPr>
          <w:p>
            <w:pPr>
              <w:spacing w:after="40" w:line="245" w:lineRule="auto"/>
            </w:pPr>
            <w:r>
              <w:rPr>
                <w:b w:val="0"/>
                <w:sz w:val="20"/>
              </w:rPr>
              <w:t>Training scores threshold each output independently; deployed postprocessing chooses one winning label. Evaluate the final deployed mask.</w:t>
            </w:r>
          </w:p>
        </w:tc>
      </w:tr>
      <w:tr>
        <w:trPr>
          <w:cantSplit/>
        </w:trPr>
        <w:tc>
          <w:tcPr>
            <w:tcW w:type="dxa" w:w="2952"/>
            <w:vAlign w:val="center"/>
            <w:shd w:fill="F7F8FA"/>
            <w:tcMar>
              <w:top w:w="90" w:type="dxa"/>
              <w:bottom w:w="90" w:type="dxa"/>
              <w:left w:w="90" w:type="dxa"/>
              <w:right w:w="90" w:type="dxa"/>
            </w:tcMar>
          </w:tcPr>
          <w:p>
            <w:pPr>
              <w:spacing w:after="40" w:line="245" w:lineRule="auto"/>
            </w:pPr>
            <w:r>
              <w:rPr>
                <w:b w:val="0"/>
                <w:sz w:val="20"/>
              </w:rPr>
              <w:t>Four modalities required</w:t>
            </w:r>
          </w:p>
        </w:tc>
        <w:tc>
          <w:tcPr>
            <w:tcW w:type="dxa" w:w="6912"/>
            <w:vAlign w:val="center"/>
            <w:shd w:fill="F7F8FA"/>
            <w:tcMar>
              <w:top w:w="90" w:type="dxa"/>
              <w:bottom w:w="90" w:type="dxa"/>
              <w:left w:w="90" w:type="dxa"/>
              <w:right w:w="90" w:type="dxa"/>
            </w:tcMar>
          </w:tcPr>
          <w:p>
            <w:pPr>
              <w:spacing w:after="40" w:line="245" w:lineRule="auto"/>
            </w:pPr>
            <w:r>
              <w:rPr>
                <w:b w:val="0"/>
                <w:sz w:val="20"/>
              </w:rPr>
              <w:t>Upload, case creation and inference reject incomplete inputs. Removing the check alone would not train robustness.</w:t>
            </w:r>
          </w:p>
        </w:tc>
      </w:tr>
    </w:tbl>
    <w:p>
      <w:r>
        <w:rPr>
          <w:b w:val="0"/>
        </w:rPr>
      </w:r>
    </w:p>
    <w:p>
      <w:r>
        <w:rPr>
          <w:b w:val="0"/>
        </w:rPr>
        <w:t>The saved checkpoint is the final epoch rather than the best measured validation checkpoint. The training script does not save a patient split manifest. The About page describes overlapping composite outputs, but the code trains separate label channels; documentation should be aligned with the implemented targets.</w:t>
      </w:r>
    </w:p>
    <w:p>
      <w:r>
        <w:rPr>
          <w:b w:val="0"/>
        </w:rPr>
        <w:t>Source map: training/train_brats.py; backend/models_store/metrics.json; backend/app/services/preprocessing.py, inference.py and postprocessing.py; frontend/components/upload/UploadDropzone.tsx; frontend/app/about/page.tsx. These are repository-relative paths for portability.</w:t>
      </w:r>
    </w:p>
    <w:p>
      <w:r>
        <w:br w:type="page"/>
      </w:r>
    </w:p>
    <w:p>
      <w:pPr>
        <w:pStyle w:val="Heading1"/>
      </w:pPr>
      <w:r>
        <w:t>Three code level improvement priorities</w:t>
      </w:r>
    </w:p>
    <w:p>
      <w:pPr>
        <w:pStyle w:val="Heading2"/>
      </w:pPr>
      <w:r>
        <w:t>1 Cover the complete scan</w:t>
      </w:r>
    </w:p>
    <w:p>
      <w:r>
        <w:rPr>
          <w:b w:val="0"/>
        </w:rPr>
        <w:t>Replace the single central inference crop in backend/app/services/inference.py with overlapping windows and weighted blending. Train on patches sampled across the volume, including tumor and background. In preprocessing.py, validate compatible shape, spacing and affine across inputs; any resampling or registration must preserve spatial meaning.</w:t>
      </w:r>
    </w:p>
    <w:p>
      <w:r>
        <w:rPr>
          <w:b w:val="0"/>
        </w:rPr>
        <w:t>Acceptance test: a synthetic target near each volume edge remains inside the evaluated field of view, the output matches the reference geometry, and full-volume predictions are scored against full-volume annotations. Sliding windows improve coverage but may increase latency; optimize after measuring this trade-off.</w:t>
      </w:r>
    </w:p>
    <w:p>
      <w:pPr>
        <w:pStyle w:val="Heading2"/>
      </w:pPr>
      <w:r>
        <w:t>2 Train support for incomplete inputs</w:t>
      </w:r>
    </w:p>
    <w:p>
      <w:r>
        <w:rPr>
          <w:b w:val="0"/>
        </w:rPr>
        <w:t>Add sequence dropout in training/train_brats.py after normalization. Optionally provide availability indicators; if these change the model input channels, train and version a compatible architecture. Only then update case_store.py, inference.py and UploadDropzone.tsx to accept validated combinations.</w:t>
      </w:r>
    </w:p>
    <w:p>
      <w:r>
        <w:rPr>
          <w:b w:val="0"/>
        </w:rPr>
        <w:t>Acceptance test: all 15 nonempty subsets have per-region results and explicit supported-input rules. Compare with the original model under the same split. The interface must show missing sequences and avoid calling a low-quality fallback equivalent to complete-input inference.</w:t>
      </w:r>
    </w:p>
    <w:p>
      <w:pPr>
        <w:pStyle w:val="Heading2"/>
      </w:pPr>
      <w:r>
        <w:t>3 Make evaluation and review trustworthy</w:t>
      </w:r>
    </w:p>
    <w:p>
      <w:r>
        <w:rPr>
          <w:b w:val="0"/>
        </w:rPr>
        <w:t>Create a separate evaluation script that reuses deployed preprocessing and label decoding. Calculate ET from label 4, TC from labels 1 and 4, and WT from all nonzero tumor labels. Save actual validation measurements only, the best checkpoint, patient splits, seeds, configuration and checkpoint hashes.</w:t>
      </w:r>
    </w:p>
    <w:p>
      <w:r>
        <w:rPr>
          <w:b w:val="0"/>
        </w:rPr>
        <w:t>Acceptance test: repeated evaluation produces the same per-patient table; empty-region rules are documented; no test patient was used for model selection. Report boundary distances in millimetres and bootstrap uncertainty at patient level, not voxel level.</w:t>
      </w:r>
    </w:p>
    <w:p>
      <w:r>
        <w:rPr>
          <w:b w:val="0"/>
        </w:rPr>
        <w:t>For a later review overlay, test whether ensemble or perturbation disagreement predicts actual error. Raw sigmoid values are not calibrated clinical confidence. The current U-Net has no dropout layers, so switching training mode on does not implement Monte Carlo dropout.</w:t>
      </w:r>
    </w:p>
    <w:p>
      <w:pPr>
        <w:pStyle w:val="Heading2"/>
      </w:pPr>
      <w:r>
        <w:t>Web workflow follow through</w:t>
      </w:r>
    </w:p>
    <w:p>
      <w:r>
        <w:rPr>
          <w:b w:val="0"/>
        </w:rPr>
        <w:t>A bounded prediction worker queue can return a job identifier and status rather than holding a long request open. Profile upload, preprocessing, inference, save and viewer loading separately. Benchmark median and p95 time plus peak memory on the intended CPU or GPU; do not promise a free hosting tier can run the model without checking its current limits.</w:t>
      </w:r>
    </w:p>
    <w:p>
      <w:r>
        <w:br w:type="page"/>
      </w:r>
    </w:p>
    <w:p>
      <w:pPr>
        <w:pStyle w:val="Heading1"/>
      </w:pPr>
      <w:r>
        <w:t>A learning and experiment plan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224"/>
        <w:gridCol w:w="4320"/>
        <w:gridCol w:w="4320"/>
      </w:tblGrid>
      <w:tr>
        <w:trPr>
          <w:cantSplit/>
          <w:tblHeader/>
        </w:trPr>
        <w:tc>
          <w:tcPr>
            <w:tcW w:type="dxa" w:w="1224"/>
            <w:vAlign w:val="center"/>
            <w:shd w:fill="E7EDF3"/>
            <w:tcMar>
              <w:top w:w="90" w:type="dxa"/>
              <w:bottom w:w="90" w:type="dxa"/>
              <w:left w:w="90" w:type="dxa"/>
              <w:right w:w="90" w:type="dxa"/>
            </w:tcMar>
          </w:tcPr>
          <w:p>
            <w:pPr>
              <w:spacing w:after="40" w:line="245" w:lineRule="auto"/>
            </w:pPr>
            <w:r>
              <w:rPr>
                <w:b/>
                <w:sz w:val="20"/>
              </w:rPr>
              <w:t>Stage</w:t>
            </w:r>
          </w:p>
        </w:tc>
        <w:tc>
          <w:tcPr>
            <w:tcW w:type="dxa" w:w="4320"/>
            <w:vAlign w:val="center"/>
            <w:shd w:fill="E7EDF3"/>
            <w:tcMar>
              <w:top w:w="90" w:type="dxa"/>
              <w:bottom w:w="90" w:type="dxa"/>
              <w:left w:w="90" w:type="dxa"/>
              <w:right w:w="90" w:type="dxa"/>
            </w:tcMar>
          </w:tcPr>
          <w:p>
            <w:pPr>
              <w:spacing w:after="40" w:line="245" w:lineRule="auto"/>
            </w:pPr>
            <w:r>
              <w:rPr>
                <w:b/>
                <w:sz w:val="20"/>
              </w:rPr>
              <w:t>What to do</w:t>
            </w:r>
          </w:p>
        </w:tc>
        <w:tc>
          <w:tcPr>
            <w:tcW w:type="dxa" w:w="4320"/>
            <w:vAlign w:val="center"/>
            <w:shd w:fill="E7EDF3"/>
            <w:tcMar>
              <w:top w:w="90" w:type="dxa"/>
              <w:bottom w:w="90" w:type="dxa"/>
              <w:left w:w="90" w:type="dxa"/>
              <w:right w:w="90" w:type="dxa"/>
            </w:tcMar>
          </w:tcPr>
          <w:p>
            <w:pPr>
              <w:spacing w:after="40" w:line="245" w:lineRule="auto"/>
            </w:pPr>
            <w:r>
              <w:rPr>
                <w:b/>
                <w:sz w:val="20"/>
              </w:rPr>
              <w:t>What to save</w:t>
            </w:r>
          </w:p>
        </w:tc>
      </w:tr>
      <w:tr>
        <w:trPr>
          <w:cantSplit/>
        </w:trPr>
        <w:tc>
          <w:tcPr>
            <w:tcW w:type="dxa" w:w="1224"/>
            <w:vAlign w:val="center"/>
            <w:shd w:fill="F7F8FA"/>
            <w:tcMar>
              <w:top w:w="90" w:type="dxa"/>
              <w:bottom w:w="90" w:type="dxa"/>
              <w:left w:w="90" w:type="dxa"/>
              <w:right w:w="90" w:type="dxa"/>
            </w:tcMar>
          </w:tcPr>
          <w:p>
            <w:pPr>
              <w:spacing w:after="40" w:line="245" w:lineRule="auto"/>
            </w:pPr>
            <w:r>
              <w:rPr>
                <w:b w:val="0"/>
                <w:sz w:val="20"/>
              </w:rPr>
              <w:t>Baseline</w:t>
            </w:r>
          </w:p>
        </w:tc>
        <w:tc>
          <w:tcPr>
            <w:tcW w:type="dxa" w:w="4320"/>
            <w:vAlign w:val="center"/>
            <w:shd w:fill="F7F8FA"/>
            <w:tcMar>
              <w:top w:w="90" w:type="dxa"/>
              <w:bottom w:w="90" w:type="dxa"/>
              <w:left w:w="90" w:type="dxa"/>
              <w:right w:w="90" w:type="dxa"/>
            </w:tcMar>
          </w:tcPr>
          <w:p>
            <w:pPr>
              <w:spacing w:after="40" w:line="245" w:lineRule="auto"/>
            </w:pPr>
            <w:r>
              <w:rPr>
                <w:b w:val="0"/>
                <w:sz w:val="20"/>
              </w:rPr>
              <w:t>Reconcile the dataset count and epoch history. Freeze patient splits. Evaluate complete volumes.</w:t>
            </w:r>
          </w:p>
        </w:tc>
        <w:tc>
          <w:tcPr>
            <w:tcW w:type="dxa" w:w="4320"/>
            <w:vAlign w:val="center"/>
            <w:shd w:fill="F7F8FA"/>
            <w:tcMar>
              <w:top w:w="90" w:type="dxa"/>
              <w:bottom w:w="90" w:type="dxa"/>
              <w:left w:w="90" w:type="dxa"/>
              <w:right w:w="90" w:type="dxa"/>
            </w:tcMar>
          </w:tcPr>
          <w:p>
            <w:pPr>
              <w:spacing w:after="40" w:line="245" w:lineRule="auto"/>
            </w:pPr>
            <w:r>
              <w:rPr>
                <w:b w:val="0"/>
                <w:sz w:val="20"/>
              </w:rPr>
              <w:t>Split manifest, config, checkpoint hash, per-patient scores.</w:t>
            </w:r>
          </w:p>
        </w:tc>
      </w:tr>
      <w:tr>
        <w:trPr>
          <w:cantSplit/>
        </w:trPr>
        <w:tc>
          <w:tcPr>
            <w:tcW w:type="dxa" w:w="1224"/>
            <w:vAlign w:val="center"/>
            <w:shd w:fill="FFFFFF"/>
            <w:tcMar>
              <w:top w:w="90" w:type="dxa"/>
              <w:bottom w:w="90" w:type="dxa"/>
              <w:left w:w="90" w:type="dxa"/>
              <w:right w:w="90" w:type="dxa"/>
            </w:tcMar>
          </w:tcPr>
          <w:p>
            <w:pPr>
              <w:spacing w:after="40" w:line="245" w:lineRule="auto"/>
            </w:pPr>
            <w:r>
              <w:rPr>
                <w:b w:val="0"/>
                <w:sz w:val="20"/>
              </w:rPr>
              <w:t>Coverage</w:t>
            </w:r>
          </w:p>
        </w:tc>
        <w:tc>
          <w:tcPr>
            <w:tcW w:type="dxa" w:w="4320"/>
            <w:vAlign w:val="center"/>
            <w:shd w:fill="FFFFFF"/>
            <w:tcMar>
              <w:top w:w="90" w:type="dxa"/>
              <w:bottom w:w="90" w:type="dxa"/>
              <w:left w:w="90" w:type="dxa"/>
              <w:right w:w="90" w:type="dxa"/>
            </w:tcMar>
          </w:tcPr>
          <w:p>
            <w:pPr>
              <w:spacing w:after="40" w:line="245" w:lineRule="auto"/>
            </w:pPr>
            <w:r>
              <w:rPr>
                <w:b w:val="0"/>
                <w:sz w:val="20"/>
              </w:rPr>
              <w:t>Compare central crop and sliding windows; retrain with representative patch sampling.</w:t>
            </w:r>
          </w:p>
        </w:tc>
        <w:tc>
          <w:tcPr>
            <w:tcW w:type="dxa" w:w="4320"/>
            <w:vAlign w:val="center"/>
            <w:shd w:fill="FFFFFF"/>
            <w:tcMar>
              <w:top w:w="90" w:type="dxa"/>
              <w:bottom w:w="90" w:type="dxa"/>
              <w:left w:w="90" w:type="dxa"/>
              <w:right w:w="90" w:type="dxa"/>
            </w:tcMar>
          </w:tcPr>
          <w:p>
            <w:pPr>
              <w:spacing w:after="40" w:line="245" w:lineRule="auto"/>
            </w:pPr>
            <w:r>
              <w:rPr>
                <w:b w:val="0"/>
                <w:sz w:val="20"/>
              </w:rPr>
              <w:t>Edge-case tests, geometry checks, full-volume metrics.</w:t>
            </w:r>
          </w:p>
        </w:tc>
      </w:tr>
      <w:tr>
        <w:trPr>
          <w:cantSplit/>
        </w:trPr>
        <w:tc>
          <w:tcPr>
            <w:tcW w:type="dxa" w:w="1224"/>
            <w:vAlign w:val="center"/>
            <w:shd w:fill="F7F8FA"/>
            <w:tcMar>
              <w:top w:w="90" w:type="dxa"/>
              <w:bottom w:w="90" w:type="dxa"/>
              <w:left w:w="90" w:type="dxa"/>
              <w:right w:w="90" w:type="dxa"/>
            </w:tcMar>
          </w:tcPr>
          <w:p>
            <w:pPr>
              <w:spacing w:after="40" w:line="245" w:lineRule="auto"/>
            </w:pPr>
            <w:r>
              <w:rPr>
                <w:b w:val="0"/>
                <w:sz w:val="20"/>
              </w:rPr>
              <w:t>Robustness</w:t>
            </w:r>
          </w:p>
        </w:tc>
        <w:tc>
          <w:tcPr>
            <w:tcW w:type="dxa" w:w="4320"/>
            <w:vAlign w:val="center"/>
            <w:shd w:fill="F7F8FA"/>
            <w:tcMar>
              <w:top w:w="90" w:type="dxa"/>
              <w:bottom w:w="90" w:type="dxa"/>
              <w:left w:w="90" w:type="dxa"/>
              <w:right w:w="90" w:type="dxa"/>
            </w:tcMar>
          </w:tcPr>
          <w:p>
            <w:pPr>
              <w:spacing w:after="40" w:line="245" w:lineRule="auto"/>
            </w:pPr>
            <w:r>
              <w:rPr>
                <w:b w:val="0"/>
                <w:sz w:val="20"/>
              </w:rPr>
              <w:t>Train sequence dropout and evaluate each modality subset; test corruption separately.</w:t>
            </w:r>
          </w:p>
        </w:tc>
        <w:tc>
          <w:tcPr>
            <w:tcW w:type="dxa" w:w="4320"/>
            <w:vAlign w:val="center"/>
            <w:shd w:fill="F7F8FA"/>
            <w:tcMar>
              <w:top w:w="90" w:type="dxa"/>
              <w:bottom w:w="90" w:type="dxa"/>
              <w:left w:w="90" w:type="dxa"/>
              <w:right w:w="90" w:type="dxa"/>
            </w:tcMar>
          </w:tcPr>
          <w:p>
            <w:pPr>
              <w:spacing w:after="40" w:line="245" w:lineRule="auto"/>
            </w:pPr>
            <w:r>
              <w:rPr>
                <w:b w:val="0"/>
                <w:sz w:val="20"/>
              </w:rPr>
              <w:t>15-subset table, corruption severity curves, failure examples.</w:t>
            </w:r>
          </w:p>
        </w:tc>
      </w:tr>
      <w:tr>
        <w:trPr>
          <w:cantSplit/>
        </w:trPr>
        <w:tc>
          <w:tcPr>
            <w:tcW w:type="dxa" w:w="1224"/>
            <w:vAlign w:val="center"/>
            <w:shd w:fill="FFFFFF"/>
            <w:tcMar>
              <w:top w:w="90" w:type="dxa"/>
              <w:bottom w:w="90" w:type="dxa"/>
              <w:left w:w="90" w:type="dxa"/>
              <w:right w:w="90" w:type="dxa"/>
            </w:tcMar>
          </w:tcPr>
          <w:p>
            <w:pPr>
              <w:spacing w:after="40" w:line="245" w:lineRule="auto"/>
            </w:pPr>
            <w:r>
              <w:rPr>
                <w:b w:val="0"/>
                <w:sz w:val="20"/>
              </w:rPr>
              <w:t>Efficiency</w:t>
            </w:r>
          </w:p>
        </w:tc>
        <w:tc>
          <w:tcPr>
            <w:tcW w:type="dxa" w:w="4320"/>
            <w:vAlign w:val="center"/>
            <w:shd w:fill="FFFFFF"/>
            <w:tcMar>
              <w:top w:w="90" w:type="dxa"/>
              <w:bottom w:w="90" w:type="dxa"/>
              <w:left w:w="90" w:type="dxa"/>
              <w:right w:w="90" w:type="dxa"/>
            </w:tcMar>
          </w:tcPr>
          <w:p>
            <w:pPr>
              <w:spacing w:after="40" w:line="245" w:lineRule="auto"/>
            </w:pPr>
            <w:r>
              <w:rPr>
                <w:b w:val="0"/>
                <w:sz w:val="20"/>
              </w:rPr>
              <w:t>Profile actual deployment stages and compare one compact variant if justified.</w:t>
            </w:r>
          </w:p>
        </w:tc>
        <w:tc>
          <w:tcPr>
            <w:tcW w:type="dxa" w:w="4320"/>
            <w:vAlign w:val="center"/>
            <w:shd w:fill="FFFFFF"/>
            <w:tcMar>
              <w:top w:w="90" w:type="dxa"/>
              <w:bottom w:w="90" w:type="dxa"/>
              <w:left w:w="90" w:type="dxa"/>
              <w:right w:w="90" w:type="dxa"/>
            </w:tcMar>
          </w:tcPr>
          <w:p>
            <w:pPr>
              <w:spacing w:after="40" w:line="245" w:lineRule="auto"/>
            </w:pPr>
            <w:r>
              <w:rPr>
                <w:b w:val="0"/>
                <w:sz w:val="20"/>
              </w:rPr>
              <w:t>Hardware details, peak RAM/VRAM, median/p95 stage times.</w:t>
            </w:r>
          </w:p>
        </w:tc>
      </w:tr>
      <w:tr>
        <w:trPr>
          <w:cantSplit/>
        </w:trPr>
        <w:tc>
          <w:tcPr>
            <w:tcW w:type="dxa" w:w="1224"/>
            <w:vAlign w:val="center"/>
            <w:shd w:fill="F7F8FA"/>
            <w:tcMar>
              <w:top w:w="90" w:type="dxa"/>
              <w:bottom w:w="90" w:type="dxa"/>
              <w:left w:w="90" w:type="dxa"/>
              <w:right w:w="90" w:type="dxa"/>
            </w:tcMar>
          </w:tcPr>
          <w:p>
            <w:pPr>
              <w:spacing w:after="40" w:line="245" w:lineRule="auto"/>
            </w:pPr>
            <w:r>
              <w:rPr>
                <w:b w:val="0"/>
                <w:sz w:val="20"/>
              </w:rPr>
              <w:t>Review</w:t>
            </w:r>
          </w:p>
        </w:tc>
        <w:tc>
          <w:tcPr>
            <w:tcW w:type="dxa" w:w="4320"/>
            <w:vAlign w:val="center"/>
            <w:shd w:fill="F7F8FA"/>
            <w:tcMar>
              <w:top w:w="90" w:type="dxa"/>
              <w:bottom w:w="90" w:type="dxa"/>
              <w:left w:w="90" w:type="dxa"/>
              <w:right w:w="90" w:type="dxa"/>
            </w:tcMar>
          </w:tcPr>
          <w:p>
            <w:pPr>
              <w:spacing w:after="40" w:line="245" w:lineRule="auto"/>
            </w:pPr>
            <w:r>
              <w:rPr>
                <w:b w:val="0"/>
                <w:sz w:val="20"/>
              </w:rPr>
              <w:t>Assess uncertainty or correction tools without changing the held-out benchmark.</w:t>
            </w:r>
          </w:p>
        </w:tc>
        <w:tc>
          <w:tcPr>
            <w:tcW w:type="dxa" w:w="4320"/>
            <w:vAlign w:val="center"/>
            <w:shd w:fill="F7F8FA"/>
            <w:tcMar>
              <w:top w:w="90" w:type="dxa"/>
              <w:bottom w:w="90" w:type="dxa"/>
              <w:left w:w="90" w:type="dxa"/>
              <w:right w:w="90" w:type="dxa"/>
            </w:tcMar>
          </w:tcPr>
          <w:p>
            <w:pPr>
              <w:spacing w:after="40" w:line="245" w:lineRule="auto"/>
            </w:pPr>
            <w:r>
              <w:rPr>
                <w:b w:val="0"/>
                <w:sz w:val="20"/>
              </w:rPr>
              <w:t>Error-versus-uncertainty analysis, revision history, user task time.</w:t>
            </w:r>
          </w:p>
        </w:tc>
      </w:tr>
    </w:tbl>
    <w:p>
      <w:r>
        <w:rPr>
          <w:b w:val="0"/>
        </w:rPr>
      </w:r>
    </w:p>
    <w:p>
      <w:pPr>
        <w:pStyle w:val="Heading2"/>
      </w:pPr>
      <w:r>
        <w:t>Questions to ask when reading any paper</w:t>
      </w:r>
    </w:p>
    <w:p>
      <w:pPr>
        <w:pStyle w:val="ListBullet"/>
      </w:pPr>
      <w:r>
        <w:t>Which exact dataset edition, cohort and patient split were used? Are subjects independent across training and testing?</w:t>
      </w:r>
    </w:p>
    <w:p>
      <w:pPr>
        <w:pStyle w:val="ListBullet"/>
      </w:pPr>
      <w:r>
        <w:t>What is the baseline, and did it receive comparable tuning, training updates and preprocessing?</w:t>
      </w:r>
    </w:p>
    <w:p>
      <w:pPr>
        <w:pStyle w:val="ListBullet"/>
      </w:pPr>
      <w:r>
        <w:t>Are the reported regions WT/TC/ET or separate tissue labels? Are scores calculated over complete scans?</w:t>
      </w:r>
    </w:p>
    <w:p>
      <w:pPr>
        <w:pStyle w:val="ListBullet"/>
      </w:pPr>
      <w:r>
        <w:t>Is a limitation explicitly stated, observed in results, or only a reviewer hypothesis?</w:t>
      </w:r>
    </w:p>
    <w:p>
      <w:pPr>
        <w:pStyle w:val="ListBullet"/>
      </w:pPr>
      <w:r>
        <w:t>Does the proposed improvement remain useful when runtime, memory and user effort are included?</w:t>
      </w:r>
    </w:p>
    <w:p>
      <w:pPr>
        <w:pStyle w:val="Heading2"/>
      </w:pPr>
      <w:r>
        <w:t>Useful terms</w:t>
      </w:r>
    </w:p>
    <w:p>
      <w:r>
        <w:rPr>
          <w:b w:val="0"/>
        </w:rPr>
        <w:t>Ablation means removing or adding one component to test its effect. Distillation means learning from another model. Imputation means estimating missing data. Calibration means predicted confidence agrees with observed correctness. Domain shift means new data differ from training data. External validation means evaluation on a separate population, after checking patient overlap.</w:t>
      </w:r>
    </w:p>
    <w:p>
      <w:pPr>
        <w:pStyle w:val="Heading2"/>
      </w:pPr>
      <w:r>
        <w:t>How to describe our contribution honestly</w:t>
      </w:r>
    </w:p>
    <w:p>
      <w:r>
        <w:rPr>
          <w:b w:val="0"/>
        </w:rPr>
        <w:t>A defensible proposed contribution is a reproducible study of full-volume coverage, missing-input robustness and resource use in a local segmentation application. A polished interface helps usability but is not, by itself, a new segmentation method. Keep research-use warnings and do not describe generated reports as a radiologist diagnosis.</w:t>
      </w:r>
    </w:p>
    <w:p>
      <w:hyperlink r:id="rId21">
        <w:r>
          <w:rPr>
            <w:color w:val="0563C1"/>
            <w:u w:val="single"/>
          </w:rPr>
          <w:t>B2 BraTS 2021 benchmark paper by Baid and colleagues</w:t>
        </w:r>
      </w:hyperlink>
    </w:p>
    <w:p>
      <w:r>
        <w:rPr>
          <w:b w:val="0"/>
        </w:rPr>
        <w:t>References P1 to P10 are the full titles and clickable primary links on the individual paper pages. B1 provides the official challenge definitions. The profiles distinguish author claims, reviewer inferences and unperformed experiments throughout.</w:t>
      </w:r>
    </w:p>
    <w:sectPr w:rsidR="00FC693F" w:rsidRPr="0006063C" w:rsidSect="00034616">
      <w:footerReference w:type="default" r:id="rId9"/>
      <w:pgSz w:w="12240" w:h="15840"/>
      <w:pgMar w:top="1037" w:right="1152" w:bottom="1037" w:left="1152"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NeuroScan AI research guide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outlineLvl w:val="0"/>
    </w:pPr>
    <w:rPr>
      <w:rFonts w:asciiTheme="majorHAnsi" w:eastAsiaTheme="majorEastAsia" w:hAnsiTheme="majorHAnsi" w:cstheme="majorBidi" w:ascii="Calibri" w:hAnsi="Calibr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4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Calibri" w:hAnsi="Calibri"/>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Theme="majorHAnsi" w:eastAsiaTheme="majorEastAsia" w:hAnsiTheme="majorHAnsi" w:cstheme="majorBidi" w:ascii="Calibri" w:hAnsi="Calibri"/>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med.upenn.edu/cbica/brats2021/" TargetMode="External"/><Relationship Id="rId11" Type="http://schemas.openxmlformats.org/officeDocument/2006/relationships/hyperlink" Target="https://www.frontiersin.org/journals/oncology/articles/10.3389/fonc.2026.1928589/full" TargetMode="External"/><Relationship Id="rId12" Type="http://schemas.openxmlformats.org/officeDocument/2006/relationships/hyperlink" Target="https://www.mdpi.com/2076-3425/16/6/588" TargetMode="External"/><Relationship Id="rId13" Type="http://schemas.openxmlformats.org/officeDocument/2006/relationships/hyperlink" Target="https://doi.org/10.1016/j.engappai.2026.114299" TargetMode="External"/><Relationship Id="rId14" Type="http://schemas.openxmlformats.org/officeDocument/2006/relationships/hyperlink" Target="https://doi.org/10.1016/j.bspc.2025.109220" TargetMode="External"/><Relationship Id="rId15" Type="http://schemas.openxmlformats.org/officeDocument/2006/relationships/hyperlink" Target="https://doi.org/10.1016/j.media.2025.103547" TargetMode="External"/><Relationship Id="rId16" Type="http://schemas.openxmlformats.org/officeDocument/2006/relationships/hyperlink" Target="https://www.nature.com/articles/s41598-025-03151-z" TargetMode="External"/><Relationship Id="rId17" Type="http://schemas.openxmlformats.org/officeDocument/2006/relationships/hyperlink" Target="https://link.springer.com/article/10.1186/s12911-025-03029-0" TargetMode="External"/><Relationship Id="rId18" Type="http://schemas.openxmlformats.org/officeDocument/2006/relationships/hyperlink" Target="https://www.frontiersin.org/journals/radiology/articles/10.3389/fradi.2025.1616293/full" TargetMode="External"/><Relationship Id="rId19" Type="http://schemas.openxmlformats.org/officeDocument/2006/relationships/hyperlink" Target="https://www.mdpi.com/2379-139X/10/10/116" TargetMode="External"/><Relationship Id="rId20" Type="http://schemas.openxmlformats.org/officeDocument/2006/relationships/hyperlink" Target="https://pmc.ncbi.nlm.nih.gov/articles/PMC10501967/" TargetMode="External"/><Relationship Id="rId21" Type="http://schemas.openxmlformats.org/officeDocument/2006/relationships/hyperlink" Target="https://arxiv.org/abs/2107.0231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BraTS 2021 Research and NeuroScan AI Improvement Guide</dc:title>
  <dc:subject>Verified dataset usage research limitations and practical learning experiments</dc:subject>
  <dc:creator>NeuroScan AI project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