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Valencia Simulation Report</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Run:</w:t>
      </w:r>
      <w:r>
        <w:rPr>
          <w:rFonts w:ascii="Arial" w:hAnsi="Arial"/>
          <w:color w:val="5B696A"/>
          <w:sz w:val="18"/>
        </w:rPr>
        <w:t xml:space="preserve"> </w:t>
      </w:r>
      <w:r>
        <w:rPr>
          <w:rFonts w:ascii="Courier New" w:hAnsi="Courier New"/>
          <w:color w:val="173F45"/>
          <w:sz w:val="17"/>
        </w:rPr>
        <w:t>ALL_VALENC-A_REAL</w:t>
      </w:r>
    </w:p>
    <w:p>
      <w:pPr>
        <w:jc w:val="center"/>
      </w:pPr>
      <w:r>
        <w:rPr>
          <w:rFonts w:ascii="Arial" w:hAnsi="Arial"/>
          <w:b/>
          <w:color w:val="5B696A"/>
          <w:sz w:val="18"/>
        </w:rPr>
        <w:t>Document status:</w:t>
      </w:r>
      <w:r>
        <w:rPr>
          <w:rFonts w:ascii="Arial" w:hAnsi="Arial"/>
          <w:color w:val="5B696A"/>
          <w:sz w:val="18"/>
        </w:rPr>
        <w:t xml:space="preserve"> Provisional method edition; the run is active. Final values, figures and selected-building evidence will be inserted only after the process ends and the aggregate settles.</w:t>
      </w:r>
    </w:p>
    <w:p>
      <w:pPr>
        <w:jc w:val="left"/>
      </w:pPr>
      <w:r>
        <w:rPr>
          <w:rFonts w:ascii="Georgia" w:hAnsi="Georgia"/>
          <w:color w:val="1B292A"/>
          <w:sz w:val="20"/>
        </w:rPr>
        <w:t>This report documents the annual Valencia building-stock simulation executed in Building Stock Energy Workbench (BSEW). It is designed to answer four questions: what evidence entered the run, which modelling and execution parameters were applied, which quality gates controlled acceptance, and what the settled results support academically.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PENDING FINAL EVIDENCE — DO NOT CITE.</w:t>
      </w:r>
      <w:r>
        <w:rPr>
          <w:rFonts w:ascii="Georgia" w:hAnsi="Georgia"/>
          <w:color w:val="173F45"/>
          <w:sz w:val="20"/>
        </w:rPr>
        <w:t xml:space="preserve"> No running total in the active ledger is reproduced in this edition. The publication status will change only after </w:t>
      </w:r>
      <w:r>
        <w:rPr>
          <w:rFonts w:ascii="Courier New" w:hAnsi="Courier New"/>
          <w:color w:val="173F45"/>
          <w:sz w:val="18"/>
        </w:rPr>
        <w:t>running: false</w:t>
      </w:r>
      <w:r>
        <w:rPr>
          <w:rFonts w:ascii="Georgia" w:hAnsi="Georgia"/>
          <w:color w:val="173F45"/>
          <w:sz w:val="20"/>
        </w:rPr>
        <w:t>, process absence, final aggregate settlement and cross-file reconciliation have all been verified.</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Valencia Simulation Report — ALL_VALENC-A_REAL</w:t>
      </w:r>
      <w:r>
        <w:rPr>
          <w:rFonts w:ascii="Georgia" w:hAnsi="Georgia"/>
          <w:color w:val="1B292A"/>
          <w:sz w:val="20"/>
        </w:rPr>
        <w:t>. 2026. Final publication date and software commit to be recorded in the settled edition.</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Executive interpretation</w:t>
      </w:r>
    </w:p>
    <w:p>
      <w:r>
        <w:rPr>
          <w:rFonts w:ascii="Courier New" w:hAnsi="Courier New"/>
          <w:color w:val="173F45"/>
          <w:sz w:val="19"/>
        </w:rPr>
        <w:t>ALL_VALENC-A_REAL</w:t>
      </w:r>
      <w:r>
        <w:rPr>
          <w:rFonts w:ascii="Georgia" w:hAnsi="Georgia"/>
          <w:color w:val="1B292A"/>
          <w:sz w:val="21"/>
        </w:rPr>
        <w:t xml:space="preserve"> is a full-scope annual simulation of the supplied Valencia building stock under one recorded verified model profile. BSEW converts cadastral and dwelling evidence into simplified OpenStudio models, executes EnergyPlus, records terminal evidence per building and derives aggregate energy, operational-carbon, coverage, geometry-quality and QA summaries.</w:t>
      </w:r>
    </w:p>
    <w:p>
      <w:r>
        <w:rPr>
          <w:rFonts w:ascii="Georgia" w:hAnsi="Georgia"/>
          <w:color w:val="1B292A"/>
          <w:sz w:val="21"/>
        </w:rPr>
        <w:t>The report will publish final values only when all latest ledger records reconcile with the settled scope. The principal result classes will be total site energy, whole-site energy intensity under explicitly named residential-area denominators, end-use energy, operational carbon, cluster/district summaries, coverage, and diagnostic status.</w:t>
      </w:r>
    </w:p>
    <w:p>
      <w:r>
        <w:rPr>
          <w:rFonts w:ascii="Georgia" w:hAnsi="Georgia"/>
          <w:color w:val="1B292A"/>
          <w:sz w:val="21"/>
        </w:rPr>
        <w:t>The results are simulations under recorded assumptions. They are not measured utility consumption, per-building calibration, an energy certificate, regulatory compliance, embodied carbon or a guaranteed forecast of future operation. The verified profile establishes method consistency against the project's reference evidence; it does not establish measurement validation for every stock building.</w:t>
      </w:r>
    </w:p>
    <w:p>
      <w:pPr>
        <w:pStyle w:val="Heading2"/>
      </w:pPr>
      <w:r>
        <w:rPr>
          <w:rFonts w:ascii="Arial" w:hAnsi="Arial"/>
          <w:b/>
          <w:color w:val="1F5F67"/>
          <w:sz w:val="28"/>
        </w:rPr>
        <w:t>1.1 Publication decision</w:t>
      </w:r>
    </w:p>
    <w:p>
      <w:r>
        <w:rPr>
          <w:rFonts w:ascii="Georgia" w:hAnsi="Georgia"/>
          <w:color w:val="1B292A"/>
          <w:sz w:val="21"/>
        </w:rPr>
        <w:t>The final report will assign one stock-level publication decision after reconciling successful, failed, QA-rejected and excluded records. Building-level records remain individually classifiable as PASS, ACCEPTED WITH CLASSIFIED DIAGNOSTICS, FAILED / DO NOT USE, NOT ASSESSED or INCOMPLETE EVIDENCE — DO NOT CITE.</w:t>
      </w:r>
    </w:p>
    <w:p>
      <w:pPr>
        <w:pStyle w:val="Heading2"/>
      </w:pPr>
      <w:r>
        <w:rPr>
          <w:rFonts w:ascii="Arial" w:hAnsi="Arial"/>
          <w:b/>
          <w:color w:val="1F5F67"/>
          <w:sz w:val="28"/>
        </w:rPr>
        <w:t>1.2 Final evidence gate</w:t>
      </w:r>
    </w:p>
    <w:p>
      <w:pPr>
        <w:pStyle w:val="Caption"/>
        <w:keepNext/>
        <w:spacing w:before="80" w:after="80"/>
      </w:pPr>
      <w:r>
        <w:rPr>
          <w:rFonts w:ascii="Arial" w:hAnsi="Arial"/>
          <w:b/>
          <w:color w:val="5B696A"/>
          <w:sz w:val="17"/>
        </w:rPr>
        <w:t>Table 1. Final evidence gate</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Gate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final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Provisional state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Process</w:t>
            </w:r>
          </w:p>
        </w:tc>
        <w:tc>
          <w:tcPr>
            <w:tcW w:type="dxa" w:w="3000"/>
            <w:tcMar>
              <w:top w:w="90" w:type="dxa"/>
              <w:start w:w="120" w:type="dxa"/>
              <w:bottom w:w="90" w:type="dxa"/>
              <w:end w:w="120" w:type="dxa"/>
            </w:tcMar>
            <w:vAlign w:val="center"/>
          </w:tcPr>
          <w:p>
            <w:pPr>
              <w:spacing w:after="0"/>
            </w:pPr>
            <w:r>
              <w:rPr>
                <w:rFonts w:ascii="Arial" w:hAnsi="Arial"/>
                <w:color w:val="1B292A"/>
                <w:sz w:val="18"/>
              </w:rPr>
              <w:t>Run reports false and recorded PID is absent</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Scope</w:t>
            </w:r>
          </w:p>
        </w:tc>
        <w:tc>
          <w:tcPr>
            <w:tcW w:type="dxa" w:w="3000"/>
            <w:tcMar>
              <w:top w:w="90" w:type="dxa"/>
              <w:start w:w="120" w:type="dxa"/>
              <w:bottom w:w="90" w:type="dxa"/>
              <w:end w:w="120" w:type="dxa"/>
            </w:tcMar>
            <w:vAlign w:val="center"/>
          </w:tcPr>
          <w:p>
            <w:pPr>
              <w:spacing w:after="0"/>
            </w:pPr>
            <w:r>
              <w:rPr>
                <w:rFonts w:ascii="Arial" w:hAnsi="Arial"/>
                <w:color w:val="1B292A"/>
                <w:sz w:val="18"/>
              </w:rPr>
              <w:t>Final terminal records reconcile to recorded scope</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Aggregate</w:t>
            </w:r>
          </w:p>
        </w:tc>
        <w:tc>
          <w:tcPr>
            <w:tcW w:type="dxa" w:w="3000"/>
            <w:tcMar>
              <w:top w:w="90" w:type="dxa"/>
              <w:start w:w="120" w:type="dxa"/>
              <w:bottom w:w="90" w:type="dxa"/>
              <w:end w:w="120" w:type="dxa"/>
            </w:tcMar>
            <w:vAlign w:val="center"/>
          </w:tcPr>
          <w:p>
            <w:pPr>
              <w:spacing w:after="0"/>
            </w:pPr>
            <w:r>
              <w:rPr>
                <w:rFonts w:ascii="Arial" w:hAnsi="Arial"/>
                <w:color w:val="1B292A"/>
                <w:sz w:val="18"/>
              </w:rPr>
              <w:t>Final aggregate exists, is readable and is not partial</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Latest accepted rows share the intended run/profile/input identity</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Exports</w:t>
            </w:r>
          </w:p>
        </w:tc>
        <w:tc>
          <w:tcPr>
            <w:tcW w:type="dxa" w:w="3000"/>
            <w:tcMar>
              <w:top w:w="90" w:type="dxa"/>
              <w:start w:w="120" w:type="dxa"/>
              <w:bottom w:w="90" w:type="dxa"/>
              <w:end w:w="120" w:type="dxa"/>
            </w:tcMar>
            <w:vAlign w:val="center"/>
          </w:tcPr>
          <w:p>
            <w:pPr>
              <w:spacing w:after="0"/>
            </w:pPr>
            <w:r>
              <w:rPr>
                <w:rFonts w:ascii="Arial" w:hAnsi="Arial"/>
                <w:color w:val="1B292A"/>
                <w:sz w:val="18"/>
              </w:rPr>
              <w:t>CSV, GIS, heat map and manifest reconcile to the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Review</w:t>
            </w:r>
          </w:p>
        </w:tc>
        <w:tc>
          <w:tcPr>
            <w:tcW w:type="dxa" w:w="3000"/>
            <w:tcMar>
              <w:top w:w="90" w:type="dxa"/>
              <w:start w:w="120" w:type="dxa"/>
              <w:bottom w:w="90" w:type="dxa"/>
              <w:end w:w="120" w:type="dxa"/>
            </w:tcMar>
            <w:vAlign w:val="center"/>
          </w:tcPr>
          <w:p>
            <w:pPr>
              <w:spacing w:after="0"/>
            </w:pPr>
            <w:r>
              <w:rPr>
                <w:rFonts w:ascii="Arial" w:hAnsi="Arial"/>
                <w:color w:val="1B292A"/>
                <w:sz w:val="18"/>
              </w:rPr>
              <w:t>QA, diagnostics, limitations and selected buildings reviewed</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br w:type="page"/>
      </w:r>
    </w:p>
    <w:p>
      <w:pPr>
        <w:pStyle w:val="Heading1"/>
      </w:pPr>
      <w:r>
        <w:rPr>
          <w:rFonts w:ascii="Arial" w:hAnsi="Arial"/>
          <w:b/>
          <w:color w:val="173F45"/>
          <w:sz w:val="36"/>
        </w:rPr>
        <w:t>2. Research objective and analytical boundary</w:t>
      </w:r>
    </w:p>
    <w:p>
      <w:r>
        <w:rPr>
          <w:rFonts w:ascii="Georgia" w:hAnsi="Georgia"/>
          <w:color w:val="1B292A"/>
          <w:sz w:val="21"/>
        </w:rPr>
        <w:t>The simulation provides reproducible evidence for the spatial and typological distribution of modelled final site energy across the supplied Valencia stock. It supports comparison among recorded building clusters and declared area bases, inspection of preparation and EnergyPlus evidence at building level, and production of traceable row-level and spatial exports.</w:t>
      </w:r>
    </w:p>
    <w:p>
      <w:r>
        <w:rPr>
          <w:rFonts w:ascii="Georgia" w:hAnsi="Georgia"/>
          <w:color w:val="1B292A"/>
          <w:sz w:val="21"/>
        </w:rPr>
        <w:t>The analytical unit is the building or cadastral reference represented by the latest terminal ledger record. Aggregate values include only records admitted by the stated result and QA contract. Excluded and failed records remain visible in coverage evidence and are not interpreted as zero energy.</w:t>
      </w:r>
    </w:p>
    <w:p>
      <w:pPr>
        <w:pStyle w:val="Heading2"/>
      </w:pPr>
      <w:r>
        <w:rPr>
          <w:rFonts w:ascii="Arial" w:hAnsi="Arial"/>
          <w:b/>
          <w:color w:val="1F5F67"/>
          <w:sz w:val="28"/>
        </w:rPr>
        <w:t>2.1 Questions the report can answer</w:t>
      </w:r>
    </w:p>
    <w:p>
      <w:pPr>
        <w:keepLines/>
        <w:spacing w:after="60"/>
        <w:ind w:left="369" w:hanging="255"/>
      </w:pPr>
      <w:r>
        <w:rPr>
          <w:rFonts w:ascii="Georgia" w:hAnsi="Georgia"/>
          <w:color w:val="1B292A"/>
          <w:sz w:val="21"/>
        </w:rPr>
        <w:t>•</w:t>
        <w:tab/>
      </w:r>
      <w:r>
        <w:rPr>
          <w:rFonts w:ascii="Georgia" w:hAnsi="Georgia"/>
          <w:color w:val="1B292A"/>
          <w:sz w:val="21"/>
        </w:rPr>
        <w:t>What final site energy and operational emissions were simulated for the represented stock?</w:t>
      </w:r>
    </w:p>
    <w:p>
      <w:pPr>
        <w:keepLines/>
        <w:spacing w:after="60"/>
        <w:ind w:left="369" w:hanging="255"/>
      </w:pPr>
      <w:r>
        <w:rPr>
          <w:rFonts w:ascii="Georgia" w:hAnsi="Georgia"/>
          <w:color w:val="1B292A"/>
          <w:sz w:val="21"/>
        </w:rPr>
        <w:t>•</w:t>
        <w:tab/>
      </w:r>
      <w:r>
        <w:rPr>
          <w:rFonts w:ascii="Georgia" w:hAnsi="Georgia"/>
          <w:color w:val="1B292A"/>
          <w:sz w:val="21"/>
        </w:rPr>
        <w:t>How do results distribute across building clusters and, where supported, districts?</w:t>
      </w:r>
    </w:p>
    <w:p>
      <w:pPr>
        <w:keepLines/>
        <w:spacing w:after="60"/>
        <w:ind w:left="369" w:hanging="255"/>
      </w:pPr>
      <w:r>
        <w:rPr>
          <w:rFonts w:ascii="Georgia" w:hAnsi="Georgia"/>
          <w:color w:val="1B292A"/>
          <w:sz w:val="21"/>
        </w:rPr>
        <w:t>•</w:t>
        <w:tab/>
      </w:r>
      <w:r>
        <w:rPr>
          <w:rFonts w:ascii="Georgia" w:hAnsi="Georgia"/>
          <w:color w:val="1B292A"/>
          <w:sz w:val="21"/>
        </w:rPr>
        <w:t>How do geometric and cadastral residential-area denominators change intensity interpretation?</w:t>
      </w:r>
    </w:p>
    <w:p>
      <w:pPr>
        <w:keepLines/>
        <w:spacing w:after="60"/>
        <w:ind w:left="369" w:hanging="255"/>
      </w:pPr>
      <w:r>
        <w:rPr>
          <w:rFonts w:ascii="Georgia" w:hAnsi="Georgia"/>
          <w:color w:val="1B292A"/>
          <w:sz w:val="21"/>
        </w:rPr>
        <w:t>•</w:t>
        <w:tab/>
      </w:r>
      <w:r>
        <w:rPr>
          <w:rFonts w:ascii="Georgia" w:hAnsi="Georgia"/>
          <w:color w:val="1B292A"/>
          <w:sz w:val="21"/>
        </w:rPr>
        <w:t>Which buildings failed or were excluded, and what bias can or cannot be quantified?</w:t>
      </w:r>
    </w:p>
    <w:p>
      <w:pPr>
        <w:keepLines/>
        <w:spacing w:after="60"/>
        <w:ind w:left="369" w:hanging="255"/>
      </w:pPr>
      <w:r>
        <w:rPr>
          <w:rFonts w:ascii="Georgia" w:hAnsi="Georgia"/>
          <w:color w:val="1B292A"/>
          <w:sz w:val="21"/>
        </w:rPr>
        <w:t>•</w:t>
        <w:tab/>
      </w:r>
      <w:r>
        <w:rPr>
          <w:rFonts w:ascii="Georgia" w:hAnsi="Georgia"/>
          <w:color w:val="1B292A"/>
          <w:sz w:val="21"/>
        </w:rPr>
        <w:t>Which preparation, geometry, occupancy and QA assumptions constrain interpretation?</w:t>
      </w:r>
    </w:p>
    <w:p>
      <w:pPr>
        <w:pStyle w:val="Heading2"/>
      </w:pPr>
      <w:r>
        <w:rPr>
          <w:rFonts w:ascii="Arial" w:hAnsi="Arial"/>
          <w:b/>
          <w:color w:val="1F5F67"/>
          <w:sz w:val="28"/>
        </w:rPr>
        <w:t>2.2 Questions it cannot answer alone</w:t>
      </w:r>
    </w:p>
    <w:p>
      <w:pPr>
        <w:keepLines/>
        <w:spacing w:after="60"/>
        <w:ind w:left="369" w:hanging="255"/>
      </w:pPr>
      <w:r>
        <w:rPr>
          <w:rFonts w:ascii="Georgia" w:hAnsi="Georgia"/>
          <w:color w:val="1B292A"/>
          <w:sz w:val="21"/>
        </w:rPr>
        <w:t>•</w:t>
        <w:tab/>
      </w:r>
      <w:r>
        <w:rPr>
          <w:rFonts w:ascii="Georgia" w:hAnsi="Georgia"/>
          <w:color w:val="1B292A"/>
          <w:sz w:val="21"/>
        </w:rPr>
        <w:t>Whether a specific building matches its utility bills or actual occupancy.</w:t>
      </w:r>
    </w:p>
    <w:p>
      <w:pPr>
        <w:keepLines/>
        <w:spacing w:after="60"/>
        <w:ind w:left="369" w:hanging="255"/>
      </w:pPr>
      <w:r>
        <w:rPr>
          <w:rFonts w:ascii="Georgia" w:hAnsi="Georgia"/>
          <w:color w:val="1B292A"/>
          <w:sz w:val="21"/>
        </w:rPr>
        <w:t>•</w:t>
        <w:tab/>
      </w:r>
      <w:r>
        <w:rPr>
          <w:rFonts w:ascii="Georgia" w:hAnsi="Georgia"/>
          <w:color w:val="1B292A"/>
          <w:sz w:val="21"/>
        </w:rPr>
        <w:t>Whether the stock is calibrated against measured consumption.</w:t>
      </w:r>
    </w:p>
    <w:p>
      <w:pPr>
        <w:keepLines/>
        <w:spacing w:after="60"/>
        <w:ind w:left="369" w:hanging="255"/>
      </w:pPr>
      <w:r>
        <w:rPr>
          <w:rFonts w:ascii="Georgia" w:hAnsi="Georgia"/>
          <w:color w:val="1B292A"/>
          <w:sz w:val="21"/>
        </w:rPr>
        <w:t>•</w:t>
        <w:tab/>
      </w:r>
      <w:r>
        <w:rPr>
          <w:rFonts w:ascii="Georgia" w:hAnsi="Georgia"/>
          <w:color w:val="1B292A"/>
          <w:sz w:val="21"/>
        </w:rPr>
        <w:t>Whether a simulated difference is causally attributable to an intervention.</w:t>
      </w:r>
    </w:p>
    <w:p>
      <w:pPr>
        <w:keepLines/>
        <w:spacing w:after="60"/>
        <w:ind w:left="369" w:hanging="255"/>
      </w:pPr>
      <w:r>
        <w:rPr>
          <w:rFonts w:ascii="Georgia" w:hAnsi="Georgia"/>
          <w:color w:val="1B292A"/>
          <w:sz w:val="21"/>
        </w:rPr>
        <w:t>•</w:t>
        <w:tab/>
      </w:r>
      <w:r>
        <w:rPr>
          <w:rFonts w:ascii="Georgia" w:hAnsi="Georgia"/>
          <w:color w:val="1B292A"/>
          <w:sz w:val="21"/>
        </w:rPr>
        <w:t>Whether operational factors represent embodied or whole-life carbon.</w:t>
      </w:r>
    </w:p>
    <w:p>
      <w:pPr>
        <w:keepLines/>
        <w:spacing w:after="60"/>
        <w:ind w:left="369" w:hanging="255"/>
      </w:pPr>
      <w:r>
        <w:rPr>
          <w:rFonts w:ascii="Georgia" w:hAnsi="Georgia"/>
          <w:color w:val="1B292A"/>
          <w:sz w:val="21"/>
        </w:rPr>
        <w:t>•</w:t>
        <w:tab/>
      </w:r>
      <w:r>
        <w:rPr>
          <w:rFonts w:ascii="Georgia" w:hAnsi="Georgia"/>
          <w:color w:val="1B292A"/>
          <w:sz w:val="21"/>
        </w:rPr>
        <w:t>Whether simplified one-zone-per-storey geometry captures all local thermal diversity.</w:t>
      </w:r>
    </w:p>
    <w:p>
      <w:r>
        <w:br w:type="page"/>
      </w:r>
    </w:p>
    <w:p>
      <w:pPr>
        <w:pStyle w:val="Heading1"/>
      </w:pPr>
      <w:r>
        <w:rPr>
          <w:rFonts w:ascii="Arial" w:hAnsi="Arial"/>
          <w:b/>
          <w:color w:val="173F45"/>
          <w:sz w:val="36"/>
        </w:rPr>
        <w:t>3. Run identity and execution record</w:t>
      </w:r>
    </w:p>
    <w:p>
      <w:r>
        <w:rPr>
          <w:rFonts w:ascii="Georgia" w:hAnsi="Georgia"/>
          <w:color w:val="1B292A"/>
          <w:sz w:val="21"/>
        </w:rPr>
        <w:t>The final report will read identity from the settled run directory and authoritative API response, not from the currently active Files page. The run name is a human-recognisable label; cryptographic fingerprints establish the resolved scientific identity.</w:t>
      </w:r>
    </w:p>
    <w:p>
      <w:pPr>
        <w:pStyle w:val="Caption"/>
        <w:keepNext/>
        <w:spacing w:before="80" w:after="80"/>
      </w:pPr>
      <w:r>
        <w:rPr>
          <w:rFonts w:ascii="Arial" w:hAnsi="Arial"/>
          <w:b/>
          <w:color w:val="5B696A"/>
          <w:sz w:val="17"/>
        </w:rPr>
        <w:t>Table 2. Run identity and execution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Identity element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Authoritative source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Final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 name</w:t>
            </w:r>
          </w:p>
        </w:tc>
        <w:tc>
          <w:tcPr>
            <w:tcW w:type="dxa" w:w="3000"/>
            <w:tcMar>
              <w:top w:w="90" w:type="dxa"/>
              <w:start w:w="120" w:type="dxa"/>
              <w:bottom w:w="90" w:type="dxa"/>
              <w:end w:w="120" w:type="dxa"/>
            </w:tcMar>
            <w:vAlign w:val="center"/>
          </w:tcPr>
          <w:p>
            <w:pPr>
              <w:spacing w:after="0"/>
            </w:pPr>
            <w:r>
              <w:rPr>
                <w:rFonts w:ascii="Arial" w:hAnsi="Arial"/>
                <w:color w:val="1B292A"/>
                <w:sz w:val="18"/>
              </w:rPr>
              <w:t>Run directory and API route</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ALL_VALENC-A_REAL</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 identity</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run_config.json</w:t>
            </w:r>
            <w:r>
              <w:rPr>
                <w:rFonts w:ascii="Arial" w:hAnsi="Arial"/>
                <w:color w:val="1B292A"/>
                <w:sz w:val="18"/>
              </w:rPr>
              <w:t xml:space="preserve"> / ledger rows</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Verified profile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run_config.json</w:t>
            </w:r>
            <w:r>
              <w:rPr>
                <w:rFonts w:ascii="Arial" w:hAnsi="Arial"/>
                <w:color w:val="1B292A"/>
                <w:sz w:val="18"/>
              </w:rPr>
              <w:t xml:space="preserve"> / ledger rows</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Climate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Run configuration and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Template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Run configuration and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Policy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Run configuration and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Stock-source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Run configuration and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Runner schema</w:t>
            </w:r>
          </w:p>
        </w:tc>
        <w:tc>
          <w:tcPr>
            <w:tcW w:type="dxa" w:w="3000"/>
            <w:tcMar>
              <w:top w:w="90" w:type="dxa"/>
              <w:start w:w="120" w:type="dxa"/>
              <w:bottom w:w="90" w:type="dxa"/>
              <w:end w:w="120" w:type="dxa"/>
            </w:tcMar>
            <w:vAlign w:val="center"/>
          </w:tcPr>
          <w:p>
            <w:pPr>
              <w:spacing w:after="0"/>
            </w:pPr>
            <w:r>
              <w:rPr>
                <w:rFonts w:ascii="Arial" w:hAnsi="Arial"/>
                <w:color w:val="1B292A"/>
                <w:sz w:val="18"/>
              </w:rPr>
              <w:t>Run configuration and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Execution segments</w:t>
            </w:r>
          </w:p>
        </w:tc>
        <w:tc>
          <w:tcPr>
            <w:tcW w:type="dxa" w:w="3000"/>
            <w:tcMar>
              <w:top w:w="90" w:type="dxa"/>
              <w:start w:w="120" w:type="dxa"/>
              <w:bottom w:w="90" w:type="dxa"/>
              <w:end w:w="120" w:type="dxa"/>
            </w:tcMar>
            <w:vAlign w:val="center"/>
          </w:tcPr>
          <w:p>
            <w:pPr>
              <w:spacing w:after="0"/>
            </w:pPr>
            <w:r>
              <w:rPr>
                <w:rFonts w:ascii="Arial" w:hAnsi="Arial"/>
                <w:color w:val="1B292A"/>
                <w:sz w:val="18"/>
              </w:rPr>
              <w:t>Process records, logs and run configuration</w:t>
            </w:r>
          </w:p>
        </w:tc>
        <w:tc>
          <w:tcPr>
            <w:tcW w:type="dxa" w:w="4575"/>
            <w:tcMar>
              <w:top w:w="90" w:type="dxa"/>
              <w:start w:w="120" w:type="dxa"/>
              <w:bottom w:w="90" w:type="dxa"/>
              <w:end w:w="120" w:type="dxa"/>
            </w:tcMar>
            <w:vAlign w:val="center"/>
          </w:tcPr>
          <w:p>
            <w:pPr>
              <w:spacing w:after="0"/>
            </w:pPr>
            <w:r>
              <w:rPr>
                <w:rFonts w:ascii="Arial" w:hAnsi="Arial"/>
                <w:color w:val="1B292A"/>
                <w:sz w:val="18"/>
              </w:rPr>
              <w:t>Pending final reconciliation of start/resume worker counts and retention</w:t>
            </w:r>
          </w:p>
        </w:tc>
      </w:tr>
    </w:tbl>
    <w:p>
      <w:pPr>
        <w:spacing w:after="0"/>
      </w:pPr>
    </w:p>
    <w:p>
      <w:r>
        <w:rPr>
          <w:rFonts w:ascii="Georgia" w:hAnsi="Georgia"/>
          <w:color w:val="1B292A"/>
          <w:sz w:val="21"/>
        </w:rPr>
        <w:t>The current production interface submits six workers and full per-building retention for a new UI request; these are not user-editable controls on the Run page. The Valencia run has an interruption/resume history, so this report will not assume that every execution segment used the UI default. The final execution table will disclose the worker count and retention recorded for each recoverable segment, including any changed resume count. Worker count affects throughput rather than the frozen model inputs, but it remains part of execution provenance. Wall-clock duration, accumulated worker CPU time and median/mean/max building duration will be reported only from settled process evidence.</w:t>
      </w:r>
    </w:p>
    <w:p>
      <w:pPr>
        <w:pStyle w:val="Heading2"/>
      </w:pPr>
      <w:r>
        <w:rPr>
          <w:rFonts w:ascii="Arial" w:hAnsi="Arial"/>
          <w:b/>
          <w:color w:val="1F5F67"/>
          <w:sz w:val="28"/>
        </w:rPr>
        <w:t>3.1 Period</w:t>
      </w:r>
    </w:p>
    <w:p>
      <w:r>
        <w:rPr>
          <w:rFonts w:ascii="Georgia" w:hAnsi="Georgia"/>
          <w:color w:val="1B292A"/>
          <w:sz w:val="21"/>
        </w:rPr>
        <w:t>The Valencia run is annual. Final energy is reported as kWh/year or GWh/year; intensity as kWh/m²·year; operational carbon as kgCO₂/m²·year or tCO₂/year where the corresponding denominator is explicit. No microclimate event values will be mixed into this annual ledger.</w:t>
      </w:r>
    </w:p>
    <w:p>
      <w:r>
        <w:br w:type="page"/>
      </w:r>
    </w:p>
    <w:p>
      <w:pPr>
        <w:pStyle w:val="Heading1"/>
      </w:pPr>
      <w:r>
        <w:rPr>
          <w:rFonts w:ascii="Arial" w:hAnsi="Arial"/>
          <w:b/>
          <w:color w:val="173F45"/>
          <w:sz w:val="36"/>
        </w:rPr>
        <w:t>4. Authoritative inputs</w:t>
      </w:r>
    </w:p>
    <w:p>
      <w:r>
        <w:rPr>
          <w:rFonts w:ascii="Georgia" w:hAnsi="Georgia"/>
          <w:color w:val="1B292A"/>
          <w:sz w:val="21"/>
        </w:rPr>
        <w:t>The run resolves its active input set once and records content identities. Absolute workstation paths are excluded from this report. Logical dataset role, preserved filename, validation contract and SHA-256 evidence are retained.</w:t>
      </w:r>
    </w:p>
    <w:p>
      <w:pPr>
        <w:pStyle w:val="Heading2"/>
      </w:pPr>
      <w:r>
        <w:rPr>
          <w:rFonts w:ascii="Arial" w:hAnsi="Arial"/>
          <w:b/>
          <w:color w:val="1F5F67"/>
          <w:sz w:val="28"/>
        </w:rPr>
        <w:t>4.1 Valencia cadastre</w:t>
      </w:r>
    </w:p>
    <w:p>
      <w:r>
        <w:rPr>
          <w:rFonts w:ascii="Georgia" w:hAnsi="Georgia"/>
          <w:color w:val="1B292A"/>
          <w:sz w:val="21"/>
        </w:rPr>
        <w:t>The building GIS supplies parcel/building geometry and attributes used for identity, scope, storeys, population, dwellings, cluster, district/context and footprint preparation. It is an administrative/research source, not a geometric survey. The final table will record managed filename, feature count, CRS, geometry type, snapshot hash and field-role policy.</w:t>
      </w:r>
    </w:p>
    <w:p>
      <w:pPr>
        <w:pStyle w:val="Heading2"/>
      </w:pPr>
      <w:r>
        <w:rPr>
          <w:rFonts w:ascii="Arial" w:hAnsi="Arial"/>
          <w:b/>
          <w:color w:val="1F5F67"/>
          <w:sz w:val="28"/>
        </w:rPr>
        <w:t>4.2 Tipo15 dwelling ledger</w:t>
      </w:r>
    </w:p>
    <w:p>
      <w:r>
        <w:rPr>
          <w:rFonts w:ascii="Georgia" w:hAnsi="Georgia"/>
          <w:color w:val="1B292A"/>
          <w:sz w:val="21"/>
        </w:rPr>
        <w:t xml:space="preserve">The companion semicolon-delimited Latin-1 CSV supplies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 It supports parcel join, floor/use interpretation and the cadastral residential-area denominator. Multiple dwelling records per parcel are expected. Missing joins and fallback use will be quantified rather than converted to zero.</w:t>
      </w:r>
    </w:p>
    <w:p>
      <w:pPr>
        <w:pStyle w:val="Heading2"/>
      </w:pPr>
      <w:r>
        <w:rPr>
          <w:rFonts w:ascii="Arial" w:hAnsi="Arial"/>
          <w:b/>
          <w:color w:val="1F5F67"/>
          <w:sz w:val="28"/>
        </w:rPr>
        <w:t>4.3 EPW and DDY climate pair</w:t>
      </w:r>
    </w:p>
    <w:p>
      <w:r>
        <w:rPr>
          <w:rFonts w:ascii="Georgia" w:hAnsi="Georgia"/>
          <w:color w:val="1B292A"/>
          <w:sz w:val="21"/>
        </w:rPr>
        <w:t>The annual EPW supplies hourly weather and site metadata; the matched DDY supplies winter and summer design days. The pair is validated and activated atomically. Slab-contact ground temperature and water-mains temperature are recorded separately because an EPW does not authoritatively provide both model inputs.</w:t>
      </w:r>
    </w:p>
    <w:p>
      <w:pPr>
        <w:pStyle w:val="Heading2"/>
      </w:pPr>
      <w:r>
        <w:rPr>
          <w:rFonts w:ascii="Arial" w:hAnsi="Arial"/>
          <w:b/>
          <w:color w:val="1F5F67"/>
          <w:sz w:val="28"/>
        </w:rPr>
        <w:t>4.4 OpenStudio template</w:t>
      </w:r>
    </w:p>
    <w:p>
      <w:r>
        <w:rPr>
          <w:rFonts w:ascii="Georgia" w:hAnsi="Georgia"/>
          <w:color w:val="1B292A"/>
          <w:sz w:val="21"/>
        </w:rPr>
        <w:t>The OSM template provides role-bound constructions, schedules, thermostats, space types and required system objects. Its fingerprint identifies the source library used to build every accepted model; it is not a measured representation of each building.</w:t>
      </w:r>
    </w:p>
    <w:p>
      <w:pPr>
        <w:pStyle w:val="Caption"/>
        <w:keepNext/>
        <w:spacing w:before="80" w:after="80"/>
      </w:pPr>
      <w:r>
        <w:rPr>
          <w:rFonts w:ascii="Arial" w:hAnsi="Arial"/>
          <w:b/>
          <w:color w:val="5B696A"/>
          <w:sz w:val="17"/>
        </w:rPr>
        <w:t>Table 3. OpenStudio template</w:t>
      </w:r>
    </w:p>
    <w:tbl>
      <w:tblPr>
        <w:tblStyle w:val="TableGrid"/>
        <w:tblW w:type="dxa" w:w="10175"/>
        <w:jc w:val="left"/>
        <w:tblLayout w:type="fixed"/>
        <w:tblLook w:firstColumn="1" w:firstRow="1" w:lastColumn="0" w:lastRow="0" w:noHBand="0" w:noVBand="1" w:val="04A0"/>
        <w:tblInd w:w="120" w:type="dxa"/>
      </w:tblPr>
      <w:tblGrid>
        <w:gridCol w:w="2200"/>
        <w:gridCol w:w="2658"/>
        <w:gridCol w:w="2658"/>
        <w:gridCol w:w="2659"/>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Dataset role</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Preserved filename</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Contract</w:t>
            </w:r>
          </w:p>
        </w:tc>
        <w:tc>
          <w:tcPr>
            <w:tcW w:type="dxa" w:w="2659"/>
            <w:tcMar>
              <w:top w:w="90" w:type="dxa"/>
              <w:start w:w="120" w:type="dxa"/>
              <w:bottom w:w="90" w:type="dxa"/>
              <w:end w:w="120" w:type="dxa"/>
            </w:tcMar>
            <w:vAlign w:val="center"/>
            <w:shd w:fill="E8F1F1"/>
          </w:tcPr>
          <w:p>
            <w:pPr>
              <w:spacing w:after="0"/>
            </w:pPr>
            <w:r>
              <w:rPr>
                <w:rFonts w:ascii="Arial" w:hAnsi="Arial"/>
                <w:b/>
                <w:color w:val="173F45"/>
                <w:sz w:val="17"/>
              </w:rPr>
              <w:t>SHA-256 / fingerprint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 GIS</w:t>
            </w:r>
          </w:p>
        </w:tc>
        <w:tc>
          <w:tcPr>
            <w:tcW w:type="dxa" w:w="2658"/>
            <w:tcMar>
              <w:top w:w="90" w:type="dxa"/>
              <w:start w:w="120" w:type="dxa"/>
              <w:bottom w:w="90" w:type="dxa"/>
              <w:end w:w="120" w:type="dxa"/>
            </w:tcMar>
            <w:vAlign w:val="center"/>
          </w:tcPr>
          <w:p>
            <w:pPr>
              <w:spacing w:after="0"/>
            </w:pPr>
            <w:r>
              <w:rPr>
                <w:rFonts w:ascii="Arial" w:hAnsi="Arial"/>
                <w:color w:val="1B292A"/>
                <w:sz w:val="17"/>
              </w:rPr>
              <w:t>Pending final run evidence</w:t>
            </w:r>
          </w:p>
        </w:tc>
        <w:tc>
          <w:tcPr>
            <w:tcW w:type="dxa" w:w="2658"/>
            <w:tcMar>
              <w:top w:w="90" w:type="dxa"/>
              <w:start w:w="120" w:type="dxa"/>
              <w:bottom w:w="90" w:type="dxa"/>
              <w:end w:w="120" w:type="dxa"/>
            </w:tcMar>
            <w:vAlign w:val="center"/>
          </w:tcPr>
          <w:p>
            <w:pPr>
              <w:spacing w:after="0"/>
            </w:pPr>
            <w:r>
              <w:rPr>
                <w:rFonts w:ascii="Arial" w:hAnsi="Arial"/>
                <w:color w:val="1B292A"/>
                <w:sz w:val="17"/>
              </w:rPr>
              <w:t>GIS snapshot + active policy</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Tipo15</w:t>
            </w:r>
          </w:p>
        </w:tc>
        <w:tc>
          <w:tcPr>
            <w:tcW w:type="dxa" w:w="2658"/>
            <w:tcMar>
              <w:top w:w="90" w:type="dxa"/>
              <w:start w:w="120" w:type="dxa"/>
              <w:bottom w:w="90" w:type="dxa"/>
              <w:end w:w="120" w:type="dxa"/>
            </w:tcMar>
            <w:vAlign w:val="center"/>
          </w:tcPr>
          <w:p>
            <w:pPr>
              <w:spacing w:after="0"/>
            </w:pPr>
            <w:r>
              <w:rPr>
                <w:rFonts w:ascii="Arial" w:hAnsi="Arial"/>
                <w:color w:val="1B292A"/>
                <w:sz w:val="17"/>
              </w:rPr>
              <w:t>Pending final run evidence</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tipo15-v1</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Annual EPW</w:t>
            </w:r>
          </w:p>
        </w:tc>
        <w:tc>
          <w:tcPr>
            <w:tcW w:type="dxa" w:w="2658"/>
            <w:tcMar>
              <w:top w:w="90" w:type="dxa"/>
              <w:start w:w="120" w:type="dxa"/>
              <w:bottom w:w="90" w:type="dxa"/>
              <w:end w:w="120" w:type="dxa"/>
            </w:tcMar>
            <w:vAlign w:val="center"/>
          </w:tcPr>
          <w:p>
            <w:pPr>
              <w:spacing w:after="0"/>
            </w:pPr>
            <w:r>
              <w:rPr>
                <w:rFonts w:ascii="Arial" w:hAnsi="Arial"/>
                <w:color w:val="1B292A"/>
                <w:sz w:val="17"/>
              </w:rPr>
              <w:t>Pending final run evidence</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epw-annual-v1</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DDY</w:t>
            </w:r>
          </w:p>
        </w:tc>
        <w:tc>
          <w:tcPr>
            <w:tcW w:type="dxa" w:w="2658"/>
            <w:tcMar>
              <w:top w:w="90" w:type="dxa"/>
              <w:start w:w="120" w:type="dxa"/>
              <w:bottom w:w="90" w:type="dxa"/>
              <w:end w:w="120" w:type="dxa"/>
            </w:tcMar>
            <w:vAlign w:val="center"/>
          </w:tcPr>
          <w:p>
            <w:pPr>
              <w:spacing w:after="0"/>
            </w:pPr>
            <w:r>
              <w:rPr>
                <w:rFonts w:ascii="Arial" w:hAnsi="Arial"/>
                <w:color w:val="1B292A"/>
                <w:sz w:val="17"/>
              </w:rPr>
              <w:t>Pending final run evidence</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ddy-design-days-v1</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OpenStudio template</w:t>
            </w:r>
          </w:p>
        </w:tc>
        <w:tc>
          <w:tcPr>
            <w:tcW w:type="dxa" w:w="2658"/>
            <w:tcMar>
              <w:top w:w="90" w:type="dxa"/>
              <w:start w:w="120" w:type="dxa"/>
              <w:bottom w:w="90" w:type="dxa"/>
              <w:end w:w="120" w:type="dxa"/>
            </w:tcMar>
            <w:vAlign w:val="center"/>
          </w:tcPr>
          <w:p>
            <w:pPr>
              <w:spacing w:after="0"/>
            </w:pPr>
            <w:r>
              <w:rPr>
                <w:rFonts w:ascii="Arial" w:hAnsi="Arial"/>
                <w:color w:val="1B292A"/>
                <w:sz w:val="17"/>
              </w:rPr>
              <w:t>Pending final run evidence</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template-roles-v1</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bl>
    <w:p>
      <w:pPr>
        <w:spacing w:after="0"/>
      </w:pPr>
    </w:p>
    <w:p>
      <w:r>
        <w:br w:type="page"/>
      </w:r>
    </w:p>
    <w:p>
      <w:pPr>
        <w:pStyle w:val="Heading1"/>
      </w:pPr>
      <w:r>
        <w:rPr>
          <w:rFonts w:ascii="Arial" w:hAnsi="Arial"/>
          <w:b/>
          <w:color w:val="173F45"/>
          <w:sz w:val="36"/>
        </w:rPr>
        <w:t>5. Software and verified profile</w:t>
      </w:r>
    </w:p>
    <w:p>
      <w:r>
        <w:rPr>
          <w:rFonts w:ascii="Georgia" w:hAnsi="Georgia"/>
          <w:color w:val="1B292A"/>
          <w:sz w:val="21"/>
        </w:rPr>
        <w:t>The documented toolchain is Python 3.13, OpenStudio 3.11.0 and EnergyPlus 25.2.0 [1]–[3]. The final report will record the exact patch versions and software commit from the release and run evidence. Dependency presence is a reproducibility condition, not evidence of physical accuracy.</w:t>
      </w:r>
    </w:p>
    <w:p>
      <w:r>
        <w:rPr>
          <w:rFonts w:ascii="Georgia" w:hAnsi="Georgia"/>
          <w:color w:val="1B292A"/>
          <w:sz w:val="21"/>
        </w:rPr>
        <w:t>The verified profile pins the model-building sources, template identity, policy and acceptance evidence. Profile verification means that the modelling method passed the project's fixed reference gates. It does not mean that Valencia's individual buildings were calibrated to measurements.</w:t>
      </w:r>
    </w:p>
    <w:p>
      <w:pPr>
        <w:pStyle w:val="Heading2"/>
      </w:pPr>
      <w:r>
        <w:rPr>
          <w:rFonts w:ascii="Arial" w:hAnsi="Arial"/>
          <w:b/>
          <w:color w:val="1F5F67"/>
          <w:sz w:val="28"/>
        </w:rPr>
        <w:t>5.1 Profile-integrity rule</w:t>
      </w:r>
    </w:p>
    <w:p>
      <w:r>
        <w:rPr>
          <w:rFonts w:ascii="Georgia" w:hAnsi="Georgia"/>
          <w:color w:val="1B292A"/>
          <w:sz w:val="21"/>
        </w:rPr>
        <w:t>Every accepted ledger row must carry the intended profile fingerprint. Source drift during execution is not silently accepted. A mechanically combined ledger containing more than one profile cannot be published as one homogeneous run without explicit separation and warning.</w:t>
      </w:r>
    </w:p>
    <w:p>
      <w:pPr>
        <w:pStyle w:val="Heading2"/>
      </w:pPr>
      <w:r>
        <w:rPr>
          <w:rFonts w:ascii="Arial" w:hAnsi="Arial"/>
          <w:b/>
          <w:color w:val="1F5F67"/>
          <w:sz w:val="28"/>
        </w:rPr>
        <w:t>5.2 Frozen and derived evidence</w:t>
      </w:r>
    </w:p>
    <w:p>
      <w:r>
        <w:rPr>
          <w:rFonts w:ascii="Georgia" w:hAnsi="Georgia"/>
          <w:color w:val="1B292A"/>
          <w:sz w:val="21"/>
        </w:rPr>
        <w:t>Physical model outputs are produced by the pinned simulation chain. Reporting may format units and labels, select latest records, create deterministic aggregates and check duplicate evidence for conflicts. It must not silently recompute historical physical results with today's changed model rules.</w:t>
      </w:r>
    </w:p>
    <w:p>
      <w:r>
        <w:br w:type="page"/>
      </w:r>
    </w:p>
    <w:p>
      <w:pPr>
        <w:pStyle w:val="Heading1"/>
      </w:pPr>
      <w:r>
        <w:rPr>
          <w:rFonts w:ascii="Arial" w:hAnsi="Arial"/>
          <w:b/>
          <w:color w:val="173F45"/>
          <w:sz w:val="36"/>
        </w:rPr>
        <w:t>6. Building preparation and geometry</w:t>
      </w:r>
    </w:p>
    <w:p>
      <w:r>
        <w:rPr>
          <w:rFonts w:ascii="Georgia" w:hAnsi="Georgia"/>
          <w:color w:val="1B292A"/>
          <w:sz w:val="21"/>
        </w:rPr>
        <w:t>The pipeline transforms supplied polygons into tractable building masses, identifies context and party surfaces, applies storey rules, assigns ground use, creates openings where exterior walls exist, and records fidelity evidence.</w:t>
      </w:r>
    </w:p>
    <w:p>
      <w:pPr>
        <w:pStyle w:val="Heading2"/>
      </w:pPr>
      <w:r>
        <w:rPr>
          <w:rFonts w:ascii="Arial" w:hAnsi="Arial"/>
          <w:b/>
          <w:color w:val="1F5F67"/>
          <w:sz w:val="28"/>
        </w:rPr>
        <w:t>6.1 Footprint preparation</w:t>
      </w:r>
    </w:p>
    <w:p>
      <w:r>
        <w:rPr>
          <w:rFonts w:ascii="Georgia" w:hAnsi="Georgia"/>
          <w:color w:val="1B292A"/>
          <w:sz w:val="21"/>
        </w:rPr>
        <w:t>Simplification fidelity is measured as symmetric difference divided by raw area. The configured bound and selected tolerance are recorded per building. A refined tolerance or as-drawn fallback protects geometry when the default tolerance would exceed the fidelity bound. A high fidelity score means closeness to the supplied polygon under this transformation; it does not prove that the source polygon is survey-accurate.</w:t>
      </w:r>
    </w:p>
    <w:p>
      <w:pPr>
        <w:pStyle w:val="Heading2"/>
      </w:pPr>
      <w:r>
        <w:rPr>
          <w:rFonts w:ascii="Arial" w:hAnsi="Arial"/>
          <w:b/>
          <w:color w:val="1F5F67"/>
          <w:sz w:val="28"/>
        </w:rPr>
        <w:t>6.2 Storeys and top-storey allocation</w:t>
      </w:r>
    </w:p>
    <w:p>
      <w:r>
        <w:rPr>
          <w:rFonts w:ascii="Georgia" w:hAnsi="Georgia"/>
          <w:color w:val="1B292A"/>
          <w:sz w:val="21"/>
        </w:rPr>
        <w:t>The report distinguishes total levels, residential levels above ground, effective residential storeys, built storeys and top-storey fraction. A recorded storey snap may remove a resolution-scale sliver near an integer boundary. Dwelling loads on a partial top storey are scaled according to the recorded fraction; the physical model still uses whole geometric storeys.</w:t>
      </w:r>
    </w:p>
    <w:p>
      <w:pPr>
        <w:pStyle w:val="Heading2"/>
      </w:pPr>
      <w:r>
        <w:rPr>
          <w:rFonts w:ascii="Arial" w:hAnsi="Arial"/>
          <w:b/>
          <w:color w:val="1F5F67"/>
          <w:sz w:val="28"/>
        </w:rPr>
        <w:t>6.3 Zoning and context</w:t>
      </w:r>
    </w:p>
    <w:p>
      <w:r>
        <w:rPr>
          <w:rFonts w:ascii="Georgia" w:hAnsi="Georgia"/>
          <w:color w:val="1B292A"/>
          <w:sz w:val="21"/>
        </w:rPr>
        <w:t>The production scheme uses one well-mixed thermal zone per storey. Large buildings above the recorded threshold do not receive a core/perimeter subdivision. Party surfaces, context shading and openings are counted per accepted model. A ground storey with no exterior wall can legitimately have zero glazed subsurfaces.</w:t>
      </w:r>
    </w:p>
    <w:p>
      <w:pPr>
        <w:pStyle w:val="Caption"/>
        <w:keepNext/>
        <w:spacing w:before="80" w:after="80"/>
      </w:pPr>
      <w:r>
        <w:rPr>
          <w:rFonts w:ascii="Arial" w:hAnsi="Arial"/>
          <w:b/>
          <w:color w:val="5B696A"/>
          <w:sz w:val="17"/>
        </w:rPr>
        <w:t>Table 4. Zoning and context</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Geometry evidence</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statistic</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 with measured fidelity</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Median / P95 / maximum fidelity</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Refined, coarser or as-drawn preparation</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Storey-snapped buildings and area share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Large single-zone buildings and energy share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Party, shading and opening distributions</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br w:type="page"/>
      </w:r>
    </w:p>
    <w:p>
      <w:pPr>
        <w:pStyle w:val="Heading1"/>
      </w:pPr>
      <w:r>
        <w:rPr>
          <w:rFonts w:ascii="Arial" w:hAnsi="Arial"/>
          <w:b/>
          <w:color w:val="173F45"/>
          <w:sz w:val="36"/>
        </w:rPr>
        <w:t>7. Use, occupancy and domestic hot water</w:t>
      </w:r>
    </w:p>
    <w:p>
      <w:r>
        <w:rPr>
          <w:rFonts w:ascii="Georgia" w:hAnsi="Georgia"/>
          <w:color w:val="1B292A"/>
          <w:sz w:val="21"/>
        </w:rPr>
        <w:t>Ground-storey use is conditional on the final recorded building evidence. Residential ground levels are treated as dwelling space and included in the residential basis. Commercial ground levels follow the verified tertiary regime and are excluded from a residential-only denominator. Mixed or unresolved evidence is not forced into either narrative.</w:t>
      </w:r>
    </w:p>
    <w:p>
      <w:r>
        <w:rPr>
          <w:rFonts w:ascii="Georgia" w:hAnsi="Georgia"/>
          <w:color w:val="1B292A"/>
          <w:sz w:val="21"/>
        </w:rPr>
        <w:t>Occupancy reporting separates administrative Padrón population, occupants applied to the model, source/fallback, density cap and plausibility status. Padrón is not live presence. A measured zero, an imputed value and a capped value are different evidence states.</w:t>
      </w:r>
    </w:p>
    <w:p>
      <w:r>
        <w:rPr>
          <w:rFonts w:ascii="Georgia" w:hAnsi="Georgia"/>
          <w:color w:val="1B292A"/>
          <w:sz w:val="21"/>
        </w:rPr>
        <w:t>Domestic hot water follows the recorded occupancy and model policy. The cited CTE reference demand of 28 litres/person/day is a 60 °C reference [6]; the model's 50 °C implementation is not claimed to be directly equivalent. Final reporting will state both temperatures and the modelling interpretation.</w:t>
      </w:r>
    </w:p>
    <w:p>
      <w:pPr>
        <w:pStyle w:val="Heading2"/>
      </w:pPr>
      <w:r>
        <w:rPr>
          <w:rFonts w:ascii="Arial" w:hAnsi="Arial"/>
          <w:b/>
          <w:color w:val="1F5F67"/>
          <w:sz w:val="28"/>
        </w:rPr>
        <w:t>7.1 Mixed-use energy attribution</w:t>
      </w:r>
    </w:p>
    <w:p>
      <w:r>
        <w:rPr>
          <w:rFonts w:ascii="Georgia" w:hAnsi="Georgia"/>
          <w:color w:val="1B292A"/>
          <w:sz w:val="21"/>
        </w:rPr>
        <w:t xml:space="preserve">Commercial lighting and equipment can be separated by user-defined subcategory. HVAC and DHW are not fully separable by space type under the preserved meter contract. Therefore </w:t>
      </w:r>
      <w:r>
        <w:rPr>
          <w:rFonts w:ascii="Courier New" w:hAnsi="Courier New"/>
          <w:color w:val="173F45"/>
          <w:sz w:val="19"/>
        </w:rPr>
        <w:t>residential_site_kwh</w:t>
      </w:r>
      <w:r>
        <w:rPr>
          <w:rFonts w:ascii="Georgia" w:hAnsi="Georgia"/>
          <w:color w:val="1B292A"/>
          <w:sz w:val="21"/>
        </w:rPr>
        <w:t xml:space="preserve"> is a </w:t>
      </w:r>
      <w:r>
        <w:rPr>
          <w:rFonts w:ascii="Georgia" w:hAnsi="Georgia"/>
          <w:b/>
          <w:color w:val="1B292A"/>
          <w:sz w:val="21"/>
        </w:rPr>
        <w:t>residential-attributed upper bound</w:t>
      </w:r>
      <w:r>
        <w:rPr>
          <w:rFonts w:ascii="Georgia" w:hAnsi="Georgia"/>
          <w:color w:val="1B292A"/>
          <w:sz w:val="21"/>
        </w:rPr>
        <w:t>, not exact residential consumption.</w:t>
      </w:r>
    </w:p>
    <w:p>
      <w:r>
        <w:br w:type="page"/>
      </w:r>
    </w:p>
    <w:p>
      <w:pPr>
        <w:pStyle w:val="Heading1"/>
      </w:pPr>
      <w:r>
        <w:rPr>
          <w:rFonts w:ascii="Arial" w:hAnsi="Arial"/>
          <w:b/>
          <w:color w:val="173F45"/>
          <w:sz w:val="36"/>
        </w:rPr>
        <w:t>8. HVAC, schedules and climate application</w:t>
      </w:r>
    </w:p>
    <w:p>
      <w:r>
        <w:rPr>
          <w:rFonts w:ascii="Georgia" w:hAnsi="Georgia"/>
          <w:color w:val="1B292A"/>
          <w:sz w:val="21"/>
        </w:rPr>
        <w:t>The generated models use the constructions, thermostat schedules, internal-load schedules, space types and HVAC objects bound in the verified template. The final methods table will state the relevant profile values and cite the preserved model/template evidence rather than retyping unsupported assumptions.</w:t>
      </w:r>
    </w:p>
    <w:p>
      <w:r>
        <w:rPr>
          <w:rFonts w:ascii="Georgia" w:hAnsi="Georgia"/>
          <w:color w:val="1B292A"/>
          <w:sz w:val="21"/>
        </w:rPr>
        <w:t xml:space="preserve">Annual weather is read from the recorded Valencia EPW. Design-day objects are selected from the matched DDY. Barometric pressure and site metadata are derived from the active climate contract. The annual Valencia report will not include or annualise the Lecco PALM microclimate slice; that evidence belongs to the separate </w:t>
      </w:r>
      <w:r>
        <w:rPr>
          <w:rFonts w:ascii="Courier New" w:hAnsi="Courier New"/>
          <w:color w:val="173F45"/>
          <w:sz w:val="19"/>
        </w:rPr>
        <w:t>LECCO_1</w:t>
      </w:r>
      <w:r>
        <w:rPr>
          <w:rFonts w:ascii="Georgia" w:hAnsi="Georgia"/>
          <w:color w:val="1B292A"/>
          <w:sz w:val="21"/>
        </w:rPr>
        <w:t xml:space="preserve"> event run.</w:t>
      </w:r>
    </w:p>
    <w:p>
      <w:pPr>
        <w:pStyle w:val="Heading2"/>
      </w:pPr>
      <w:r>
        <w:rPr>
          <w:rFonts w:ascii="Arial" w:hAnsi="Arial"/>
          <w:b/>
          <w:color w:val="1F5F67"/>
          <w:sz w:val="28"/>
        </w:rPr>
        <w:t>8.1 Parameters to publish</w:t>
      </w:r>
    </w:p>
    <w:p>
      <w:pPr>
        <w:pStyle w:val="Caption"/>
        <w:keepNext/>
        <w:spacing w:before="80" w:after="80"/>
      </w:pPr>
      <w:r>
        <w:rPr>
          <w:rFonts w:ascii="Arial" w:hAnsi="Arial"/>
          <w:b/>
          <w:color w:val="5B696A"/>
          <w:sz w:val="17"/>
        </w:rPr>
        <w:t>Table 5. Parameters to publish</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Parameter family</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Publication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Heating/cooling thermostat regimes</w:t>
            </w:r>
          </w:p>
        </w:tc>
        <w:tc>
          <w:tcPr>
            <w:tcW w:type="dxa" w:w="7375"/>
            <w:tcMar>
              <w:top w:w="90" w:type="dxa"/>
              <w:start w:w="120" w:type="dxa"/>
              <w:bottom w:w="90" w:type="dxa"/>
              <w:end w:w="120" w:type="dxa"/>
            </w:tcMar>
            <w:vAlign w:val="center"/>
          </w:tcPr>
          <w:p>
            <w:pPr>
              <w:spacing w:after="0"/>
            </w:pPr>
            <w:r>
              <w:rPr>
                <w:rFonts w:ascii="Arial" w:hAnsi="Arial"/>
                <w:color w:val="1B292A"/>
                <w:sz w:val="18"/>
              </w:rPr>
              <w:t>Template roles and generated OSM</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Infiltration and ventilation assumptions</w:t>
            </w:r>
          </w:p>
        </w:tc>
        <w:tc>
          <w:tcPr>
            <w:tcW w:type="dxa" w:w="7375"/>
            <w:tcMar>
              <w:top w:w="90" w:type="dxa"/>
              <w:start w:w="120" w:type="dxa"/>
              <w:bottom w:w="90" w:type="dxa"/>
              <w:end w:w="120" w:type="dxa"/>
            </w:tcMar>
            <w:vAlign w:val="center"/>
          </w:tcPr>
          <w:p>
            <w:pPr>
              <w:spacing w:after="0"/>
            </w:pPr>
            <w:r>
              <w:rPr>
                <w:rFonts w:ascii="Arial" w:hAnsi="Arial"/>
                <w:color w:val="1B292A"/>
                <w:sz w:val="18"/>
              </w:rPr>
              <w:t>Verified profile/template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Lighting/equipment schedules</w:t>
            </w:r>
          </w:p>
        </w:tc>
        <w:tc>
          <w:tcPr>
            <w:tcW w:type="dxa" w:w="7375"/>
            <w:tcMar>
              <w:top w:w="90" w:type="dxa"/>
              <w:start w:w="120" w:type="dxa"/>
              <w:bottom w:w="90" w:type="dxa"/>
              <w:end w:w="120" w:type="dxa"/>
            </w:tcMar>
            <w:vAlign w:val="center"/>
          </w:tcPr>
          <w:p>
            <w:pPr>
              <w:spacing w:after="0"/>
            </w:pPr>
            <w:r>
              <w:rPr>
                <w:rFonts w:ascii="Arial" w:hAnsi="Arial"/>
                <w:color w:val="1B292A"/>
                <w:sz w:val="18"/>
              </w:rPr>
              <w:t>Template roles and subcategory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HVAC system and fuel</w:t>
            </w:r>
          </w:p>
        </w:tc>
        <w:tc>
          <w:tcPr>
            <w:tcW w:type="dxa" w:w="7375"/>
            <w:tcMar>
              <w:top w:w="90" w:type="dxa"/>
              <w:start w:w="120" w:type="dxa"/>
              <w:bottom w:w="90" w:type="dxa"/>
              <w:end w:w="120" w:type="dxa"/>
            </w:tcMar>
            <w:vAlign w:val="center"/>
          </w:tcPr>
          <w:p>
            <w:pPr>
              <w:spacing w:after="0"/>
            </w:pPr>
            <w:r>
              <w:rPr>
                <w:rFonts w:ascii="Arial" w:hAnsi="Arial"/>
                <w:color w:val="1B292A"/>
                <w:sz w:val="18"/>
              </w:rPr>
              <w:t>Generated model and EnergyPlus tables</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DHW demand and temperature</w:t>
            </w:r>
          </w:p>
        </w:tc>
        <w:tc>
          <w:tcPr>
            <w:tcW w:type="dxa" w:w="7375"/>
            <w:tcMar>
              <w:top w:w="90" w:type="dxa"/>
              <w:start w:w="120" w:type="dxa"/>
              <w:bottom w:w="90" w:type="dxa"/>
              <w:end w:w="120" w:type="dxa"/>
            </w:tcMar>
            <w:vAlign w:val="center"/>
          </w:tcPr>
          <w:p>
            <w:pPr>
              <w:spacing w:after="0"/>
            </w:pPr>
            <w:r>
              <w:rPr>
                <w:rFonts w:ascii="Arial" w:hAnsi="Arial"/>
                <w:color w:val="1B292A"/>
                <w:sz w:val="18"/>
              </w:rPr>
              <w:t>Model preparation record</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EPW/DDY site and design days</w:t>
            </w:r>
          </w:p>
        </w:tc>
        <w:tc>
          <w:tcPr>
            <w:tcW w:type="dxa" w:w="7375"/>
            <w:tcMar>
              <w:top w:w="90" w:type="dxa"/>
              <w:start w:w="120" w:type="dxa"/>
              <w:bottom w:w="90" w:type="dxa"/>
              <w:end w:w="120" w:type="dxa"/>
            </w:tcMar>
            <w:vAlign w:val="center"/>
          </w:tcPr>
          <w:p>
            <w:pPr>
              <w:spacing w:after="0"/>
            </w:pPr>
            <w:r>
              <w:rPr>
                <w:rFonts w:ascii="Arial" w:hAnsi="Arial"/>
                <w:color w:val="1B292A"/>
                <w:sz w:val="18"/>
              </w:rPr>
              <w:t>Climate manifest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Ground and water-mains temperatures</w:t>
            </w:r>
          </w:p>
        </w:tc>
        <w:tc>
          <w:tcPr>
            <w:tcW w:type="dxa" w:w="7375"/>
            <w:tcMar>
              <w:top w:w="90" w:type="dxa"/>
              <w:start w:w="120" w:type="dxa"/>
              <w:bottom w:w="90" w:type="dxa"/>
              <w:end w:w="120" w:type="dxa"/>
            </w:tcMar>
            <w:vAlign w:val="center"/>
          </w:tcPr>
          <w:p>
            <w:pPr>
              <w:spacing w:after="0"/>
            </w:pPr>
            <w:r>
              <w:rPr>
                <w:rFonts w:ascii="Arial" w:hAnsi="Arial"/>
                <w:color w:val="1B292A"/>
                <w:sz w:val="18"/>
              </w:rPr>
              <w:t>Run climate record</w:t>
            </w:r>
          </w:p>
        </w:tc>
      </w:tr>
    </w:tbl>
    <w:p>
      <w:pPr>
        <w:spacing w:after="0"/>
      </w:pPr>
    </w:p>
    <w:p>
      <w:r>
        <w:br w:type="page"/>
      </w:r>
    </w:p>
    <w:p>
      <w:pPr>
        <w:pStyle w:val="Heading1"/>
      </w:pPr>
      <w:r>
        <w:rPr>
          <w:rFonts w:ascii="Arial" w:hAnsi="Arial"/>
          <w:b/>
          <w:color w:val="173F45"/>
          <w:sz w:val="36"/>
        </w:rPr>
        <w:t>9. Result and denominator contract</w:t>
      </w:r>
    </w:p>
    <w:p>
      <w:r>
        <w:rPr>
          <w:rFonts w:ascii="Georgia" w:hAnsi="Georgia"/>
          <w:color w:val="1B292A"/>
          <w:sz w:val="21"/>
        </w:rPr>
        <w:t>Every final metric will be presented with visible name, authoritative field, unit, period, denominator, precision and interpretation limit. Missing optional evidence is an em dash; a measured zero remains zero. Boolean, NaN, infinity and wrong-type values are never formatted as valid measurements.</w:t>
      </w:r>
    </w:p>
    <w:p>
      <w:pPr>
        <w:pStyle w:val="Heading2"/>
      </w:pPr>
      <w:r>
        <w:rPr>
          <w:rFonts w:ascii="Arial" w:hAnsi="Arial"/>
          <w:b/>
          <w:color w:val="1F5F67"/>
          <w:sz w:val="28"/>
        </w:rPr>
        <w:t>9.1 Principal energy quantities</w:t>
      </w:r>
    </w:p>
    <w:p>
      <w:r>
        <w:rPr>
          <w:rFonts w:ascii="Georgia" w:hAnsi="Georgia"/>
          <w:color w:val="1B292A"/>
          <w:sz w:val="21"/>
        </w:rPr>
        <w:t>Total site energy is the sum of simulated final energy admitted by the result contract. End-use reporting includes space heating, cooling, domestic hot water, fans, pumps, lighting and equipment where recorded. EnergyPlus ABUPS values originate in output meters; user-defined subcategories provide applicable splits [4].</w:t>
      </w:r>
    </w:p>
    <w:p>
      <w:pPr>
        <w:pStyle w:val="Heading2"/>
      </w:pPr>
      <w:r>
        <w:rPr>
          <w:rFonts w:ascii="Arial" w:hAnsi="Arial"/>
          <w:b/>
          <w:color w:val="1F5F67"/>
          <w:sz w:val="28"/>
        </w:rPr>
        <w:t>9.2 Area denominators</w:t>
      </w:r>
    </w:p>
    <w:p>
      <w:pPr>
        <w:keepLines/>
        <w:spacing w:after="60"/>
        <w:ind w:left="369" w:hanging="255"/>
      </w:pPr>
      <w:r>
        <w:rPr>
          <w:rFonts w:ascii="Georgia" w:hAnsi="Georgia"/>
          <w:color w:val="1B292A"/>
          <w:sz w:val="21"/>
        </w:rPr>
        <w:t>•</w:t>
        <w:tab/>
      </w:r>
      <w:r>
        <w:rPr>
          <w:rFonts w:ascii="Georgia" w:hAnsi="Georgia"/>
          <w:b/>
          <w:color w:val="1B292A"/>
          <w:sz w:val="21"/>
        </w:rPr>
        <w:t>Geometric residential area:</w:t>
      </w:r>
      <w:r>
        <w:rPr>
          <w:rFonts w:ascii="Georgia" w:hAnsi="Georgia"/>
          <w:color w:val="1B292A"/>
          <w:sz w:val="21"/>
        </w:rPr>
        <w:t xml:space="preserve"> modelled residential-storey basis used by the comparison convention.</w:t>
      </w:r>
    </w:p>
    <w:p>
      <w:pPr>
        <w:keepLines/>
        <w:spacing w:after="60"/>
        <w:ind w:left="369" w:hanging="255"/>
      </w:pPr>
      <w:r>
        <w:rPr>
          <w:rFonts w:ascii="Georgia" w:hAnsi="Georgia"/>
          <w:color w:val="1B292A"/>
          <w:sz w:val="21"/>
        </w:rPr>
        <w:t>•</w:t>
        <w:tab/>
      </w:r>
      <w:r>
        <w:rPr>
          <w:rFonts w:ascii="Georgia" w:hAnsi="Georgia"/>
          <w:b/>
          <w:color w:val="1B292A"/>
          <w:sz w:val="21"/>
        </w:rPr>
        <w:t>Cadastral residential area:</w:t>
      </w:r>
      <w:r>
        <w:rPr>
          <w:rFonts w:ascii="Georgia" w:hAnsi="Georgia"/>
          <w:color w:val="1B292A"/>
          <w:sz w:val="21"/>
        </w:rPr>
        <w:t xml:space="preserve"> Tipo15 administrative area where available.</w:t>
      </w:r>
    </w:p>
    <w:p>
      <w:pPr>
        <w:keepLines/>
        <w:spacing w:after="60"/>
        <w:ind w:left="369" w:hanging="255"/>
      </w:pPr>
      <w:r>
        <w:rPr>
          <w:rFonts w:ascii="Georgia" w:hAnsi="Georgia"/>
          <w:color w:val="1B292A"/>
          <w:sz w:val="21"/>
        </w:rPr>
        <w:t>•</w:t>
        <w:tab/>
      </w:r>
      <w:r>
        <w:rPr>
          <w:rFonts w:ascii="Georgia" w:hAnsi="Georgia"/>
          <w:b/>
          <w:color w:val="1B292A"/>
          <w:sz w:val="21"/>
        </w:rPr>
        <w:t>Conditioned area:</w:t>
      </w:r>
      <w:r>
        <w:rPr>
          <w:rFonts w:ascii="Georgia" w:hAnsi="Georgia"/>
          <w:color w:val="1B292A"/>
          <w:sz w:val="21"/>
        </w:rPr>
        <w:t xml:space="preserve"> all conditioned model area, including applicable non-residential space.</w:t>
      </w:r>
    </w:p>
    <w:p>
      <w:pPr>
        <w:keepLines/>
        <w:spacing w:after="60"/>
        <w:ind w:left="369" w:hanging="255"/>
      </w:pPr>
      <w:r>
        <w:rPr>
          <w:rFonts w:ascii="Georgia" w:hAnsi="Georgia"/>
          <w:color w:val="1B292A"/>
          <w:sz w:val="21"/>
        </w:rPr>
        <w:t>•</w:t>
        <w:tab/>
      </w:r>
      <w:r>
        <w:rPr>
          <w:rFonts w:ascii="Georgia" w:hAnsi="Georgia"/>
          <w:b/>
          <w:color w:val="1B292A"/>
          <w:sz w:val="21"/>
        </w:rPr>
        <w:t>Residential-attributed upper bound:</w:t>
      </w:r>
      <w:r>
        <w:rPr>
          <w:rFonts w:ascii="Georgia" w:hAnsi="Georgia"/>
          <w:color w:val="1B292A"/>
          <w:sz w:val="21"/>
        </w:rPr>
        <w:t xml:space="preserve"> energy remaining after separable commercial categories are removed; not exact attribution.</w:t>
      </w:r>
    </w:p>
    <w:p>
      <w:r>
        <w:rPr>
          <w:rFonts w:ascii="Georgia" w:hAnsi="Georgia"/>
          <w:color w:val="1B292A"/>
          <w:sz w:val="21"/>
        </w:rPr>
        <w:t>Whole-site energy divided by residential-only area is a comparison convention. It can include commercial ground-floor energy in the numerator while excluding that floor from the denominator. This is not the physical intensity of all conditioned space.</w:t>
      </w:r>
    </w:p>
    <w:p>
      <w:r>
        <w:br w:type="page"/>
      </w:r>
    </w:p>
    <w:p>
      <w:pPr>
        <w:pStyle w:val="Heading1"/>
      </w:pPr>
      <w:r>
        <w:rPr>
          <w:rFonts w:ascii="Arial" w:hAnsi="Arial"/>
          <w:b/>
          <w:color w:val="173F45"/>
          <w:sz w:val="36"/>
        </w:rPr>
        <w:t>10. Operational carbon</w:t>
      </w:r>
    </w:p>
    <w:p>
      <w:r>
        <w:rPr>
          <w:rFonts w:ascii="Georgia" w:hAnsi="Georgia"/>
          <w:color w:val="1B292A"/>
          <w:sz w:val="21"/>
        </w:rPr>
        <w:t>Operational emissions are derived from simulated final energy using the recorded project factors: 0.331 kgCO₂/kWh_final for electricity and 0.252 kgCO₂/kWh_final for natural gas [5]. The final table will reconcile building-level carbon fields with settled aggregate totals.</w:t>
      </w:r>
    </w:p>
    <w:p>
      <w:r>
        <w:rPr>
          <w:rFonts w:ascii="Georgia" w:hAnsi="Georgia"/>
          <w:color w:val="1B292A"/>
          <w:sz w:val="21"/>
        </w:rPr>
        <w:t>The result excludes embodied carbon and is not a measured emissions inventory. Factors may not represent another reporting year, electricity supplier or marginal-emissions question. Carbon figures will remain tied to the annual period and the stated energy basis.</w:t>
      </w:r>
    </w:p>
    <w:p>
      <w:pPr>
        <w:pStyle w:val="Caption"/>
        <w:keepNext/>
        <w:spacing w:before="80" w:after="80"/>
      </w:pPr>
      <w:r>
        <w:rPr>
          <w:rFonts w:ascii="Arial" w:hAnsi="Arial"/>
          <w:b/>
          <w:color w:val="5B696A"/>
          <w:sz w:val="17"/>
        </w:rPr>
        <w:t>Table 6. Operational carbon</w:t>
      </w:r>
    </w:p>
    <w:tbl>
      <w:tblPr>
        <w:tblStyle w:val="TableGrid"/>
        <w:tblW w:type="dxa" w:w="10175"/>
        <w:jc w:val="left"/>
        <w:tblLayout w:type="fixed"/>
        <w:tblLook w:firstColumn="1" w:firstRow="1" w:lastColumn="0" w:lastRow="0" w:noHBand="0" w:noVBand="1" w:val="04A0"/>
        <w:tblInd w:w="120" w:type="dxa"/>
      </w:tblPr>
      <w:tblGrid>
        <w:gridCol w:w="2200"/>
        <w:gridCol w:w="2658"/>
        <w:gridCol w:w="2658"/>
        <w:gridCol w:w="2659"/>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Carbon quantity</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Unit</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2659"/>
            <w:tcMar>
              <w:top w:w="90" w:type="dxa"/>
              <w:start w:w="120" w:type="dxa"/>
              <w:bottom w:w="90" w:type="dxa"/>
              <w:end w:w="120" w:type="dxa"/>
            </w:tcMar>
            <w:vAlign w:val="center"/>
            <w:shd w:fill="E8F1F1"/>
          </w:tcPr>
          <w:p>
            <w:pPr>
              <w:spacing w:after="0"/>
            </w:pPr>
            <w:r>
              <w:rPr>
                <w:rFonts w:ascii="Arial" w:hAnsi="Arial"/>
                <w:b/>
                <w:color w:val="173F45"/>
                <w:sz w:val="17"/>
              </w:rPr>
              <w:t>Final value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operational carbon</w:t>
            </w:r>
          </w:p>
        </w:tc>
        <w:tc>
          <w:tcPr>
            <w:tcW w:type="dxa" w:w="2658"/>
            <w:tcMar>
              <w:top w:w="90" w:type="dxa"/>
              <w:start w:w="120" w:type="dxa"/>
              <w:bottom w:w="90" w:type="dxa"/>
              <w:end w:w="120" w:type="dxa"/>
            </w:tcMar>
            <w:vAlign w:val="center"/>
          </w:tcPr>
          <w:p>
            <w:pPr>
              <w:spacing w:after="0"/>
            </w:pPr>
            <w:r>
              <w:rPr>
                <w:rFonts w:ascii="Arial" w:hAnsi="Arial"/>
                <w:color w:val="1B292A"/>
                <w:sz w:val="17"/>
              </w:rPr>
              <w:t>tCO₂/year</w:t>
            </w:r>
          </w:p>
        </w:tc>
        <w:tc>
          <w:tcPr>
            <w:tcW w:type="dxa" w:w="2658"/>
            <w:tcMar>
              <w:top w:w="90" w:type="dxa"/>
              <w:start w:w="120" w:type="dxa"/>
              <w:bottom w:w="90" w:type="dxa"/>
              <w:end w:w="120" w:type="dxa"/>
            </w:tcMar>
            <w:vAlign w:val="center"/>
          </w:tcPr>
          <w:p>
            <w:pPr>
              <w:spacing w:after="0"/>
            </w:pPr>
            <w:r>
              <w:rPr>
                <w:rFonts w:ascii="Arial" w:hAnsi="Arial"/>
                <w:color w:val="1B292A"/>
                <w:sz w:val="17"/>
              </w:rPr>
              <w:t>None</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 intensity</w:t>
            </w:r>
          </w:p>
        </w:tc>
        <w:tc>
          <w:tcPr>
            <w:tcW w:type="dxa" w:w="2658"/>
            <w:tcMar>
              <w:top w:w="90" w:type="dxa"/>
              <w:start w:w="120" w:type="dxa"/>
              <w:bottom w:w="90" w:type="dxa"/>
              <w:end w:w="120" w:type="dxa"/>
            </w:tcMar>
            <w:vAlign w:val="center"/>
          </w:tcPr>
          <w:p>
            <w:pPr>
              <w:spacing w:after="0"/>
            </w:pPr>
            <w:r>
              <w:rPr>
                <w:rFonts w:ascii="Arial" w:hAnsi="Arial"/>
                <w:color w:val="1B292A"/>
                <w:sz w:val="17"/>
              </w:rPr>
              <w:t>kgCO₂/m²·year</w:t>
            </w:r>
          </w:p>
        </w:tc>
        <w:tc>
          <w:tcPr>
            <w:tcW w:type="dxa" w:w="2658"/>
            <w:tcMar>
              <w:top w:w="90" w:type="dxa"/>
              <w:start w:w="120" w:type="dxa"/>
              <w:bottom w:w="90" w:type="dxa"/>
              <w:end w:w="120" w:type="dxa"/>
            </w:tcMar>
            <w:vAlign w:val="center"/>
          </w:tcPr>
          <w:p>
            <w:pPr>
              <w:spacing w:after="0"/>
            </w:pPr>
            <w:r>
              <w:rPr>
                <w:rFonts w:ascii="Arial" w:hAnsi="Arial"/>
                <w:color w:val="1B292A"/>
                <w:sz w:val="17"/>
              </w:rPr>
              <w:t>Named building area</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HVAC operational carbon</w:t>
            </w:r>
          </w:p>
        </w:tc>
        <w:tc>
          <w:tcPr>
            <w:tcW w:type="dxa" w:w="2658"/>
            <w:tcMar>
              <w:top w:w="90" w:type="dxa"/>
              <w:start w:w="120" w:type="dxa"/>
              <w:bottom w:w="90" w:type="dxa"/>
              <w:end w:w="120" w:type="dxa"/>
            </w:tcMar>
            <w:vAlign w:val="center"/>
          </w:tcPr>
          <w:p>
            <w:pPr>
              <w:spacing w:after="0"/>
            </w:pPr>
            <w:r>
              <w:rPr>
                <w:rFonts w:ascii="Arial" w:hAnsi="Arial"/>
                <w:color w:val="1B292A"/>
                <w:sz w:val="17"/>
              </w:rPr>
              <w:t>tCO₂/year or kgCO₂/m²·year</w:t>
            </w:r>
          </w:p>
        </w:tc>
        <w:tc>
          <w:tcPr>
            <w:tcW w:type="dxa" w:w="2658"/>
            <w:tcMar>
              <w:top w:w="90" w:type="dxa"/>
              <w:start w:w="120" w:type="dxa"/>
              <w:bottom w:w="90" w:type="dxa"/>
              <w:end w:w="120" w:type="dxa"/>
            </w:tcMar>
            <w:vAlign w:val="center"/>
          </w:tcPr>
          <w:p>
            <w:pPr>
              <w:spacing w:after="0"/>
            </w:pPr>
            <w:r>
              <w:rPr>
                <w:rFonts w:ascii="Arial" w:hAnsi="Arial"/>
                <w:color w:val="1B292A"/>
                <w:sz w:val="17"/>
              </w:rPr>
              <w:t>Named total/area</w:t>
            </w:r>
          </w:p>
        </w:tc>
        <w:tc>
          <w:tcPr>
            <w:tcW w:type="dxa" w:w="2659"/>
            <w:tcMar>
              <w:top w:w="90" w:type="dxa"/>
              <w:start w:w="120" w:type="dxa"/>
              <w:bottom w:w="90" w:type="dxa"/>
              <w:end w:w="120" w:type="dxa"/>
            </w:tcMar>
            <w:vAlign w:val="center"/>
          </w:tcPr>
          <w:p>
            <w:pPr>
              <w:spacing w:after="0"/>
            </w:pPr>
            <w:r>
              <w:rPr>
                <w:rFonts w:ascii="Arial" w:hAnsi="Arial"/>
                <w:color w:val="1B292A"/>
                <w:sz w:val="17"/>
              </w:rPr>
              <w:t>Pending</w:t>
            </w:r>
          </w:p>
        </w:tc>
      </w:tr>
    </w:tbl>
    <w:p>
      <w:pPr>
        <w:spacing w:after="0"/>
      </w:pPr>
    </w:p>
    <w:p>
      <w:r>
        <w:br w:type="page"/>
      </w:r>
    </w:p>
    <w:p>
      <w:pPr>
        <w:pStyle w:val="Heading1"/>
      </w:pPr>
      <w:r>
        <w:rPr>
          <w:rFonts w:ascii="Arial" w:hAnsi="Arial"/>
          <w:b/>
          <w:color w:val="173F45"/>
          <w:sz w:val="36"/>
        </w:rPr>
        <w:t>11. Coverage, failures and exclusions</w:t>
      </w:r>
    </w:p>
    <w:p>
      <w:r>
        <w:rPr>
          <w:rFonts w:ascii="Georgia" w:hAnsi="Georgia"/>
          <w:color w:val="1B292A"/>
          <w:sz w:val="21"/>
        </w:rPr>
        <w:t>Coverage is reported as successful result count divided by buildings in scope, together with failed, QA-rejected and excluded counts. A high percentage does not prove absence of bias. Missing buildings may differ systematically in size, cluster, geometry or use.</w:t>
      </w:r>
    </w:p>
    <w:p>
      <w:r>
        <w:rPr>
          <w:rFonts w:ascii="Georgia" w:hAnsi="Georgia"/>
          <w:color w:val="1B292A"/>
          <w:sz w:val="21"/>
        </w:rPr>
        <w:t>When a common cadastral-area basis exists for represented and missing records, the report may size potential truncation under the recorded convention. Otherwise the correct statement is that truncation is unquantified; it is never “no bias.”</w:t>
      </w:r>
    </w:p>
    <w:p>
      <w:pPr>
        <w:pStyle w:val="Caption"/>
        <w:keepNext/>
        <w:spacing w:before="80" w:after="80"/>
      </w:pPr>
      <w:r>
        <w:rPr>
          <w:rFonts w:ascii="Arial" w:hAnsi="Arial"/>
          <w:b/>
          <w:color w:val="5B696A"/>
          <w:sz w:val="17"/>
        </w:rPr>
        <w:t>Table 7. Coverage, failures and exclusions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Scope accounting</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count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 in scope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Runnable after preflight</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Successful latest records</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Runtime failed</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QA rejected</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Pre-simulation excluded</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Coverage percentage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rPr>
          <w:rFonts w:ascii="Georgia" w:hAnsi="Georgia"/>
          <w:color w:val="1B292A"/>
          <w:sz w:val="21"/>
        </w:rPr>
        <w:t>Failure and exclusion reasons will be grouped without erasing their references. Repeated attempts are resolved by latest-record semantics; attempts are not double-counted as buildings.</w:t>
      </w:r>
    </w:p>
    <w:p>
      <w:r>
        <w:br w:type="page"/>
      </w:r>
    </w:p>
    <w:p>
      <w:pPr>
        <w:pStyle w:val="Heading1"/>
      </w:pPr>
      <w:r>
        <w:rPr>
          <w:rFonts w:ascii="Arial" w:hAnsi="Arial"/>
          <w:b/>
          <w:color w:val="173F45"/>
          <w:sz w:val="36"/>
        </w:rPr>
        <w:t>12. Quality assurance and diagnostics</w:t>
      </w:r>
    </w:p>
    <w:p>
      <w:r>
        <w:rPr>
          <w:rFonts w:ascii="Georgia" w:hAnsi="Georgia"/>
          <w:color w:val="1B292A"/>
          <w:sz w:val="21"/>
        </w:rPr>
        <w:t xml:space="preserve">The building QA matrix compares expected model evidence, observed EnergyPlus evidence or accepted method interval, criterion and result. Stored ratio tolerances are reported in reader-facing units: </w:t>
      </w:r>
      <w:r>
        <w:rPr>
          <w:rFonts w:ascii="Courier New" w:hAnsi="Courier New"/>
          <w:color w:val="173F45"/>
          <w:sz w:val="19"/>
        </w:rPr>
        <w:t>0.005</w:t>
      </w:r>
      <w:r>
        <w:rPr>
          <w:rFonts w:ascii="Georgia" w:hAnsi="Georgia"/>
          <w:color w:val="1B292A"/>
          <w:sz w:val="21"/>
        </w:rPr>
        <w:t xml:space="preserve"> as ±0.5%, </w:t>
      </w:r>
      <w:r>
        <w:rPr>
          <w:rFonts w:ascii="Courier New" w:hAnsi="Courier New"/>
          <w:color w:val="173F45"/>
          <w:sz w:val="19"/>
        </w:rPr>
        <w:t>0.02</w:t>
      </w:r>
      <w:r>
        <w:rPr>
          <w:rFonts w:ascii="Georgia" w:hAnsi="Georgia"/>
          <w:color w:val="1B292A"/>
          <w:sz w:val="21"/>
        </w:rPr>
        <w:t xml:space="preserve"> as ±2%, and annual unmet hours as ≤500 h.</w:t>
      </w:r>
    </w:p>
    <w:p>
      <w:r>
        <w:rPr>
          <w:rFonts w:ascii="Georgia" w:hAnsi="Georgia"/>
          <w:color w:val="1B292A"/>
          <w:sz w:val="21"/>
        </w:rPr>
        <w:t>Some checks compare the built model with EnergyPlus output. A plausibility-band check evaluates the method against a research range and is not mislabelled as an EnergyPlus cross-check.</w:t>
      </w:r>
    </w:p>
    <w:p>
      <w:pPr>
        <w:pStyle w:val="Heading2"/>
      </w:pPr>
      <w:r>
        <w:rPr>
          <w:rFonts w:ascii="Arial" w:hAnsi="Arial"/>
          <w:b/>
          <w:color w:val="1F5F67"/>
          <w:sz w:val="28"/>
        </w:rPr>
        <w:t>12.1 Diagnostic classification</w:t>
      </w:r>
    </w:p>
    <w:p>
      <w:r>
        <w:rPr>
          <w:rFonts w:ascii="Georgia" w:hAnsi="Georgia"/>
          <w:color w:val="1B292A"/>
          <w:sz w:val="21"/>
        </w:rPr>
        <w:t xml:space="preserve">EnergyPlus Severe messages generally require correction [7]. BSEW can accept only a narrowly recorded project-classified benign pattern when all QA checks pass and no Fatal or unexplained Severe remains. Such a building is </w:t>
      </w:r>
      <w:r>
        <w:rPr>
          <w:rFonts w:ascii="Georgia" w:hAnsi="Georgia"/>
          <w:b/>
          <w:color w:val="1B292A"/>
          <w:sz w:val="21"/>
        </w:rPr>
        <w:t>ACCEPTED WITH CLASSIFIED DIAGNOSTICS</w:t>
      </w:r>
      <w:r>
        <w:rPr>
          <w:rFonts w:ascii="Georgia" w:hAnsi="Georgia"/>
          <w:color w:val="1B292A"/>
          <w:sz w:val="21"/>
        </w:rPr>
        <w:t>, not PASS. The final report will disclose message markers, counts and the project-specific acceptance rule.</w:t>
      </w:r>
    </w:p>
    <w:p>
      <w:pPr>
        <w:pStyle w:val="Caption"/>
        <w:keepNext/>
        <w:spacing w:before="80" w:after="80"/>
      </w:pPr>
      <w:r>
        <w:rPr>
          <w:rFonts w:ascii="Arial" w:hAnsi="Arial"/>
          <w:b/>
          <w:color w:val="5B696A"/>
          <w:sz w:val="17"/>
        </w:rPr>
        <w:t>Table 8. Diagnostic classification</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QA/diagnostic evidence</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result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QA rejected buildings</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Accepted rows with classified benign Severe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Unexplained Severe</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Fatal</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Occupancy plausibility flags</w:t>
            </w:r>
          </w:p>
        </w:tc>
        <w:tc>
          <w:tcPr>
            <w:tcW w:type="dxa" w:w="73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br w:type="page"/>
      </w:r>
    </w:p>
    <w:p>
      <w:pPr>
        <w:pStyle w:val="Heading1"/>
      </w:pPr>
      <w:r>
        <w:rPr>
          <w:rFonts w:ascii="Arial" w:hAnsi="Arial"/>
          <w:b/>
          <w:color w:val="173F45"/>
          <w:sz w:val="36"/>
        </w:rPr>
        <w:t>13. Aggregate results and cluster interpretation</w:t>
      </w:r>
    </w:p>
    <w:p>
      <w:r>
        <w:rPr>
          <w:rFonts w:ascii="Georgia" w:hAnsi="Georgia"/>
          <w:color w:val="1B292A"/>
          <w:sz w:val="21"/>
        </w:rPr>
        <w:t>The final results table will report energy and operational carbon only after settlement. Cluster rows will include building count, residential area, total site energy and the available geometric/cadastral intensities. Rai comparison columns will be shown only where the published comparison exists and the denominator is aligned.</w:t>
      </w:r>
    </w:p>
    <w:p>
      <w:r>
        <w:rPr>
          <w:rFonts w:ascii="Georgia" w:hAnsi="Georgia"/>
          <w:color w:val="1B292A"/>
          <w:sz w:val="21"/>
        </w:rPr>
        <w:t>Cluster intensity is energy divided by the corresponding total area. It is not the arithmetic mean of building intensity. A difference from the Rai reference is a method/reference comparison, not calibration against utility observations.</w:t>
      </w:r>
    </w:p>
    <w:p>
      <w:pPr>
        <w:pStyle w:val="Caption"/>
        <w:keepNext/>
        <w:spacing w:before="80" w:after="80"/>
      </w:pPr>
      <w:r>
        <w:rPr>
          <w:rFonts w:ascii="Arial" w:hAnsi="Arial"/>
          <w:b/>
          <w:color w:val="5B696A"/>
          <w:sz w:val="17"/>
        </w:rPr>
        <w:t>Table 9. Aggregate results and cluster interpretation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Result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basis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Final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Total site energy</w:t>
            </w:r>
          </w:p>
        </w:tc>
        <w:tc>
          <w:tcPr>
            <w:tcW w:type="dxa" w:w="3000"/>
            <w:tcMar>
              <w:top w:w="90" w:type="dxa"/>
              <w:start w:w="120" w:type="dxa"/>
              <w:bottom w:w="90" w:type="dxa"/>
              <w:end w:w="120" w:type="dxa"/>
            </w:tcMar>
            <w:vAlign w:val="center"/>
          </w:tcPr>
          <w:p>
            <w:pPr>
              <w:spacing w:after="0"/>
            </w:pPr>
            <w:r>
              <w:rPr>
                <w:rFonts w:ascii="Arial" w:hAnsi="Arial"/>
                <w:color w:val="1B292A"/>
                <w:sz w:val="18"/>
              </w:rPr>
              <w:t>GWh/year, represented stock</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Space heating</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Cooling</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Domestic hot water</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geometric residential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cadastral residential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conditioned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Operational carbon</w:t>
            </w:r>
          </w:p>
        </w:tc>
        <w:tc>
          <w:tcPr>
            <w:tcW w:type="dxa" w:w="3000"/>
            <w:tcMar>
              <w:top w:w="90" w:type="dxa"/>
              <w:start w:w="120" w:type="dxa"/>
              <w:bottom w:w="90" w:type="dxa"/>
              <w:end w:w="120" w:type="dxa"/>
            </w:tcMar>
            <w:vAlign w:val="center"/>
          </w:tcPr>
          <w:p>
            <w:pPr>
              <w:spacing w:after="0"/>
            </w:pPr>
            <w:r>
              <w:rPr>
                <w:rFonts w:ascii="Arial" w:hAnsi="Arial"/>
                <w:color w:val="1B292A"/>
                <w:sz w:val="18"/>
              </w:rPr>
              <w:t>tCO₂/year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br w:type="page"/>
      </w:r>
    </w:p>
    <w:p>
      <w:pPr>
        <w:pStyle w:val="Heading1"/>
      </w:pPr>
      <w:r>
        <w:rPr>
          <w:rFonts w:ascii="Arial" w:hAnsi="Arial"/>
          <w:b/>
          <w:color w:val="173F45"/>
          <w:sz w:val="36"/>
        </w:rPr>
        <w:t>14. Spatial evidence and exports</w:t>
      </w:r>
    </w:p>
    <w:p>
      <w:r>
        <w:rPr>
          <w:rFonts w:ascii="Georgia" w:hAnsi="Georgia"/>
          <w:color w:val="1B292A"/>
          <w:sz w:val="21"/>
        </w:rPr>
        <w:t>The final GeoPackage will be checked against the GeoPackage encoding contract [8] for CRS, feature count, one feature per latest building reference, null-energy representation of failed/excluded records, context fields, derived per-person/per-dwelling fields, cluster/district layers and supplied QGIS style.</w:t>
      </w:r>
    </w:p>
    <w:p>
      <w:r>
        <w:rPr>
          <w:rFonts w:ascii="Georgia" w:hAnsi="Georgia"/>
          <w:color w:val="1B292A"/>
          <w:sz w:val="21"/>
        </w:rPr>
        <w:t>The heat map is a publication-oriented image. Its caption will identify run, annual period, metric, denominator, coverage, colour-scale clipping and the simulated-not-measured boundary. Buildings without results will remain visible in a separate status treatment. Distant valid geometries will not be silently cropped from every view.</w:t>
      </w:r>
    </w:p>
    <w:p>
      <w:r>
        <w:rPr>
          <w:rFonts w:ascii="Georgia" w:hAnsi="Georgia"/>
          <w:color w:val="1B292A"/>
          <w:sz w:val="21"/>
        </w:rPr>
        <w:t>The Building CSV is the authoritative row-level analysis export after schema correction. Final acceptance will compare its headers and latest-record contents with the grouped User Guide field appendix. Absolute local paths will not appear in the curated publication schema.</w:t>
      </w:r>
    </w:p>
    <w:p>
      <w:pPr>
        <w:pStyle w:val="Heading2"/>
      </w:pPr>
      <w:r>
        <w:rPr>
          <w:rFonts w:ascii="Arial" w:hAnsi="Arial"/>
          <w:b/>
          <w:color w:val="1F5F67"/>
          <w:sz w:val="28"/>
        </w:rPr>
        <w:t>14.1 Export integrity</w:t>
      </w:r>
    </w:p>
    <w:p>
      <w:r>
        <w:rPr>
          <w:rFonts w:ascii="Georgia" w:hAnsi="Georgia"/>
          <w:color w:val="1B292A"/>
          <w:sz w:val="21"/>
        </w:rPr>
        <w:t>Every DOCX/PDF/HTML report, CSV, GeoPackage, heat map and evidence manifest will receive SHA-256. Signed packages contain an Ed25519 manifest. Hash/signature verification establishes integrity, not scientific validity.</w:t>
      </w:r>
    </w:p>
    <w:p>
      <w:r>
        <w:br w:type="page"/>
      </w:r>
    </w:p>
    <w:p>
      <w:pPr>
        <w:pStyle w:val="Heading1"/>
      </w:pPr>
      <w:r>
        <w:rPr>
          <w:rFonts w:ascii="Arial" w:hAnsi="Arial"/>
          <w:b/>
          <w:color w:val="173F45"/>
          <w:sz w:val="36"/>
        </w:rPr>
        <w:t>15. Reproducible representative-building selection</w:t>
      </w:r>
    </w:p>
    <w:p>
      <w:r>
        <w:rPr>
          <w:rFonts w:ascii="Georgia" w:hAnsi="Georgia"/>
          <w:color w:val="1B292A"/>
          <w:sz w:val="21"/>
        </w:rPr>
        <w:t>The final report will select up to six references by deterministic rules applied to settled latest records. Duplicate selections are removed in the order below and the exact algorithm, source hash and selected references are preserved in the evidence manifest.</w:t>
      </w:r>
    </w:p>
    <w:p>
      <w:pPr>
        <w:keepLines/>
        <w:spacing w:after="60"/>
        <w:ind w:left="369" w:hanging="255"/>
      </w:pPr>
      <w:r>
        <w:rPr>
          <w:rFonts w:ascii="Georgia" w:hAnsi="Georgia"/>
          <w:color w:val="1B292A"/>
          <w:sz w:val="21"/>
        </w:rPr>
        <w:t>1.</w:t>
        <w:tab/>
      </w:r>
      <w:r>
        <w:rPr>
          <w:rFonts w:ascii="Georgia" w:hAnsi="Georgia"/>
          <w:color w:val="1B292A"/>
          <w:sz w:val="21"/>
        </w:rPr>
        <w:t>Successful building nearest the median valid total-site intensity.</w:t>
      </w:r>
    </w:p>
    <w:p>
      <w:pPr>
        <w:keepLines/>
        <w:spacing w:after="60"/>
        <w:ind w:left="369" w:hanging="255"/>
      </w:pPr>
      <w:r>
        <w:rPr>
          <w:rFonts w:ascii="Georgia" w:hAnsi="Georgia"/>
          <w:color w:val="1B292A"/>
          <w:sz w:val="21"/>
        </w:rPr>
        <w:t>2.</w:t>
        <w:tab/>
      </w:r>
      <w:r>
        <w:rPr>
          <w:rFonts w:ascii="Georgia" w:hAnsi="Georgia"/>
          <w:color w:val="1B292A"/>
          <w:sz w:val="21"/>
        </w:rPr>
        <w:t>Successful building nearest the fifth percentile.</w:t>
      </w:r>
    </w:p>
    <w:p>
      <w:pPr>
        <w:keepLines/>
        <w:spacing w:after="60"/>
        <w:ind w:left="369" w:hanging="255"/>
      </w:pPr>
      <w:r>
        <w:rPr>
          <w:rFonts w:ascii="Georgia" w:hAnsi="Georgia"/>
          <w:color w:val="1B292A"/>
          <w:sz w:val="21"/>
        </w:rPr>
        <w:t>3.</w:t>
        <w:tab/>
      </w:r>
      <w:r>
        <w:rPr>
          <w:rFonts w:ascii="Georgia" w:hAnsi="Georgia"/>
          <w:color w:val="1B292A"/>
          <w:sz w:val="21"/>
        </w:rPr>
        <w:t>Successful building nearest the ninety-fifth percentile.</w:t>
      </w:r>
    </w:p>
    <w:p>
      <w:pPr>
        <w:keepLines/>
        <w:spacing w:after="60"/>
        <w:ind w:left="369" w:hanging="255"/>
      </w:pPr>
      <w:r>
        <w:rPr>
          <w:rFonts w:ascii="Georgia" w:hAnsi="Georgia"/>
          <w:color w:val="1B292A"/>
          <w:sz w:val="21"/>
        </w:rPr>
        <w:t>4.</w:t>
        <w:tab/>
      </w:r>
      <w:r>
        <w:rPr>
          <w:rFonts w:ascii="Georgia" w:hAnsi="Georgia"/>
          <w:color w:val="1B292A"/>
          <w:sz w:val="21"/>
        </w:rPr>
        <w:t>Successful building with the greatest total-site energy contribution.</w:t>
      </w:r>
    </w:p>
    <w:p>
      <w:pPr>
        <w:keepLines/>
        <w:spacing w:after="60"/>
        <w:ind w:left="369" w:hanging="255"/>
      </w:pPr>
      <w:r>
        <w:rPr>
          <w:rFonts w:ascii="Georgia" w:hAnsi="Georgia"/>
          <w:color w:val="1B292A"/>
          <w:sz w:val="21"/>
        </w:rPr>
        <w:t>5.</w:t>
        <w:tab/>
      </w:r>
      <w:r>
        <w:rPr>
          <w:rFonts w:ascii="Georgia" w:hAnsi="Georgia"/>
          <w:color w:val="1B292A"/>
          <w:sz w:val="21"/>
        </w:rPr>
        <w:t>Accepted building carrying a recorded occupancy or classified-diagnostic flag, if available.</w:t>
      </w:r>
    </w:p>
    <w:p>
      <w:pPr>
        <w:keepLines/>
        <w:spacing w:after="60"/>
        <w:ind w:left="369" w:hanging="255"/>
      </w:pPr>
      <w:r>
        <w:rPr>
          <w:rFonts w:ascii="Georgia" w:hAnsi="Georgia"/>
          <w:color w:val="1B292A"/>
          <w:sz w:val="21"/>
        </w:rPr>
        <w:t>6.</w:t>
        <w:tab/>
      </w:r>
      <w:r>
        <w:rPr>
          <w:rFonts w:ascii="Georgia" w:hAnsi="Georgia"/>
          <w:color w:val="1B292A"/>
          <w:sz w:val="21"/>
        </w:rPr>
        <w:t>One failed or excluded reference representing the most frequent non-success reason, if available.</w:t>
      </w:r>
    </w:p>
    <w:p>
      <w:r>
        <w:rPr>
          <w:rFonts w:ascii="Georgia" w:hAnsi="Georgia"/>
          <w:color w:val="1B292A"/>
          <w:sz w:val="21"/>
        </w:rPr>
        <w:t>For successful examples, the report will show identity, cluster, area bases, energy, carbon, occupancy, geometry, QA status, diagnostic status and links/hashes for readable and technical evidence. The failed/excluded example will not be assigned energy; it will document the failure stage and reason.</w:t>
      </w:r>
    </w:p>
    <w:p>
      <w:pPr>
        <w:pStyle w:val="Caption"/>
        <w:keepNext/>
        <w:spacing w:before="80" w:after="80"/>
      </w:pPr>
      <w:r>
        <w:rPr>
          <w:rFonts w:ascii="Arial" w:hAnsi="Arial"/>
          <w:b/>
          <w:color w:val="5B696A"/>
          <w:sz w:val="17"/>
        </w:rPr>
        <w:t>Table 10. Reproducible representative-building selection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Selection role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Reference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Evidence status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Median-nearest</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P5-nearest</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P95-nearest</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Highest total contribution</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Flagged accepted example</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Failed/excluded example</w:t>
            </w:r>
          </w:p>
        </w:tc>
        <w:tc>
          <w:tcPr>
            <w:tcW w:type="dxa" w:w="3000"/>
            <w:tcMar>
              <w:top w:w="90" w:type="dxa"/>
              <w:start w:w="120" w:type="dxa"/>
              <w:bottom w:w="90" w:type="dxa"/>
              <w:end w:w="120" w:type="dxa"/>
            </w:tcMar>
            <w:vAlign w:val="center"/>
          </w:tcPr>
          <w:p>
            <w:pPr>
              <w:spacing w:after="0"/>
            </w:pPr>
            <w:r>
              <w:rPr>
                <w:rFonts w:ascii="Arial" w:hAnsi="Arial"/>
                <w:color w:val="1B292A"/>
                <w:sz w:val="18"/>
              </w:rPr>
              <w:t>Pending settled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Pending</w:t>
            </w:r>
          </w:p>
        </w:tc>
      </w:tr>
    </w:tbl>
    <w:p>
      <w:pPr>
        <w:spacing w:after="0"/>
      </w:pPr>
    </w:p>
    <w:p>
      <w:r>
        <w:br w:type="page"/>
      </w:r>
    </w:p>
    <w:p>
      <w:pPr>
        <w:pStyle w:val="Heading1"/>
      </w:pPr>
      <w:r>
        <w:rPr>
          <w:rFonts w:ascii="Arial" w:hAnsi="Arial"/>
          <w:b/>
          <w:color w:val="173F45"/>
          <w:sz w:val="36"/>
        </w:rPr>
        <w:t>16. Limitations and responsible use</w:t>
      </w:r>
    </w:p>
    <w:p>
      <w:r>
        <w:rPr>
          <w:rFonts w:ascii="Georgia" w:hAnsi="Georgia"/>
          <w:color w:val="1B292A"/>
          <w:sz w:val="21"/>
        </w:rPr>
        <w:t>The final interpretation will retain the following limits beside affected findings:</w:t>
      </w:r>
    </w:p>
    <w:p>
      <w:pPr>
        <w:keepLines/>
        <w:spacing w:after="60"/>
        <w:ind w:left="369" w:hanging="255"/>
      </w:pPr>
      <w:r>
        <w:rPr>
          <w:rFonts w:ascii="Georgia" w:hAnsi="Georgia"/>
          <w:color w:val="1B292A"/>
          <w:sz w:val="21"/>
        </w:rPr>
        <w:t>•</w:t>
        <w:tab/>
      </w:r>
      <w:r>
        <w:rPr>
          <w:rFonts w:ascii="Georgia" w:hAnsi="Georgia"/>
          <w:color w:val="1B292A"/>
          <w:sz w:val="21"/>
        </w:rPr>
        <w:t>cadastral geometry, use and area are administrative evidence with measurement/allocation limits;</w:t>
      </w:r>
    </w:p>
    <w:p>
      <w:pPr>
        <w:keepLines/>
        <w:spacing w:after="60"/>
        <w:ind w:left="369" w:hanging="255"/>
      </w:pPr>
      <w:r>
        <w:rPr>
          <w:rFonts w:ascii="Georgia" w:hAnsi="Georgia"/>
          <w:color w:val="1B292A"/>
          <w:sz w:val="21"/>
        </w:rPr>
        <w:t>•</w:t>
        <w:tab/>
      </w:r>
      <w:r>
        <w:rPr>
          <w:rFonts w:ascii="Georgia" w:hAnsi="Georgia"/>
          <w:color w:val="1B292A"/>
          <w:sz w:val="21"/>
        </w:rPr>
        <w:t>one parcel is not always one physical building;</w:t>
      </w:r>
    </w:p>
    <w:p>
      <w:pPr>
        <w:keepLines/>
        <w:spacing w:after="60"/>
        <w:ind w:left="369" w:hanging="255"/>
      </w:pPr>
      <w:r>
        <w:rPr>
          <w:rFonts w:ascii="Georgia" w:hAnsi="Georgia"/>
          <w:color w:val="1B292A"/>
          <w:sz w:val="21"/>
        </w:rPr>
        <w:t>•</w:t>
        <w:tab/>
      </w:r>
      <w:r>
        <w:rPr>
          <w:rFonts w:ascii="Georgia" w:hAnsi="Georgia"/>
          <w:color w:val="1B292A"/>
          <w:sz w:val="21"/>
        </w:rPr>
        <w:t>simplified zoning and integer-storey geometry affect 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one-zone-per-storey buildings do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difficult/courtyard geometry can be excluded by preparation gates;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are not exactly separable between residential and commercial spaces;</w:t>
      </w:r>
    </w:p>
    <w:p>
      <w:pPr>
        <w:keepLines/>
        <w:spacing w:after="60"/>
        <w:ind w:left="369" w:hanging="255"/>
      </w:pPr>
      <w:r>
        <w:rPr>
          <w:rFonts w:ascii="Georgia" w:hAnsi="Georgia"/>
          <w:color w:val="1B292A"/>
          <w:sz w:val="21"/>
        </w:rPr>
        <w:t>•</w:t>
        <w:tab/>
      </w:r>
      <w:r>
        <w:rPr>
          <w:rFonts w:ascii="Georgia" w:hAnsi="Georgia"/>
          <w:color w:val="1B292A"/>
          <w:sz w:val="21"/>
        </w:rPr>
        <w:t>operational carbon excludes embodied carbon;</w:t>
      </w:r>
    </w:p>
    <w:p>
      <w:pPr>
        <w:keepLines/>
        <w:spacing w:after="60"/>
        <w:ind w:left="369" w:hanging="255"/>
      </w:pPr>
      <w:r>
        <w:rPr>
          <w:rFonts w:ascii="Georgia" w:hAnsi="Georgia"/>
          <w:color w:val="1B292A"/>
          <w:sz w:val="21"/>
        </w:rPr>
        <w:t>•</w:t>
        <w:tab/>
      </w:r>
      <w:r>
        <w:rPr>
          <w:rFonts w:ascii="Georgia" w:hAnsi="Georgia"/>
          <w:color w:val="1B292A"/>
          <w:sz w:val="21"/>
        </w:rPr>
        <w:t>profile verification is not per-building measurement calibration;</w:t>
      </w:r>
    </w:p>
    <w:p>
      <w:pPr>
        <w:keepLines/>
        <w:spacing w:after="60"/>
        <w:ind w:left="369" w:hanging="255"/>
      </w:pPr>
      <w:r>
        <w:rPr>
          <w:rFonts w:ascii="Georgia" w:hAnsi="Georgia"/>
          <w:color w:val="1B292A"/>
          <w:sz w:val="21"/>
        </w:rPr>
        <w:t>•</w:t>
        <w:tab/>
      </w:r>
      <w:r>
        <w:rPr>
          <w:rFonts w:ascii="Georgia" w:hAnsi="Georgia"/>
          <w:color w:val="1B292A"/>
          <w:sz w:val="21"/>
        </w:rPr>
        <w:t>pilot-building LHS evidence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failed/excluded records can create unquantified truncation.</w:t>
      </w:r>
    </w:p>
    <w:p>
      <w:r>
        <w:rPr>
          <w:rFonts w:ascii="Georgia" w:hAnsi="Georgia"/>
          <w:color w:val="1B292A"/>
          <w:sz w:val="21"/>
        </w:rPr>
        <w:t>These limitations do not automatically invalidate the study. They define the claims the evidence can support and the additional measurements or sensitivity analyses needed for stronger claims.</w:t>
      </w:r>
    </w:p>
    <w:p>
      <w:r>
        <w:br w:type="page"/>
      </w:r>
    </w:p>
    <w:p>
      <w:pPr>
        <w:pStyle w:val="Heading1"/>
      </w:pPr>
      <w:r>
        <w:rPr>
          <w:rFonts w:ascii="Arial" w:hAnsi="Arial"/>
          <w:b/>
          <w:color w:val="173F45"/>
          <w:sz w:val="36"/>
        </w:rPr>
        <w:t>17. Provenance, reproducibility and publication package</w:t>
      </w:r>
    </w:p>
    <w:p>
      <w:r>
        <w:rPr>
          <w:rFonts w:ascii="Georgia" w:hAnsi="Georgia"/>
          <w:color w:val="1B292A"/>
          <w:sz w:val="21"/>
        </w:rPr>
        <w:t>The final publication package will preserve logical filenames and hashes for the run configuration, process record, ledger, final aggregate, corrected Building CSV, GeoPackage/style, heat map, selected readable reports, EnergyPlus tables, technical evidence and document outputs. Absolute workstation paths will be removed from publication-facing documents and curated exports.</w:t>
      </w:r>
    </w:p>
    <w:p>
      <w:r>
        <w:rPr>
          <w:rFonts w:ascii="Georgia" w:hAnsi="Georgia"/>
          <w:color w:val="1B292A"/>
          <w:sz w:val="21"/>
        </w:rPr>
        <w:t>No result will be accepted when duplicate authoritative evidence blocks conflict. A building identity mismatch prevents report generation. A successful-looking row without essential period, result, QA or diagnostic evidence is INCOMPLETE EVIDENCE — DO NOT CITE.</w:t>
      </w:r>
    </w:p>
    <w:p>
      <w:pPr>
        <w:pStyle w:val="Heading2"/>
      </w:pPr>
      <w:r>
        <w:rPr>
          <w:rFonts w:ascii="Arial" w:hAnsi="Arial"/>
          <w:b/>
          <w:color w:val="1F5F67"/>
          <w:sz w:val="28"/>
        </w:rPr>
        <w:t>17.1 Evidence manifest</w:t>
      </w:r>
    </w:p>
    <w:p>
      <w:r>
        <w:rPr>
          <w:rFonts w:ascii="Georgia" w:hAnsi="Georgia"/>
          <w:color w:val="1B292A"/>
          <w:sz w:val="21"/>
        </w:rPr>
        <w:t>The machine-readable JSON/CSV manifest will contain:</w:t>
      </w:r>
    </w:p>
    <w:p>
      <w:pPr>
        <w:keepLines/>
        <w:spacing w:after="60"/>
        <w:ind w:left="369" w:hanging="255"/>
      </w:pPr>
      <w:r>
        <w:rPr>
          <w:rFonts w:ascii="Georgia" w:hAnsi="Georgia"/>
          <w:color w:val="1B292A"/>
          <w:sz w:val="21"/>
        </w:rPr>
        <w:t>•</w:t>
        <w:tab/>
      </w:r>
      <w:r>
        <w:rPr>
          <w:rFonts w:ascii="Georgia" w:hAnsi="Georgia"/>
          <w:color w:val="1B292A"/>
          <w:sz w:val="21"/>
        </w:rPr>
        <w:t>run, profile, climate, template, policy, stock-source and runner-schema identities;</w:t>
      </w:r>
    </w:p>
    <w:p>
      <w:pPr>
        <w:keepLines/>
        <w:spacing w:after="60"/>
        <w:ind w:left="369" w:hanging="255"/>
      </w:pPr>
      <w:r>
        <w:rPr>
          <w:rFonts w:ascii="Georgia" w:hAnsi="Georgia"/>
          <w:color w:val="1B292A"/>
          <w:sz w:val="21"/>
        </w:rPr>
        <w:t>•</w:t>
        <w:tab/>
      </w:r>
      <w:r>
        <w:rPr>
          <w:rFonts w:ascii="Georgia" w:hAnsi="Georgia"/>
          <w:color w:val="1B292A"/>
          <w:sz w:val="21"/>
        </w:rPr>
        <w:t>final scope/count/period reconciliation;</w:t>
      </w:r>
    </w:p>
    <w:p>
      <w:pPr>
        <w:keepLines/>
        <w:spacing w:after="60"/>
        <w:ind w:left="369" w:hanging="255"/>
      </w:pPr>
      <w:r>
        <w:rPr>
          <w:rFonts w:ascii="Georgia" w:hAnsi="Georgia"/>
          <w:color w:val="1B292A"/>
          <w:sz w:val="21"/>
        </w:rPr>
        <w:t>•</w:t>
        <w:tab/>
      </w:r>
      <w:r>
        <w:rPr>
          <w:rFonts w:ascii="Georgia" w:hAnsi="Georgia"/>
          <w:color w:val="1B292A"/>
          <w:sz w:val="21"/>
        </w:rPr>
        <w:t>source and output SHA-256 values;</w:t>
      </w:r>
    </w:p>
    <w:p>
      <w:pPr>
        <w:keepLines/>
        <w:spacing w:after="60"/>
        <w:ind w:left="369" w:hanging="255"/>
      </w:pPr>
      <w:r>
        <w:rPr>
          <w:rFonts w:ascii="Georgia" w:hAnsi="Georgia"/>
          <w:color w:val="1B292A"/>
          <w:sz w:val="21"/>
        </w:rPr>
        <w:t>•</w:t>
        <w:tab/>
      </w:r>
      <w:r>
        <w:rPr>
          <w:rFonts w:ascii="Georgia" w:hAnsi="Georgia"/>
          <w:color w:val="1B292A"/>
          <w:sz w:val="21"/>
        </w:rPr>
        <w:t>key method parameters and units;</w:t>
      </w:r>
    </w:p>
    <w:p>
      <w:pPr>
        <w:keepLines/>
        <w:spacing w:after="60"/>
        <w:ind w:left="369" w:hanging="255"/>
      </w:pPr>
      <w:r>
        <w:rPr>
          <w:rFonts w:ascii="Georgia" w:hAnsi="Georgia"/>
          <w:color w:val="1B292A"/>
          <w:sz w:val="21"/>
        </w:rPr>
        <w:t>•</w:t>
        <w:tab/>
      </w:r>
      <w:r>
        <w:rPr>
          <w:rFonts w:ascii="Georgia" w:hAnsi="Georgia"/>
          <w:color w:val="1B292A"/>
          <w:sz w:val="21"/>
        </w:rPr>
        <w:t>selected-building algorithm and references;</w:t>
      </w:r>
    </w:p>
    <w:p>
      <w:pPr>
        <w:keepLines/>
        <w:spacing w:after="60"/>
        <w:ind w:left="369" w:hanging="255"/>
      </w:pPr>
      <w:r>
        <w:rPr>
          <w:rFonts w:ascii="Georgia" w:hAnsi="Georgia"/>
          <w:color w:val="1B292A"/>
          <w:sz w:val="21"/>
        </w:rPr>
        <w:t>•</w:t>
        <w:tab/>
      </w:r>
      <w:r>
        <w:rPr>
          <w:rFonts w:ascii="Georgia" w:hAnsi="Georgia"/>
          <w:color w:val="1B292A"/>
          <w:sz w:val="21"/>
        </w:rPr>
        <w:t>figure/table source files;</w:t>
      </w:r>
    </w:p>
    <w:p>
      <w:pPr>
        <w:keepLines/>
        <w:spacing w:after="60"/>
        <w:ind w:left="369" w:hanging="255"/>
      </w:pPr>
      <w:r>
        <w:rPr>
          <w:rFonts w:ascii="Georgia" w:hAnsi="Georgia"/>
          <w:color w:val="1B292A"/>
          <w:sz w:val="21"/>
        </w:rPr>
        <w:t>•</w:t>
        <w:tab/>
      </w:r>
      <w:r>
        <w:rPr>
          <w:rFonts w:ascii="Georgia" w:hAnsi="Georgia"/>
          <w:color w:val="1B292A"/>
          <w:sz w:val="21"/>
        </w:rPr>
        <w:t>software commit and publication date;</w:t>
      </w:r>
    </w:p>
    <w:p>
      <w:pPr>
        <w:keepLines/>
        <w:spacing w:after="60"/>
        <w:ind w:left="369" w:hanging="255"/>
      </w:pPr>
      <w:r>
        <w:rPr>
          <w:rFonts w:ascii="Georgia" w:hAnsi="Georgia"/>
          <w:color w:val="1B292A"/>
          <w:sz w:val="21"/>
        </w:rPr>
        <w:t>•</w:t>
        <w:tab/>
      </w:r>
      <w:r>
        <w:rPr>
          <w:rFonts w:ascii="Georgia" w:hAnsi="Georgia"/>
          <w:color w:val="1B292A"/>
          <w:sz w:val="21"/>
        </w:rPr>
        <w:t>review gates and their PASS/FAIL state.</w:t>
      </w:r>
    </w:p>
    <w:p>
      <w:pPr>
        <w:pStyle w:val="Heading2"/>
      </w:pPr>
      <w:r>
        <w:rPr>
          <w:rFonts w:ascii="Arial" w:hAnsi="Arial"/>
          <w:b/>
          <w:color w:val="1F5F67"/>
          <w:sz w:val="28"/>
        </w:rPr>
        <w:t>17.2 Final document control</w:t>
      </w:r>
    </w:p>
    <w:p>
      <w:r>
        <w:rPr>
          <w:rFonts w:ascii="Georgia" w:hAnsi="Georgia"/>
          <w:color w:val="1B292A"/>
          <w:sz w:val="21"/>
        </w:rPr>
        <w:t>DOCX and HTML are generated deterministically from this canonical source; PDF is produced from the visually verified DOCX. Every DOCX/PDF page and responsive HTML layout will be inspected, including semantic structure and the WCAG 2.2 accessibility target [9], before final status. The final edition will contain no provisional marker, running total, local path or unsupported claim.</w:t>
      </w:r>
    </w:p>
    <w:p>
      <w:r>
        <w:br w:type="page"/>
      </w:r>
    </w:p>
    <w:p>
      <w:pPr>
        <w:pStyle w:val="Heading1"/>
      </w:pPr>
      <w:r>
        <w:rPr>
          <w:rFonts w:ascii="Arial" w:hAnsi="Arial"/>
          <w:b/>
          <w:color w:val="173F45"/>
          <w:sz w:val="36"/>
        </w:rPr>
        <w:t>18. 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 xml:space="preserve">[4] U.S. Department of Energy, </w:t>
      </w:r>
      <w:r>
        <w:rPr>
          <w:rFonts w:ascii="Georgia" w:hAnsi="Georgia"/>
          <w:i/>
          <w:color w:val="1B292A"/>
          <w:sz w:val="21"/>
        </w:rPr>
        <w:t>EnergyPlus Input Output Reference</w:t>
      </w:r>
      <w:r>
        <w:rPr>
          <w:rFonts w:ascii="Georgia" w:hAnsi="Georgia"/>
          <w:color w:val="1B292A"/>
          <w:sz w:val="21"/>
        </w:rPr>
        <w:t>, version 25.2, https://bigladdersoftware.com/epx/docs/25-2/input-output-reference/index.html</w:t>
      </w:r>
    </w:p>
    <w:p>
      <w:r>
        <w:rPr>
          <w:rFonts w:ascii="Georgia" w:hAnsi="Georgia"/>
          <w:color w:val="1B292A"/>
          <w:sz w:val="21"/>
        </w:rPr>
        <w:t xml:space="preserve">[5]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[6]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[7]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[8] Open Geospatial Consortium, “GeoPackage Encoding Standard,” https://www.ogc.org/standard/geopackage/</w:t>
      </w:r>
    </w:p>
    <w:p>
      <w:r>
        <w:rPr>
          <w:rFonts w:ascii="Georgia" w:hAnsi="Georgia"/>
          <w:color w:val="1B292A"/>
          <w:sz w:val="21"/>
        </w:rPr>
        <w:t>[9] W3C, “Web Content Accessibility Guidelines (WCAG) 2.2,” https://www.w3.org/TR/WCAG22/</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Valencia Simulation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Valencia Simulation Report</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