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20"/>
      </w:pPr>
    </w:p>
    <w:p>
      <w:pPr>
        <w:spacing w:after="160"/>
        <w:jc w:val="center"/>
      </w:pPr>
      <w:r>
        <w:rPr>
          <w:rFonts w:ascii="Arial" w:hAnsi="Arial"/>
          <w:b/>
          <w:color w:val="173F45"/>
          <w:sz w:val="54"/>
        </w:rPr>
        <w:t>BUILDING STOCK ENERGY WORKBENCH</w:t>
      </w:r>
    </w:p>
    <w:p>
      <w:pPr>
        <w:spacing w:after="680"/>
        <w:jc w:val="center"/>
      </w:pPr>
      <w:r>
        <w:rPr>
          <w:rFonts w:ascii="Arial" w:hAnsi="Arial"/>
          <w:color w:val="1F5F67"/>
          <w:sz w:val="32"/>
        </w:rPr>
        <w:t>Valencia Simulation Report</w:t>
      </w:r>
    </w:p>
    <w:p>
      <w:pPr>
        <w:spacing w:before="360" w:after="320"/>
        <w:pBdr>
          <w:bottom w:val="single" w:sz="14" w:color="1F5F67"/>
        </w:pBdr>
      </w:pPr>
    </w:p>
    <w:p>
      <w:pPr>
        <w:jc w:val="center"/>
      </w:pPr>
      <w:r>
        <w:rPr>
          <w:rFonts w:ascii="Arial" w:hAnsi="Arial"/>
          <w:b/>
          <w:color w:val="5B696A"/>
          <w:sz w:val="18"/>
        </w:rPr>
        <w:t>Author:</w:t>
      </w:r>
      <w:r>
        <w:rPr>
          <w:rFonts w:ascii="Arial" w:hAnsi="Arial"/>
          <w:color w:val="5B696A"/>
          <w:sz w:val="18"/>
        </w:rPr>
        <w:t xml:space="preserve"> Mirza Saribiyik</w:t>
      </w:r>
    </w:p>
    <w:p>
      <w:pPr>
        <w:jc w:val="center"/>
      </w:pPr>
      <w:r>
        <w:rPr>
          <w:rFonts w:ascii="Arial" w:hAnsi="Arial"/>
          <w:b/>
          <w:color w:val="5B696A"/>
          <w:sz w:val="18"/>
        </w:rPr>
        <w:t>Publication date:</w:t>
      </w:r>
      <w:r>
        <w:rPr>
          <w:rFonts w:ascii="Arial" w:hAnsi="Arial"/>
          <w:color w:val="5B696A"/>
          <w:sz w:val="18"/>
        </w:rPr>
        <w:t xml:space="preserve"> 28 August 2026</w:t>
      </w:r>
    </w:p>
    <w:p>
      <w:pPr>
        <w:jc w:val="center"/>
      </w:pPr>
      <w:r>
        <w:rPr>
          <w:rFonts w:ascii="Arial" w:hAnsi="Arial"/>
          <w:b/>
          <w:color w:val="5B696A"/>
          <w:sz w:val="18"/>
        </w:rPr>
        <w:t>Run:</w:t>
      </w:r>
      <w:r>
        <w:rPr>
          <w:rFonts w:ascii="Arial" w:hAnsi="Arial"/>
          <w:color w:val="5B696A"/>
          <w:sz w:val="18"/>
        </w:rPr>
        <w:t xml:space="preserve"> </w:t>
      </w:r>
      <w:r>
        <w:rPr>
          <w:rFonts w:ascii="Courier New" w:hAnsi="Courier New"/>
          <w:color w:val="173F45"/>
          <w:sz w:val="17"/>
        </w:rPr>
        <w:t>ALL_VALENC-A_REAL</w:t>
      </w:r>
    </w:p>
    <w:p>
      <w:pPr>
        <w:jc w:val="left"/>
      </w:pPr>
      <w:r>
        <w:rPr>
          <w:rFonts w:ascii="Georgia" w:hAnsi="Georgia"/>
          <w:color w:val="1B292A"/>
          <w:sz w:val="20"/>
        </w:rPr>
        <w:t>This report documents the annual Valencia building-stock simulation executed in Building Stock Energy Workbench (BSEW). It is designed to answer four questions: what evidence entered the run, which modelling and execution parameters were applied, which quality gates controlled acceptance, and what the settled results support academically.</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SETTLED EVIDENCE — COVERAGE QUALIFIED.</w:t>
      </w:r>
      <w:r>
        <w:rPr>
          <w:rFonts w:ascii="Georgia" w:hAnsi="Georgia"/>
          <w:color w:val="173F45"/>
          <w:sz w:val="20"/>
        </w:rPr>
        <w:t xml:space="preserve"> Process absence, final aggregate settlement, single-identity reconciliation, export integrity and document review passed. Results describe the represented successful stock; failed and excluded references remain explicit in coverage.</w:t>
      </w:r>
    </w:p>
    <w:p>
      <w:pPr>
        <w:jc w:val="center"/>
      </w:pPr>
      <w:r>
        <w:rPr>
          <w:rFonts w:ascii="Arial" w:hAnsi="Arial"/>
          <w:color w:val="173F45"/>
          <w:sz w:val="20"/>
        </w:rPr>
        <w:t>Suggested citation</w:t>
      </w:r>
    </w:p>
    <w:p>
      <w:pPr>
        <w:jc w:val="left"/>
      </w:pPr>
      <w:r>
        <w:rPr>
          <w:rFonts w:ascii="Georgia" w:hAnsi="Georgia"/>
          <w:color w:val="1B292A"/>
          <w:sz w:val="20"/>
        </w:rPr>
        <w:t xml:space="preserve">Mirza Saribiyik. </w:t>
      </w:r>
      <w:r>
        <w:rPr>
          <w:rFonts w:ascii="Georgia" w:hAnsi="Georgia"/>
          <w:i/>
          <w:color w:val="1B292A"/>
          <w:sz w:val="20"/>
        </w:rPr>
        <w:t>Building Stock Energy Workbench: Valencia Simulation Report — ALL_VALENC-A_REAL</w:t>
      </w:r>
      <w:r>
        <w:rPr>
          <w:rFonts w:ascii="Georgia" w:hAnsi="Georgia"/>
          <w:color w:val="1B292A"/>
          <w:sz w:val="20"/>
        </w:rPr>
        <w:t xml:space="preserve">. 28 August 2026. Software commit </w:t>
      </w:r>
      <w:r>
        <w:rPr>
          <w:rFonts w:ascii="Courier New" w:hAnsi="Courier New"/>
          <w:color w:val="173F45"/>
          <w:sz w:val="18"/>
        </w:rPr>
        <w:t>0836bdb1c689a34d13d1af76f764ed21f42a112b</w:t>
      </w:r>
      <w:r>
        <w:rPr>
          <w:rFonts w:ascii="Georgia" w:hAnsi="Georgia"/>
          <w:color w:val="1B292A"/>
          <w:sz w:val="20"/>
        </w:rPr>
        <w:t>.</w:t>
      </w:r>
    </w:p>
    <w:p>
      <w:pPr>
        <w:sectPr>
          <w:pgSz w:w="11906" w:h="16838"/>
          <w:pgMar w:top="1020" w:right="1020" w:bottom="964" w:left="1020" w:header="454" w:footer="454" w:gutter="0"/>
          <w:cols w:space="720"/>
          <w:docGrid w:linePitch="360"/>
        </w:sectPr>
      </w:pPr>
    </w:p>
    <w:p>
      <w:pPr>
        <w:pStyle w:val="Heading1"/>
      </w:pPr>
      <w:r>
        <w:rPr>
          <w:rFonts w:ascii="Arial" w:hAnsi="Arial"/>
          <w:b/>
          <w:color w:val="173F45"/>
          <w:sz w:val="36"/>
        </w:rPr>
        <w:t>1. Executive interpretation</w:t>
      </w:r>
    </w:p>
    <w:p>
      <w:r>
        <w:rPr>
          <w:rFonts w:ascii="Courier New" w:hAnsi="Courier New"/>
          <w:color w:val="173F45"/>
          <w:sz w:val="19"/>
        </w:rPr>
        <w:t>ALL_VALENC-A_REAL</w:t>
      </w:r>
      <w:r>
        <w:rPr>
          <w:rFonts w:ascii="Georgia" w:hAnsi="Georgia"/>
          <w:color w:val="1B292A"/>
          <w:sz w:val="21"/>
        </w:rPr>
        <w:t xml:space="preserve"> is a full-scope annual simulation of the supplied Valencia building stock under one recorded verified model profile. BSEW converts cadastral and dwelling evidence into simplified OpenStudio models, executes EnergyPlus, records terminal evidence per building and derives aggregate energy, operational-carbon, coverage, geometry-quality and QA summaries.</w:t>
      </w:r>
    </w:p>
    <w:p>
      <w:r>
        <w:rPr>
          <w:rFonts w:ascii="Georgia" w:hAnsi="Georgia"/>
          <w:color w:val="1B292A"/>
          <w:sz w:val="21"/>
        </w:rPr>
        <w:t>This edition publishes final values after all latest ledger records reconciled with the settled scope. The principal result classes will be total site energy, whole-site energy intensity under explicitly named residential-area denominators, end-use energy, operational carbon, cluster/district summaries, coverage, and diagnostic status.</w:t>
      </w:r>
    </w:p>
    <w:p>
      <w:r>
        <w:rPr>
          <w:rFonts w:ascii="Georgia" w:hAnsi="Georgia"/>
          <w:color w:val="1B292A"/>
          <w:sz w:val="21"/>
        </w:rPr>
        <w:t>The results are simulations under recorded assumptions. They are not measured utility consumption, per-building calibration, an energy certificate, regulatory compliance, embodied carbon or a guaranteed forecast of future operation. The verified profile establishes method consistency against the project's reference evidence; it does not establish measurement validation for every stock building.</w:t>
      </w:r>
    </w:p>
    <w:p>
      <w:pPr>
        <w:pStyle w:val="Heading2"/>
      </w:pPr>
      <w:r>
        <w:rPr>
          <w:rFonts w:ascii="Arial" w:hAnsi="Arial"/>
          <w:b/>
          <w:color w:val="1F5F67"/>
          <w:sz w:val="28"/>
        </w:rPr>
        <w:t>1.1 Publication decision</w:t>
      </w:r>
    </w:p>
    <w:p>
      <w:r>
        <w:rPr>
          <w:rFonts w:ascii="Georgia" w:hAnsi="Georgia"/>
          <w:color w:val="1B292A"/>
          <w:sz w:val="21"/>
        </w:rPr>
        <w:t xml:space="preserve">This edition assigns </w:t>
      </w:r>
      <w:r>
        <w:rPr>
          <w:rFonts w:ascii="Georgia" w:hAnsi="Georgia"/>
          <w:b/>
          <w:color w:val="1B292A"/>
          <w:sz w:val="21"/>
        </w:rPr>
        <w:t>PUBLISHABLE WITH EXPLICIT COVERAGE LIMITS</w:t>
      </w:r>
      <w:r>
        <w:rPr>
          <w:rFonts w:ascii="Georgia" w:hAnsi="Georgia"/>
          <w:color w:val="1B292A"/>
          <w:sz w:val="21"/>
        </w:rPr>
        <w:t xml:space="preserve"> after reconciling successful, failed, QA-rejected and excluded records. Building-level records remain individually classifiable as PASS, ACCEPTED WITH CLASSIFIED DIAGNOSTICS, FAILED / DO NOT USE, NOT ASSESSED or INCOMPLETE EVIDENCE — DO NOT CITE.</w:t>
      </w:r>
    </w:p>
    <w:p>
      <w:pPr>
        <w:pStyle w:val="Heading2"/>
      </w:pPr>
      <w:r>
        <w:rPr>
          <w:rFonts w:ascii="Arial" w:hAnsi="Arial"/>
          <w:b/>
          <w:color w:val="1F5F67"/>
          <w:sz w:val="28"/>
        </w:rPr>
        <w:t>1.2 Final evidence gate</w:t>
      </w:r>
    </w:p>
    <w:p>
      <w:pPr>
        <w:pStyle w:val="Caption"/>
        <w:keepNext/>
        <w:spacing w:before="80" w:after="80"/>
      </w:pPr>
      <w:r>
        <w:rPr>
          <w:rFonts w:ascii="Arial" w:hAnsi="Arial"/>
          <w:b/>
          <w:color w:val="5B696A"/>
          <w:sz w:val="17"/>
        </w:rPr>
        <w:t>Table 1. Final evidence gate</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Gate</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final evidence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Final state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Process</w:t>
            </w:r>
          </w:p>
        </w:tc>
        <w:tc>
          <w:tcPr>
            <w:tcW w:type="dxa" w:w="3000"/>
            <w:tcMar>
              <w:top w:w="90" w:type="dxa"/>
              <w:start w:w="120" w:type="dxa"/>
              <w:bottom w:w="90" w:type="dxa"/>
              <w:end w:w="120" w:type="dxa"/>
            </w:tcMar>
            <w:vAlign w:val="center"/>
          </w:tcPr>
          <w:p>
            <w:pPr>
              <w:spacing w:after="0"/>
            </w:pPr>
            <w:r>
              <w:rPr>
                <w:rFonts w:ascii="Arial" w:hAnsi="Arial"/>
                <w:color w:val="1B292A"/>
                <w:sz w:val="18"/>
              </w:rPr>
              <w:t>Run reports false and recorded PID is absent</w:t>
            </w:r>
          </w:p>
        </w:tc>
        <w:tc>
          <w:tcPr>
            <w:tcW w:type="dxa" w:w="4575"/>
            <w:tcMar>
              <w:top w:w="90" w:type="dxa"/>
              <w:start w:w="120" w:type="dxa"/>
              <w:bottom w:w="90" w:type="dxa"/>
              <w:end w:w="120" w:type="dxa"/>
            </w:tcMar>
            <w:vAlign w:val="center"/>
          </w:tcPr>
          <w:p>
            <w:pPr>
              <w:spacing w:after="0"/>
            </w:pPr>
            <w:r>
              <w:rPr>
                <w:rFonts w:ascii="Arial" w:hAnsi="Arial"/>
                <w:color w:val="1B292A"/>
                <w:sz w:val="18"/>
              </w:rPr>
              <w:t>PASS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Scope</w:t>
            </w:r>
          </w:p>
        </w:tc>
        <w:tc>
          <w:tcPr>
            <w:tcW w:type="dxa" w:w="3000"/>
            <w:tcMar>
              <w:top w:w="90" w:type="dxa"/>
              <w:start w:w="120" w:type="dxa"/>
              <w:bottom w:w="90" w:type="dxa"/>
              <w:end w:w="120" w:type="dxa"/>
            </w:tcMar>
            <w:vAlign w:val="center"/>
          </w:tcPr>
          <w:p>
            <w:pPr>
              <w:spacing w:after="0"/>
            </w:pPr>
            <w:r>
              <w:rPr>
                <w:rFonts w:ascii="Arial" w:hAnsi="Arial"/>
                <w:color w:val="1B292A"/>
                <w:sz w:val="18"/>
              </w:rPr>
              <w:t>Final terminal records reconcile to recorded scope</w:t>
            </w:r>
          </w:p>
        </w:tc>
        <w:tc>
          <w:tcPr>
            <w:tcW w:type="dxa" w:w="4575"/>
            <w:tcMar>
              <w:top w:w="90" w:type="dxa"/>
              <w:start w:w="120" w:type="dxa"/>
              <w:bottom w:w="90" w:type="dxa"/>
              <w:end w:w="120" w:type="dxa"/>
            </w:tcMar>
            <w:vAlign w:val="center"/>
          </w:tcPr>
          <w:p>
            <w:pPr>
              <w:spacing w:after="0"/>
            </w:pPr>
            <w:r>
              <w:rPr>
                <w:rFonts w:ascii="Arial" w:hAnsi="Arial"/>
                <w:color w:val="1B292A"/>
                <w:sz w:val="18"/>
              </w:rPr>
              <w:t>PASS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Aggregate</w:t>
            </w:r>
          </w:p>
        </w:tc>
        <w:tc>
          <w:tcPr>
            <w:tcW w:type="dxa" w:w="3000"/>
            <w:tcMar>
              <w:top w:w="90" w:type="dxa"/>
              <w:start w:w="120" w:type="dxa"/>
              <w:bottom w:w="90" w:type="dxa"/>
              <w:end w:w="120" w:type="dxa"/>
            </w:tcMar>
            <w:vAlign w:val="center"/>
          </w:tcPr>
          <w:p>
            <w:pPr>
              <w:spacing w:after="0"/>
            </w:pPr>
            <w:r>
              <w:rPr>
                <w:rFonts w:ascii="Arial" w:hAnsi="Arial"/>
                <w:color w:val="1B292A"/>
                <w:sz w:val="18"/>
              </w:rPr>
              <w:t>Final aggregate exists, is readable and is not partial</w:t>
            </w:r>
          </w:p>
        </w:tc>
        <w:tc>
          <w:tcPr>
            <w:tcW w:type="dxa" w:w="4575"/>
            <w:tcMar>
              <w:top w:w="90" w:type="dxa"/>
              <w:start w:w="120" w:type="dxa"/>
              <w:bottom w:w="90" w:type="dxa"/>
              <w:end w:w="120" w:type="dxa"/>
            </w:tcMar>
            <w:vAlign w:val="center"/>
          </w:tcPr>
          <w:p>
            <w:pPr>
              <w:spacing w:after="0"/>
            </w:pPr>
            <w:r>
              <w:rPr>
                <w:rFonts w:ascii="Arial" w:hAnsi="Arial"/>
                <w:color w:val="1B292A"/>
                <w:sz w:val="18"/>
              </w:rPr>
              <w:t>PASS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Identity</w:t>
            </w:r>
          </w:p>
        </w:tc>
        <w:tc>
          <w:tcPr>
            <w:tcW w:type="dxa" w:w="3000"/>
            <w:tcMar>
              <w:top w:w="90" w:type="dxa"/>
              <w:start w:w="120" w:type="dxa"/>
              <w:bottom w:w="90" w:type="dxa"/>
              <w:end w:w="120" w:type="dxa"/>
            </w:tcMar>
            <w:vAlign w:val="center"/>
          </w:tcPr>
          <w:p>
            <w:pPr>
              <w:spacing w:after="0"/>
            </w:pPr>
            <w:r>
              <w:rPr>
                <w:rFonts w:ascii="Arial" w:hAnsi="Arial"/>
                <w:color w:val="1B292A"/>
                <w:sz w:val="18"/>
              </w:rPr>
              <w:t>Latest accepted rows share intended run/profile/input identity</w:t>
            </w:r>
          </w:p>
        </w:tc>
        <w:tc>
          <w:tcPr>
            <w:tcW w:type="dxa" w:w="4575"/>
            <w:tcMar>
              <w:top w:w="90" w:type="dxa"/>
              <w:start w:w="120" w:type="dxa"/>
              <w:bottom w:w="90" w:type="dxa"/>
              <w:end w:w="120" w:type="dxa"/>
            </w:tcMar>
            <w:vAlign w:val="center"/>
          </w:tcPr>
          <w:p>
            <w:pPr>
              <w:spacing w:after="0"/>
            </w:pPr>
            <w:r>
              <w:rPr>
                <w:rFonts w:ascii="Arial" w:hAnsi="Arial"/>
                <w:color w:val="1B292A"/>
                <w:sz w:val="18"/>
              </w:rPr>
              <w:t>PASS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Exports</w:t>
            </w:r>
          </w:p>
        </w:tc>
        <w:tc>
          <w:tcPr>
            <w:tcW w:type="dxa" w:w="3000"/>
            <w:tcMar>
              <w:top w:w="90" w:type="dxa"/>
              <w:start w:w="120" w:type="dxa"/>
              <w:bottom w:w="90" w:type="dxa"/>
              <w:end w:w="120" w:type="dxa"/>
            </w:tcMar>
            <w:vAlign w:val="center"/>
          </w:tcPr>
          <w:p>
            <w:pPr>
              <w:spacing w:after="0"/>
            </w:pPr>
            <w:r>
              <w:rPr>
                <w:rFonts w:ascii="Arial" w:hAnsi="Arial"/>
                <w:color w:val="1B292A"/>
                <w:sz w:val="18"/>
              </w:rPr>
              <w:t>CSV, GIS, heat map and manifest reconcile to ledger</w:t>
            </w:r>
          </w:p>
        </w:tc>
        <w:tc>
          <w:tcPr>
            <w:tcW w:type="dxa" w:w="4575"/>
            <w:tcMar>
              <w:top w:w="90" w:type="dxa"/>
              <w:start w:w="120" w:type="dxa"/>
              <w:bottom w:w="90" w:type="dxa"/>
              <w:end w:w="120" w:type="dxa"/>
            </w:tcMar>
            <w:vAlign w:val="center"/>
          </w:tcPr>
          <w:p>
            <w:pPr>
              <w:spacing w:after="0"/>
            </w:pPr>
            <w:r>
              <w:rPr>
                <w:rFonts w:ascii="Arial" w:hAnsi="Arial"/>
                <w:color w:val="1B292A"/>
                <w:sz w:val="18"/>
              </w:rPr>
              <w:t>PASS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Review</w:t>
            </w:r>
          </w:p>
        </w:tc>
        <w:tc>
          <w:tcPr>
            <w:tcW w:type="dxa" w:w="3000"/>
            <w:tcMar>
              <w:top w:w="90" w:type="dxa"/>
              <w:start w:w="120" w:type="dxa"/>
              <w:bottom w:w="90" w:type="dxa"/>
              <w:end w:w="120" w:type="dxa"/>
            </w:tcMar>
            <w:vAlign w:val="center"/>
          </w:tcPr>
          <w:p>
            <w:pPr>
              <w:spacing w:after="0"/>
            </w:pPr>
            <w:r>
              <w:rPr>
                <w:rFonts w:ascii="Arial" w:hAnsi="Arial"/>
                <w:color w:val="1B292A"/>
                <w:sz w:val="18"/>
              </w:rPr>
              <w:t>QA, diagnostics, limitations and selected buildings reviewed</w:t>
            </w:r>
          </w:p>
        </w:tc>
        <w:tc>
          <w:tcPr>
            <w:tcW w:type="dxa" w:w="4575"/>
            <w:tcMar>
              <w:top w:w="90" w:type="dxa"/>
              <w:start w:w="120" w:type="dxa"/>
              <w:bottom w:w="90" w:type="dxa"/>
              <w:end w:w="120" w:type="dxa"/>
            </w:tcMar>
            <w:vAlign w:val="center"/>
          </w:tcPr>
          <w:p>
            <w:pPr>
              <w:spacing w:after="0"/>
            </w:pPr>
            <w:r>
              <w:rPr>
                <w:rFonts w:ascii="Arial" w:hAnsi="Arial"/>
                <w:color w:val="1B292A"/>
                <w:sz w:val="18"/>
              </w:rPr>
              <w:t>PASS</w:t>
            </w:r>
          </w:p>
        </w:tc>
      </w:tr>
    </w:tbl>
    <w:p>
      <w:pPr>
        <w:spacing w:after="0"/>
      </w:pPr>
    </w:p>
    <w:p>
      <w:r>
        <w:br w:type="page"/>
      </w:r>
    </w:p>
    <w:p>
      <w:pPr>
        <w:pStyle w:val="Heading1"/>
      </w:pPr>
      <w:r>
        <w:rPr>
          <w:rFonts w:ascii="Arial" w:hAnsi="Arial"/>
          <w:b/>
          <w:color w:val="173F45"/>
          <w:sz w:val="36"/>
        </w:rPr>
        <w:t>2. Research objective and analytical boundary</w:t>
      </w:r>
    </w:p>
    <w:p>
      <w:r>
        <w:rPr>
          <w:rFonts w:ascii="Georgia" w:hAnsi="Georgia"/>
          <w:color w:val="1B292A"/>
          <w:sz w:val="21"/>
        </w:rPr>
        <w:t>The simulation provides reproducible evidence for the spatial and typological distribution of modelled final site energy across the supplied Valencia stock. It supports comparison among recorded building clusters and declared area bases, inspection of preparation and EnergyPlus evidence at building level, and production of traceable row-level and spatial exports.</w:t>
      </w:r>
    </w:p>
    <w:p>
      <w:r>
        <w:rPr>
          <w:rFonts w:ascii="Georgia" w:hAnsi="Georgia"/>
          <w:color w:val="1B292A"/>
          <w:sz w:val="21"/>
        </w:rPr>
        <w:t>The analytical unit is the building or cadastral reference represented by the latest terminal ledger record. Aggregate values include only records admitted by the stated result and QA contract. Excluded and failed records remain visible in coverage evidence and are not interpreted as zero energy.</w:t>
      </w:r>
    </w:p>
    <w:p>
      <w:pPr>
        <w:pStyle w:val="Heading2"/>
      </w:pPr>
      <w:r>
        <w:rPr>
          <w:rFonts w:ascii="Arial" w:hAnsi="Arial"/>
          <w:b/>
          <w:color w:val="1F5F67"/>
          <w:sz w:val="28"/>
        </w:rPr>
        <w:t>2.1 Questions the report can answer</w:t>
      </w:r>
    </w:p>
    <w:p>
      <w:pPr>
        <w:keepLines/>
        <w:spacing w:after="60"/>
        <w:ind w:left="369" w:hanging="255"/>
      </w:pPr>
      <w:r>
        <w:rPr>
          <w:rFonts w:ascii="Georgia" w:hAnsi="Georgia"/>
          <w:color w:val="1B292A"/>
          <w:sz w:val="21"/>
        </w:rPr>
        <w:t>•</w:t>
        <w:tab/>
      </w:r>
      <w:r>
        <w:rPr>
          <w:rFonts w:ascii="Georgia" w:hAnsi="Georgia"/>
          <w:color w:val="1B292A"/>
          <w:sz w:val="21"/>
        </w:rPr>
        <w:t>What final site energy and operational emissions were simulated for the represented stock?</w:t>
      </w:r>
    </w:p>
    <w:p>
      <w:pPr>
        <w:keepLines/>
        <w:spacing w:after="60"/>
        <w:ind w:left="369" w:hanging="255"/>
      </w:pPr>
      <w:r>
        <w:rPr>
          <w:rFonts w:ascii="Georgia" w:hAnsi="Georgia"/>
          <w:color w:val="1B292A"/>
          <w:sz w:val="21"/>
        </w:rPr>
        <w:t>•</w:t>
        <w:tab/>
      </w:r>
      <w:r>
        <w:rPr>
          <w:rFonts w:ascii="Georgia" w:hAnsi="Georgia"/>
          <w:color w:val="1B292A"/>
          <w:sz w:val="21"/>
        </w:rPr>
        <w:t>How do results distribute across building clusters and, where supported, districts?</w:t>
      </w:r>
    </w:p>
    <w:p>
      <w:pPr>
        <w:keepLines/>
        <w:spacing w:after="60"/>
        <w:ind w:left="369" w:hanging="255"/>
      </w:pPr>
      <w:r>
        <w:rPr>
          <w:rFonts w:ascii="Georgia" w:hAnsi="Georgia"/>
          <w:color w:val="1B292A"/>
          <w:sz w:val="21"/>
        </w:rPr>
        <w:t>•</w:t>
        <w:tab/>
      </w:r>
      <w:r>
        <w:rPr>
          <w:rFonts w:ascii="Georgia" w:hAnsi="Georgia"/>
          <w:color w:val="1B292A"/>
          <w:sz w:val="21"/>
        </w:rPr>
        <w:t>How do geometric and cadastral residential-area denominators change intensity interpretation?</w:t>
      </w:r>
    </w:p>
    <w:p>
      <w:pPr>
        <w:keepLines/>
        <w:spacing w:after="60"/>
        <w:ind w:left="369" w:hanging="255"/>
      </w:pPr>
      <w:r>
        <w:rPr>
          <w:rFonts w:ascii="Georgia" w:hAnsi="Georgia"/>
          <w:color w:val="1B292A"/>
          <w:sz w:val="21"/>
        </w:rPr>
        <w:t>•</w:t>
        <w:tab/>
      </w:r>
      <w:r>
        <w:rPr>
          <w:rFonts w:ascii="Georgia" w:hAnsi="Georgia"/>
          <w:color w:val="1B292A"/>
          <w:sz w:val="21"/>
        </w:rPr>
        <w:t>Which buildings failed or were excluded, and what bias can or cannot be quantified?</w:t>
      </w:r>
    </w:p>
    <w:p>
      <w:pPr>
        <w:keepLines/>
        <w:spacing w:after="60"/>
        <w:ind w:left="369" w:hanging="255"/>
      </w:pPr>
      <w:r>
        <w:rPr>
          <w:rFonts w:ascii="Georgia" w:hAnsi="Georgia"/>
          <w:color w:val="1B292A"/>
          <w:sz w:val="21"/>
        </w:rPr>
        <w:t>•</w:t>
        <w:tab/>
      </w:r>
      <w:r>
        <w:rPr>
          <w:rFonts w:ascii="Georgia" w:hAnsi="Georgia"/>
          <w:color w:val="1B292A"/>
          <w:sz w:val="21"/>
        </w:rPr>
        <w:t>Which preparation, geometry, occupancy and QA assumptions constrain interpretation?</w:t>
      </w:r>
    </w:p>
    <w:p>
      <w:pPr>
        <w:pStyle w:val="Heading2"/>
      </w:pPr>
      <w:r>
        <w:rPr>
          <w:rFonts w:ascii="Arial" w:hAnsi="Arial"/>
          <w:b/>
          <w:color w:val="1F5F67"/>
          <w:sz w:val="28"/>
        </w:rPr>
        <w:t>2.2 Questions it cannot answer alone</w:t>
      </w:r>
    </w:p>
    <w:p>
      <w:pPr>
        <w:keepLines/>
        <w:spacing w:after="60"/>
        <w:ind w:left="369" w:hanging="255"/>
      </w:pPr>
      <w:r>
        <w:rPr>
          <w:rFonts w:ascii="Georgia" w:hAnsi="Georgia"/>
          <w:color w:val="1B292A"/>
          <w:sz w:val="21"/>
        </w:rPr>
        <w:t>•</w:t>
        <w:tab/>
      </w:r>
      <w:r>
        <w:rPr>
          <w:rFonts w:ascii="Georgia" w:hAnsi="Georgia"/>
          <w:color w:val="1B292A"/>
          <w:sz w:val="21"/>
        </w:rPr>
        <w:t>Whether a specific building matches its utility bills or actual occupancy.</w:t>
      </w:r>
    </w:p>
    <w:p>
      <w:pPr>
        <w:keepLines/>
        <w:spacing w:after="60"/>
        <w:ind w:left="369" w:hanging="255"/>
      </w:pPr>
      <w:r>
        <w:rPr>
          <w:rFonts w:ascii="Georgia" w:hAnsi="Georgia"/>
          <w:color w:val="1B292A"/>
          <w:sz w:val="21"/>
        </w:rPr>
        <w:t>•</w:t>
        <w:tab/>
      </w:r>
      <w:r>
        <w:rPr>
          <w:rFonts w:ascii="Georgia" w:hAnsi="Georgia"/>
          <w:color w:val="1B292A"/>
          <w:sz w:val="21"/>
        </w:rPr>
        <w:t>Whether the stock is calibrated against measured consumption.</w:t>
      </w:r>
    </w:p>
    <w:p>
      <w:pPr>
        <w:keepLines/>
        <w:spacing w:after="60"/>
        <w:ind w:left="369" w:hanging="255"/>
      </w:pPr>
      <w:r>
        <w:rPr>
          <w:rFonts w:ascii="Georgia" w:hAnsi="Georgia"/>
          <w:color w:val="1B292A"/>
          <w:sz w:val="21"/>
        </w:rPr>
        <w:t>•</w:t>
        <w:tab/>
      </w:r>
      <w:r>
        <w:rPr>
          <w:rFonts w:ascii="Georgia" w:hAnsi="Georgia"/>
          <w:color w:val="1B292A"/>
          <w:sz w:val="21"/>
        </w:rPr>
        <w:t>Whether a simulated difference is causally attributable to an intervention.</w:t>
      </w:r>
    </w:p>
    <w:p>
      <w:pPr>
        <w:keepLines/>
        <w:spacing w:after="60"/>
        <w:ind w:left="369" w:hanging="255"/>
      </w:pPr>
      <w:r>
        <w:rPr>
          <w:rFonts w:ascii="Georgia" w:hAnsi="Georgia"/>
          <w:color w:val="1B292A"/>
          <w:sz w:val="21"/>
        </w:rPr>
        <w:t>•</w:t>
        <w:tab/>
      </w:r>
      <w:r>
        <w:rPr>
          <w:rFonts w:ascii="Georgia" w:hAnsi="Georgia"/>
          <w:color w:val="1B292A"/>
          <w:sz w:val="21"/>
        </w:rPr>
        <w:t>Whether operational factors represent embodied or whole-life carbon.</w:t>
      </w:r>
    </w:p>
    <w:p>
      <w:pPr>
        <w:keepLines/>
        <w:spacing w:after="60"/>
        <w:ind w:left="369" w:hanging="255"/>
      </w:pPr>
      <w:r>
        <w:rPr>
          <w:rFonts w:ascii="Georgia" w:hAnsi="Georgia"/>
          <w:color w:val="1B292A"/>
          <w:sz w:val="21"/>
        </w:rPr>
        <w:t>•</w:t>
        <w:tab/>
      </w:r>
      <w:r>
        <w:rPr>
          <w:rFonts w:ascii="Georgia" w:hAnsi="Georgia"/>
          <w:color w:val="1B292A"/>
          <w:sz w:val="21"/>
        </w:rPr>
        <w:t>Whether simplified one-zone-per-storey geometry captures all local thermal diversity.</w:t>
      </w:r>
    </w:p>
    <w:p>
      <w:r>
        <w:br w:type="page"/>
      </w:r>
    </w:p>
    <w:p>
      <w:pPr>
        <w:pStyle w:val="Heading1"/>
      </w:pPr>
      <w:r>
        <w:rPr>
          <w:rFonts w:ascii="Arial" w:hAnsi="Arial"/>
          <w:b/>
          <w:color w:val="173F45"/>
          <w:sz w:val="36"/>
        </w:rPr>
        <w:t>3. Run identity and execution record</w:t>
      </w:r>
    </w:p>
    <w:p>
      <w:r>
        <w:rPr>
          <w:rFonts w:ascii="Georgia" w:hAnsi="Georgia"/>
          <w:color w:val="1B292A"/>
          <w:sz w:val="21"/>
        </w:rPr>
        <w:t>This edition reads identity from the settled run directory and reconciled ledger/configuration evidence, not from mutable Files-page state. The run name is a human-recognisable label; cryptographic fingerprints establish the resolved scientific identity.</w:t>
      </w:r>
    </w:p>
    <w:p>
      <w:pPr>
        <w:pStyle w:val="Caption"/>
        <w:keepNext/>
        <w:spacing w:before="80" w:after="80"/>
      </w:pPr>
      <w:r>
        <w:rPr>
          <w:rFonts w:ascii="Arial" w:hAnsi="Arial"/>
          <w:b/>
          <w:color w:val="5B696A"/>
          <w:sz w:val="17"/>
        </w:rPr>
        <w:t>Table 2. Run identity and execution record</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Identity element</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Authoritative source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Final value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Run name</w:t>
            </w:r>
          </w:p>
        </w:tc>
        <w:tc>
          <w:tcPr>
            <w:tcW w:type="dxa" w:w="3000"/>
            <w:tcMar>
              <w:top w:w="90" w:type="dxa"/>
              <w:start w:w="120" w:type="dxa"/>
              <w:bottom w:w="90" w:type="dxa"/>
              <w:end w:w="120" w:type="dxa"/>
            </w:tcMar>
            <w:vAlign w:val="center"/>
          </w:tcPr>
          <w:p>
            <w:pPr>
              <w:spacing w:after="0"/>
            </w:pPr>
            <w:r>
              <w:rPr>
                <w:rFonts w:ascii="Arial" w:hAnsi="Arial"/>
                <w:color w:val="1B292A"/>
                <w:sz w:val="18"/>
              </w:rPr>
              <w:t>Run directory and API route</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ALL_VALENC-A_REAL</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Run identity</w:t>
            </w:r>
          </w:p>
        </w:tc>
        <w:tc>
          <w:tcPr>
            <w:tcW w:type="dxa" w:w="3000"/>
            <w:tcMar>
              <w:top w:w="90" w:type="dxa"/>
              <w:start w:w="120" w:type="dxa"/>
              <w:bottom w:w="90" w:type="dxa"/>
              <w:end w:w="120" w:type="dxa"/>
            </w:tcMar>
            <w:vAlign w:val="center"/>
          </w:tcPr>
          <w:p>
            <w:pPr>
              <w:spacing w:after="0"/>
            </w:pPr>
            <w:r>
              <w:rPr>
                <w:rFonts w:ascii="Arial" w:hAnsi="Arial"/>
                <w:color w:val="1B292A"/>
                <w:sz w:val="18"/>
              </w:rPr>
              <w:t>Configuration / latest ledger</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8def48ce840d8a1e…</w:t>
            </w:r>
            <w:r>
              <w:rPr>
                <w:rFonts w:ascii="Arial" w:hAnsi="Arial"/>
                <w:color w:val="1B292A"/>
                <w:sz w:val="18"/>
              </w:rPr>
              <w:t xml:space="preserve"> (full value in evidence manifest)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Verified profile</w:t>
            </w:r>
          </w:p>
        </w:tc>
        <w:tc>
          <w:tcPr>
            <w:tcW w:type="dxa" w:w="3000"/>
            <w:tcMar>
              <w:top w:w="90" w:type="dxa"/>
              <w:start w:w="120" w:type="dxa"/>
              <w:bottom w:w="90" w:type="dxa"/>
              <w:end w:w="120" w:type="dxa"/>
            </w:tcMar>
            <w:vAlign w:val="center"/>
          </w:tcPr>
          <w:p>
            <w:pPr>
              <w:spacing w:after="0"/>
            </w:pPr>
            <w:r>
              <w:rPr>
                <w:rFonts w:ascii="Arial" w:hAnsi="Arial"/>
                <w:color w:val="1B292A"/>
                <w:sz w:val="18"/>
              </w:rPr>
              <w:t>Configuration / latest ledger</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cbf17543cfee3ff1…</w:t>
            </w:r>
            <w:r>
              <w:rPr>
                <w:rFonts w:ascii="Arial" w:hAnsi="Arial"/>
                <w:color w:val="1B292A"/>
                <w:sz w:val="18"/>
              </w:rPr>
              <w:t xml:space="preserve"> (full value in evidence manifest)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Climate fingerprint</w:t>
            </w:r>
          </w:p>
        </w:tc>
        <w:tc>
          <w:tcPr>
            <w:tcW w:type="dxa" w:w="3000"/>
            <w:tcMar>
              <w:top w:w="90" w:type="dxa"/>
              <w:start w:w="120" w:type="dxa"/>
              <w:bottom w:w="90" w:type="dxa"/>
              <w:end w:w="120" w:type="dxa"/>
            </w:tcMar>
            <w:vAlign w:val="center"/>
          </w:tcPr>
          <w:p>
            <w:pPr>
              <w:spacing w:after="0"/>
            </w:pPr>
            <w:r>
              <w:rPr>
                <w:rFonts w:ascii="Arial" w:hAnsi="Arial"/>
                <w:color w:val="1B292A"/>
                <w:sz w:val="18"/>
              </w:rPr>
              <w:t>Configuration / latest ledger</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79c11a5992edeee5…</w:t>
            </w:r>
            <w:r>
              <w:rPr>
                <w:rFonts w:ascii="Arial" w:hAnsi="Arial"/>
                <w:color w:val="1B292A"/>
                <w:sz w:val="18"/>
              </w:rPr>
              <w:t xml:space="preserve"> (full value in evidence manifest)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Template fingerprint</w:t>
            </w:r>
          </w:p>
        </w:tc>
        <w:tc>
          <w:tcPr>
            <w:tcW w:type="dxa" w:w="3000"/>
            <w:tcMar>
              <w:top w:w="90" w:type="dxa"/>
              <w:start w:w="120" w:type="dxa"/>
              <w:bottom w:w="90" w:type="dxa"/>
              <w:end w:w="120" w:type="dxa"/>
            </w:tcMar>
            <w:vAlign w:val="center"/>
          </w:tcPr>
          <w:p>
            <w:pPr>
              <w:spacing w:after="0"/>
            </w:pPr>
            <w:r>
              <w:rPr>
                <w:rFonts w:ascii="Arial" w:hAnsi="Arial"/>
                <w:color w:val="1B292A"/>
                <w:sz w:val="18"/>
              </w:rPr>
              <w:t>Configuration / latest ledger</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a5d08275f02c9d76…</w:t>
            </w:r>
            <w:r>
              <w:rPr>
                <w:rFonts w:ascii="Arial" w:hAnsi="Arial"/>
                <w:color w:val="1B292A"/>
                <w:sz w:val="18"/>
              </w:rPr>
              <w:t xml:space="preserve"> (full value in evidence manifest)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Policy fingerprint</w:t>
            </w:r>
          </w:p>
        </w:tc>
        <w:tc>
          <w:tcPr>
            <w:tcW w:type="dxa" w:w="3000"/>
            <w:tcMar>
              <w:top w:w="90" w:type="dxa"/>
              <w:start w:w="120" w:type="dxa"/>
              <w:bottom w:w="90" w:type="dxa"/>
              <w:end w:w="120" w:type="dxa"/>
            </w:tcMar>
            <w:vAlign w:val="center"/>
          </w:tcPr>
          <w:p>
            <w:pPr>
              <w:spacing w:after="0"/>
            </w:pPr>
            <w:r>
              <w:rPr>
                <w:rFonts w:ascii="Arial" w:hAnsi="Arial"/>
                <w:color w:val="1B292A"/>
                <w:sz w:val="18"/>
              </w:rPr>
              <w:t>Configuration / latest ledger</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6b730d4946e772c1…</w:t>
            </w:r>
            <w:r>
              <w:rPr>
                <w:rFonts w:ascii="Arial" w:hAnsi="Arial"/>
                <w:color w:val="1B292A"/>
                <w:sz w:val="18"/>
              </w:rPr>
              <w:t xml:space="preserve"> (full value in evidence manifest)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Stock-source fingerprint</w:t>
            </w:r>
          </w:p>
        </w:tc>
        <w:tc>
          <w:tcPr>
            <w:tcW w:type="dxa" w:w="3000"/>
            <w:tcMar>
              <w:top w:w="90" w:type="dxa"/>
              <w:start w:w="120" w:type="dxa"/>
              <w:bottom w:w="90" w:type="dxa"/>
              <w:end w:w="120" w:type="dxa"/>
            </w:tcMar>
            <w:vAlign w:val="center"/>
          </w:tcPr>
          <w:p>
            <w:pPr>
              <w:spacing w:after="0"/>
            </w:pPr>
            <w:r>
              <w:rPr>
                <w:rFonts w:ascii="Arial" w:hAnsi="Arial"/>
                <w:color w:val="1B292A"/>
                <w:sz w:val="18"/>
              </w:rPr>
              <w:t>Configuration / latest ledger</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05736c0028799d84…</w:t>
            </w:r>
            <w:r>
              <w:rPr>
                <w:rFonts w:ascii="Arial" w:hAnsi="Arial"/>
                <w:color w:val="1B292A"/>
                <w:sz w:val="18"/>
              </w:rPr>
              <w:t xml:space="preserve"> (full value in evidence manifest)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Runner schema</w:t>
            </w:r>
          </w:p>
        </w:tc>
        <w:tc>
          <w:tcPr>
            <w:tcW w:type="dxa" w:w="3000"/>
            <w:tcMar>
              <w:top w:w="90" w:type="dxa"/>
              <w:start w:w="120" w:type="dxa"/>
              <w:bottom w:w="90" w:type="dxa"/>
              <w:end w:w="120" w:type="dxa"/>
            </w:tcMar>
            <w:vAlign w:val="center"/>
          </w:tcPr>
          <w:p>
            <w:pPr>
              <w:spacing w:after="0"/>
            </w:pPr>
            <w:r>
              <w:rPr>
                <w:rFonts w:ascii="Arial" w:hAnsi="Arial"/>
                <w:color w:val="1B292A"/>
                <w:sz w:val="18"/>
              </w:rPr>
              <w:t>Configuration / latest ledger</w:t>
            </w:r>
          </w:p>
        </w:tc>
        <w:tc>
          <w:tcPr>
            <w:tcW w:type="dxa" w:w="4575"/>
            <w:tcMar>
              <w:top w:w="90" w:type="dxa"/>
              <w:start w:w="120" w:type="dxa"/>
              <w:bottom w:w="90" w:type="dxa"/>
              <w:end w:w="120" w:type="dxa"/>
            </w:tcMar>
            <w:vAlign w:val="center"/>
          </w:tcPr>
          <w:p>
            <w:pPr>
              <w:spacing w:after="0"/>
            </w:pPr>
            <w:r>
              <w:rPr>
                <w:rFonts w:ascii="Arial" w:hAnsi="Arial"/>
                <w:color w:val="1B292A"/>
                <w:sz w:val="18"/>
              </w:rPr>
              <w:t>2</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Execution segments</w:t>
            </w:r>
          </w:p>
        </w:tc>
        <w:tc>
          <w:tcPr>
            <w:tcW w:type="dxa" w:w="3000"/>
            <w:tcMar>
              <w:top w:w="90" w:type="dxa"/>
              <w:start w:w="120" w:type="dxa"/>
              <w:bottom w:w="90" w:type="dxa"/>
              <w:end w:w="120" w:type="dxa"/>
            </w:tcMar>
            <w:vAlign w:val="center"/>
          </w:tcPr>
          <w:p>
            <w:pPr>
              <w:spacing w:after="0"/>
            </w:pPr>
            <w:r>
              <w:rPr>
                <w:rFonts w:ascii="Arial" w:hAnsi="Arial"/>
                <w:color w:val="1B292A"/>
                <w:sz w:val="18"/>
              </w:rPr>
              <w:t>Preserved process records</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segment 1: 8 workers, </w:t>
            </w:r>
            <w:r>
              <w:rPr>
                <w:rFonts w:ascii="Courier New" w:hAnsi="Courier New"/>
                <w:color w:val="173F45"/>
                <w:sz w:val="17"/>
              </w:rPr>
              <w:t>full</w:t>
            </w:r>
            <w:r>
              <w:rPr>
                <w:rFonts w:ascii="Arial" w:hAnsi="Arial"/>
                <w:color w:val="1B292A"/>
                <w:sz w:val="18"/>
              </w:rPr>
              <w:t xml:space="preserve"> retention, resume</w:t>
            </w:r>
          </w:p>
        </w:tc>
      </w:tr>
    </w:tbl>
    <w:p>
      <w:pPr>
        <w:spacing w:after="0"/>
      </w:pPr>
    </w:p>
    <w:p>
      <w:r>
        <w:rPr>
          <w:rFonts w:ascii="Georgia" w:hAnsi="Georgia"/>
          <w:color w:val="1B292A"/>
          <w:sz w:val="21"/>
        </w:rPr>
        <w:t>The production interface submits six workers and full per-building retention for a new UI request; these are not user-editable controls on the Run page. This run has an interruption/resume history, so execution provenance is reported by preserved segment rather than inferred from the UI default. Worker count affects throughput rather than frozen model inputs. Timing claims are limited to preserved process and ledger evidence.</w:t>
      </w:r>
    </w:p>
    <w:p>
      <w:pPr>
        <w:pStyle w:val="Heading2"/>
      </w:pPr>
      <w:r>
        <w:rPr>
          <w:rFonts w:ascii="Arial" w:hAnsi="Arial"/>
          <w:b/>
          <w:color w:val="1F5F67"/>
          <w:sz w:val="28"/>
        </w:rPr>
        <w:t>3.1 Period</w:t>
      </w:r>
    </w:p>
    <w:p>
      <w:r>
        <w:rPr>
          <w:rFonts w:ascii="Georgia" w:hAnsi="Georgia"/>
          <w:color w:val="1B292A"/>
          <w:sz w:val="21"/>
        </w:rPr>
        <w:t>The Valencia run is annual. Final energy is reported as kWh/year or GWh/year; intensity as kWh/m²·year; operational carbon as kgCO₂/m²·year or tCO₂/year where the corresponding denominator is explicit. No microclimate event values will be mixed into this annual ledger.</w:t>
      </w:r>
    </w:p>
    <w:p>
      <w:r>
        <w:br w:type="page"/>
      </w:r>
    </w:p>
    <w:p>
      <w:pPr>
        <w:pStyle w:val="Heading1"/>
      </w:pPr>
      <w:r>
        <w:rPr>
          <w:rFonts w:ascii="Arial" w:hAnsi="Arial"/>
          <w:b/>
          <w:color w:val="173F45"/>
          <w:sz w:val="36"/>
        </w:rPr>
        <w:t>4. Authoritative inputs</w:t>
      </w:r>
    </w:p>
    <w:p>
      <w:r>
        <w:rPr>
          <w:rFonts w:ascii="Georgia" w:hAnsi="Georgia"/>
          <w:color w:val="1B292A"/>
          <w:sz w:val="21"/>
        </w:rPr>
        <w:t>The run resolves its active input set once and records content identities. Absolute workstation paths are excluded from this report. Logical dataset role, preserved filename, validation contract and SHA-256 evidence are retained.</w:t>
      </w:r>
    </w:p>
    <w:p>
      <w:pPr>
        <w:pStyle w:val="Heading2"/>
      </w:pPr>
      <w:r>
        <w:rPr>
          <w:rFonts w:ascii="Arial" w:hAnsi="Arial"/>
          <w:b/>
          <w:color w:val="1F5F67"/>
          <w:sz w:val="28"/>
        </w:rPr>
        <w:t>4.1 Valencia cadastre</w:t>
      </w:r>
    </w:p>
    <w:p>
      <w:r>
        <w:rPr>
          <w:rFonts w:ascii="Georgia" w:hAnsi="Georgia"/>
          <w:color w:val="1B292A"/>
          <w:sz w:val="21"/>
        </w:rPr>
        <w:t>The building GIS supplies parcel/building geometry and attributes used for identity, scope, storeys, population, dwellings, cluster, district/context and footprint preparation. It is an administrative/research source, not a geometric survey. The evidence manifest records the managed filename, component hashes, prepared-stock identity and field-role policy; spatial export acceptance records CRS and feature reconciliation.</w:t>
      </w:r>
    </w:p>
    <w:p>
      <w:pPr>
        <w:pStyle w:val="Heading2"/>
      </w:pPr>
      <w:r>
        <w:rPr>
          <w:rFonts w:ascii="Arial" w:hAnsi="Arial"/>
          <w:b/>
          <w:color w:val="1F5F67"/>
          <w:sz w:val="28"/>
        </w:rPr>
        <w:t>4.2 Tipo15 dwelling ledger</w:t>
      </w:r>
    </w:p>
    <w:p>
      <w:r>
        <w:rPr>
          <w:rFonts w:ascii="Georgia" w:hAnsi="Georgia"/>
          <w:color w:val="1B292A"/>
          <w:sz w:val="21"/>
        </w:rPr>
        <w:t xml:space="preserve">The companion semicolon-delimited Latin-1 CSV supplies </w:t>
      </w:r>
      <w:r>
        <w:rPr>
          <w:rFonts w:ascii="Courier New" w:hAnsi="Courier New"/>
          <w:color w:val="173F45"/>
          <w:sz w:val="19"/>
        </w:rPr>
        <w:t>31_pc</w:t>
      </w:r>
      <w:r>
        <w:rPr>
          <w:rFonts w:ascii="Georgia" w:hAnsi="Georgia"/>
          <w:color w:val="1B292A"/>
          <w:sz w:val="21"/>
        </w:rPr>
        <w:t xml:space="preserve">, </w:t>
      </w:r>
      <w:r>
        <w:rPr>
          <w:rFonts w:ascii="Courier New" w:hAnsi="Courier New"/>
          <w:color w:val="173F45"/>
          <w:sz w:val="19"/>
        </w:rPr>
        <w:t>252_planta</w:t>
      </w:r>
      <w:r>
        <w:rPr>
          <w:rFonts w:ascii="Georgia" w:hAnsi="Georgia"/>
          <w:color w:val="1B292A"/>
          <w:sz w:val="21"/>
        </w:rPr>
        <w:t xml:space="preserve">, </w:t>
      </w:r>
      <w:r>
        <w:rPr>
          <w:rFonts w:ascii="Courier New" w:hAnsi="Courier New"/>
          <w:color w:val="173F45"/>
          <w:sz w:val="19"/>
        </w:rPr>
        <w:t>428_uso</w:t>
      </w:r>
      <w:r>
        <w:rPr>
          <w:rFonts w:ascii="Georgia" w:hAnsi="Georgia"/>
          <w:color w:val="1B292A"/>
          <w:sz w:val="21"/>
        </w:rPr>
        <w:t xml:space="preserve"> and </w:t>
      </w:r>
      <w:r>
        <w:rPr>
          <w:rFonts w:ascii="Courier New" w:hAnsi="Courier New"/>
          <w:color w:val="173F45"/>
          <w:sz w:val="19"/>
        </w:rPr>
        <w:t>442_sup_Residencial</w:t>
      </w:r>
      <w:r>
        <w:rPr>
          <w:rFonts w:ascii="Georgia" w:hAnsi="Georgia"/>
          <w:color w:val="1B292A"/>
          <w:sz w:val="21"/>
        </w:rPr>
        <w:t>. It supports parcel join, floor/use interpretation and the cadastral residential-area denominator. Multiple dwelling records per parcel are expected. Missing joins and fallback use are quantified rather than converted to zero.</w:t>
      </w:r>
    </w:p>
    <w:p>
      <w:pPr>
        <w:pStyle w:val="Heading2"/>
      </w:pPr>
      <w:r>
        <w:rPr>
          <w:rFonts w:ascii="Arial" w:hAnsi="Arial"/>
          <w:b/>
          <w:color w:val="1F5F67"/>
          <w:sz w:val="28"/>
        </w:rPr>
        <w:t>4.3 EPW and DDY climate pair</w:t>
      </w:r>
    </w:p>
    <w:p>
      <w:r>
        <w:rPr>
          <w:rFonts w:ascii="Georgia" w:hAnsi="Georgia"/>
          <w:color w:val="1B292A"/>
          <w:sz w:val="21"/>
        </w:rPr>
        <w:t>The annual EPW supplies hourly weather and site metadata; the matched DDY supplies winter and summer design days. The pair is validated and activated atomically. Slab-contact ground temperature and water-mains temperature are recorded separately because an EPW does not authoritatively provide both model inputs.</w:t>
      </w:r>
    </w:p>
    <w:p>
      <w:pPr>
        <w:pStyle w:val="Heading2"/>
      </w:pPr>
      <w:r>
        <w:rPr>
          <w:rFonts w:ascii="Arial" w:hAnsi="Arial"/>
          <w:b/>
          <w:color w:val="1F5F67"/>
          <w:sz w:val="28"/>
        </w:rPr>
        <w:t>4.4 OpenStudio template</w:t>
      </w:r>
    </w:p>
    <w:p>
      <w:r>
        <w:rPr>
          <w:rFonts w:ascii="Georgia" w:hAnsi="Georgia"/>
          <w:color w:val="1B292A"/>
          <w:sz w:val="21"/>
        </w:rPr>
        <w:t>The OSM template provides role-bound constructions, schedules, thermostats, space types and required system objects. Its fingerprint identifies the source library used to build every accepted model; it is not a measured representation of each building.</w:t>
      </w:r>
    </w:p>
    <w:p>
      <w:pPr>
        <w:pStyle w:val="Caption"/>
        <w:keepNext/>
        <w:spacing w:before="80" w:after="80"/>
      </w:pPr>
      <w:r>
        <w:rPr>
          <w:rFonts w:ascii="Arial" w:hAnsi="Arial"/>
          <w:b/>
          <w:color w:val="5B696A"/>
          <w:sz w:val="17"/>
        </w:rPr>
        <w:t>Table 3. OpenStudio template</w:t>
      </w:r>
    </w:p>
    <w:tbl>
      <w:tblPr>
        <w:tblStyle w:val="TableGrid"/>
        <w:tblW w:type="dxa" w:w="10175"/>
        <w:jc w:val="left"/>
        <w:tblLayout w:type="fixed"/>
        <w:tblLook w:firstColumn="1" w:firstRow="1" w:lastColumn="0" w:lastRow="0" w:noHBand="0" w:noVBand="1" w:val="04A0"/>
        <w:tblInd w:w="120" w:type="dxa"/>
      </w:tblPr>
      <w:tblGrid>
        <w:gridCol w:w="2200"/>
        <w:gridCol w:w="2658"/>
        <w:gridCol w:w="2658"/>
        <w:gridCol w:w="2659"/>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Dataset role</w:t>
            </w:r>
          </w:p>
        </w:tc>
        <w:tc>
          <w:tcPr>
            <w:tcW w:type="dxa" w:w="2658"/>
            <w:tcMar>
              <w:top w:w="90" w:type="dxa"/>
              <w:start w:w="120" w:type="dxa"/>
              <w:bottom w:w="90" w:type="dxa"/>
              <w:end w:w="120" w:type="dxa"/>
            </w:tcMar>
            <w:vAlign w:val="center"/>
            <w:shd w:fill="E8F1F1"/>
          </w:tcPr>
          <w:p>
            <w:pPr>
              <w:spacing w:after="0"/>
            </w:pPr>
            <w:r>
              <w:rPr>
                <w:rFonts w:ascii="Arial" w:hAnsi="Arial"/>
                <w:b/>
                <w:color w:val="173F45"/>
                <w:sz w:val="17"/>
              </w:rPr>
              <w:t>Preserved filename</w:t>
            </w:r>
          </w:p>
        </w:tc>
        <w:tc>
          <w:tcPr>
            <w:tcW w:type="dxa" w:w="2658"/>
            <w:tcMar>
              <w:top w:w="90" w:type="dxa"/>
              <w:start w:w="120" w:type="dxa"/>
              <w:bottom w:w="90" w:type="dxa"/>
              <w:end w:w="120" w:type="dxa"/>
            </w:tcMar>
            <w:vAlign w:val="center"/>
            <w:shd w:fill="E8F1F1"/>
          </w:tcPr>
          <w:p>
            <w:pPr>
              <w:spacing w:after="0"/>
            </w:pPr>
            <w:r>
              <w:rPr>
                <w:rFonts w:ascii="Arial" w:hAnsi="Arial"/>
                <w:b/>
                <w:color w:val="173F45"/>
                <w:sz w:val="17"/>
              </w:rPr>
              <w:t>Contract</w:t>
            </w:r>
          </w:p>
        </w:tc>
        <w:tc>
          <w:tcPr>
            <w:tcW w:type="dxa" w:w="2659"/>
            <w:tcMar>
              <w:top w:w="90" w:type="dxa"/>
              <w:start w:w="120" w:type="dxa"/>
              <w:bottom w:w="90" w:type="dxa"/>
              <w:end w:w="120" w:type="dxa"/>
            </w:tcMar>
            <w:vAlign w:val="center"/>
            <w:shd w:fill="E8F1F1"/>
          </w:tcPr>
          <w:p>
            <w:pPr>
              <w:spacing w:after="0"/>
            </w:pPr>
            <w:r>
              <w:rPr>
                <w:rFonts w:ascii="Arial" w:hAnsi="Arial"/>
                <w:b/>
                <w:color w:val="173F45"/>
                <w:sz w:val="17"/>
              </w:rPr>
              <w:t>SHA-256 / fingerprint</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Building GIS</w:t>
            </w:r>
          </w:p>
        </w:tc>
        <w:tc>
          <w:tcPr>
            <w:tcW w:type="dxa" w:w="2658"/>
            <w:tcMar>
              <w:top w:w="90" w:type="dxa"/>
              <w:start w:w="120" w:type="dxa"/>
              <w:bottom w:w="90" w:type="dxa"/>
              <w:end w:w="120" w:type="dxa"/>
            </w:tcMar>
            <w:vAlign w:val="center"/>
          </w:tcPr>
          <w:p>
            <w:pPr>
              <w:spacing w:after="0"/>
            </w:pPr>
            <w:r>
              <w:rPr>
                <w:rFonts w:ascii="Courier New" w:hAnsi="Courier New"/>
                <w:color w:val="173F45"/>
                <w:sz w:val="16"/>
              </w:rPr>
              <w:t>DatosRai_ciudadValencia.shp</w:t>
            </w:r>
          </w:p>
        </w:tc>
        <w:tc>
          <w:tcPr>
            <w:tcW w:type="dxa" w:w="2658"/>
            <w:tcMar>
              <w:top w:w="90" w:type="dxa"/>
              <w:start w:w="120" w:type="dxa"/>
              <w:bottom w:w="90" w:type="dxa"/>
              <w:end w:w="120" w:type="dxa"/>
            </w:tcMar>
            <w:vAlign w:val="center"/>
          </w:tcPr>
          <w:p>
            <w:pPr>
              <w:spacing w:after="0"/>
            </w:pPr>
            <w:r>
              <w:rPr>
                <w:rFonts w:ascii="Arial" w:hAnsi="Arial"/>
                <w:color w:val="1B292A"/>
                <w:sz w:val="17"/>
              </w:rPr>
              <w:t>Shapefile collection + active policy</w:t>
            </w:r>
          </w:p>
        </w:tc>
        <w:tc>
          <w:tcPr>
            <w:tcW w:type="dxa" w:w="2659"/>
            <w:tcMar>
              <w:top w:w="90" w:type="dxa"/>
              <w:start w:w="120" w:type="dxa"/>
              <w:bottom w:w="90" w:type="dxa"/>
              <w:end w:w="120" w:type="dxa"/>
            </w:tcMar>
            <w:vAlign w:val="center"/>
          </w:tcPr>
          <w:p>
            <w:pPr>
              <w:spacing w:after="0"/>
            </w:pPr>
            <w:r>
              <w:rPr>
                <w:rFonts w:ascii="Arial" w:hAnsi="Arial"/>
                <w:color w:val="1B292A"/>
                <w:sz w:val="17"/>
              </w:rPr>
              <w:t xml:space="preserve">5 component SHA-256 values in manifest; </w:t>
            </w:r>
            <w:r>
              <w:rPr>
                <w:rFonts w:ascii="Courier New" w:hAnsi="Courier New"/>
                <w:color w:val="173F45"/>
                <w:sz w:val="16"/>
              </w:rPr>
              <w:t>05736c0028799d84…</w:t>
            </w:r>
            <w:r>
              <w:rPr>
                <w:rFonts w:ascii="Arial" w:hAnsi="Arial"/>
                <w:color w:val="1B292A"/>
                <w:sz w:val="17"/>
              </w:rPr>
              <w:t xml:space="preserve"> (full value in evidence manifest)</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Tipo15</w:t>
            </w:r>
          </w:p>
        </w:tc>
        <w:tc>
          <w:tcPr>
            <w:tcW w:type="dxa" w:w="2658"/>
            <w:tcMar>
              <w:top w:w="90" w:type="dxa"/>
              <w:start w:w="120" w:type="dxa"/>
              <w:bottom w:w="90" w:type="dxa"/>
              <w:end w:w="120" w:type="dxa"/>
            </w:tcMar>
            <w:vAlign w:val="center"/>
          </w:tcPr>
          <w:p>
            <w:pPr>
              <w:spacing w:after="0"/>
            </w:pPr>
            <w:r>
              <w:rPr>
                <w:rFonts w:ascii="Courier New" w:hAnsi="Courier New"/>
                <w:color w:val="173F45"/>
                <w:sz w:val="16"/>
              </w:rPr>
              <w:t>2_daire_kutugu_Tipo15_soloV(in).csv</w:t>
            </w:r>
          </w:p>
        </w:tc>
        <w:tc>
          <w:tcPr>
            <w:tcW w:type="dxa" w:w="2658"/>
            <w:tcMar>
              <w:top w:w="90" w:type="dxa"/>
              <w:start w:w="120" w:type="dxa"/>
              <w:bottom w:w="90" w:type="dxa"/>
              <w:end w:w="120" w:type="dxa"/>
            </w:tcMar>
            <w:vAlign w:val="center"/>
          </w:tcPr>
          <w:p>
            <w:pPr>
              <w:spacing w:after="0"/>
            </w:pPr>
            <w:r>
              <w:rPr>
                <w:rFonts w:ascii="Courier New" w:hAnsi="Courier New"/>
                <w:color w:val="173F45"/>
                <w:sz w:val="16"/>
              </w:rPr>
              <w:t>tipo15-v1</w:t>
            </w:r>
          </w:p>
        </w:tc>
        <w:tc>
          <w:tcPr>
            <w:tcW w:type="dxa" w:w="2659"/>
            <w:tcMar>
              <w:top w:w="90" w:type="dxa"/>
              <w:start w:w="120" w:type="dxa"/>
              <w:bottom w:w="90" w:type="dxa"/>
              <w:end w:w="120" w:type="dxa"/>
            </w:tcMar>
            <w:vAlign w:val="center"/>
          </w:tcPr>
          <w:p>
            <w:pPr>
              <w:spacing w:after="0"/>
            </w:pPr>
            <w:r>
              <w:rPr>
                <w:rFonts w:ascii="Courier New" w:hAnsi="Courier New"/>
                <w:color w:val="173F45"/>
                <w:sz w:val="16"/>
              </w:rPr>
              <w:t>c6e85c677c32596b…</w:t>
            </w:r>
            <w:r>
              <w:rPr>
                <w:rFonts w:ascii="Arial" w:hAnsi="Arial"/>
                <w:color w:val="1B292A"/>
                <w:sz w:val="17"/>
              </w:rPr>
              <w:t xml:space="preserve"> (full value in evidence manifest)</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Annual EPW</w:t>
            </w:r>
          </w:p>
        </w:tc>
        <w:tc>
          <w:tcPr>
            <w:tcW w:type="dxa" w:w="2658"/>
            <w:tcMar>
              <w:top w:w="90" w:type="dxa"/>
              <w:start w:w="120" w:type="dxa"/>
              <w:bottom w:w="90" w:type="dxa"/>
              <w:end w:w="120" w:type="dxa"/>
            </w:tcMar>
            <w:vAlign w:val="center"/>
          </w:tcPr>
          <w:p>
            <w:pPr>
              <w:spacing w:after="0"/>
            </w:pPr>
            <w:r>
              <w:rPr>
                <w:rFonts w:ascii="Courier New" w:hAnsi="Courier New"/>
                <w:color w:val="173F45"/>
                <w:sz w:val="16"/>
              </w:rPr>
              <w:t>3_iklim_ESP_Valencia.082840_IWEC.epw</w:t>
            </w:r>
          </w:p>
        </w:tc>
        <w:tc>
          <w:tcPr>
            <w:tcW w:type="dxa" w:w="2658"/>
            <w:tcMar>
              <w:top w:w="90" w:type="dxa"/>
              <w:start w:w="120" w:type="dxa"/>
              <w:bottom w:w="90" w:type="dxa"/>
              <w:end w:w="120" w:type="dxa"/>
            </w:tcMar>
            <w:vAlign w:val="center"/>
          </w:tcPr>
          <w:p>
            <w:pPr>
              <w:spacing w:after="0"/>
            </w:pPr>
            <w:r>
              <w:rPr>
                <w:rFonts w:ascii="Courier New" w:hAnsi="Courier New"/>
                <w:color w:val="173F45"/>
                <w:sz w:val="16"/>
              </w:rPr>
              <w:t>epw-annual-v1</w:t>
            </w:r>
          </w:p>
        </w:tc>
        <w:tc>
          <w:tcPr>
            <w:tcW w:type="dxa" w:w="2659"/>
            <w:tcMar>
              <w:top w:w="90" w:type="dxa"/>
              <w:start w:w="120" w:type="dxa"/>
              <w:bottom w:w="90" w:type="dxa"/>
              <w:end w:w="120" w:type="dxa"/>
            </w:tcMar>
            <w:vAlign w:val="center"/>
          </w:tcPr>
          <w:p>
            <w:pPr>
              <w:spacing w:after="0"/>
            </w:pPr>
            <w:r>
              <w:rPr>
                <w:rFonts w:ascii="Courier New" w:hAnsi="Courier New"/>
                <w:color w:val="173F45"/>
                <w:sz w:val="16"/>
              </w:rPr>
              <w:t>09dd4adf2bf25ba5…</w:t>
            </w:r>
            <w:r>
              <w:rPr>
                <w:rFonts w:ascii="Arial" w:hAnsi="Arial"/>
                <w:color w:val="1B292A"/>
                <w:sz w:val="17"/>
              </w:rPr>
              <w:t xml:space="preserve"> (full value in evidence manifest)</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DDY</w:t>
            </w:r>
          </w:p>
        </w:tc>
        <w:tc>
          <w:tcPr>
            <w:tcW w:type="dxa" w:w="2658"/>
            <w:tcMar>
              <w:top w:w="90" w:type="dxa"/>
              <w:start w:w="120" w:type="dxa"/>
              <w:bottom w:w="90" w:type="dxa"/>
              <w:end w:w="120" w:type="dxa"/>
            </w:tcMar>
            <w:vAlign w:val="center"/>
          </w:tcPr>
          <w:p>
            <w:pPr>
              <w:spacing w:after="0"/>
            </w:pPr>
            <w:r>
              <w:rPr>
                <w:rFonts w:ascii="Courier New" w:hAnsi="Courier New"/>
                <w:color w:val="173F45"/>
                <w:sz w:val="16"/>
              </w:rPr>
              <w:t>4_tasarim_gunleri_ESP_Valencia.082840_IWEC.ddy</w:t>
            </w:r>
          </w:p>
        </w:tc>
        <w:tc>
          <w:tcPr>
            <w:tcW w:type="dxa" w:w="2658"/>
            <w:tcMar>
              <w:top w:w="90" w:type="dxa"/>
              <w:start w:w="120" w:type="dxa"/>
              <w:bottom w:w="90" w:type="dxa"/>
              <w:end w:w="120" w:type="dxa"/>
            </w:tcMar>
            <w:vAlign w:val="center"/>
          </w:tcPr>
          <w:p>
            <w:pPr>
              <w:spacing w:after="0"/>
            </w:pPr>
            <w:r>
              <w:rPr>
                <w:rFonts w:ascii="Courier New" w:hAnsi="Courier New"/>
                <w:color w:val="173F45"/>
                <w:sz w:val="16"/>
              </w:rPr>
              <w:t>ddy-design-days-v1</w:t>
            </w:r>
          </w:p>
        </w:tc>
        <w:tc>
          <w:tcPr>
            <w:tcW w:type="dxa" w:w="2659"/>
            <w:tcMar>
              <w:top w:w="90" w:type="dxa"/>
              <w:start w:w="120" w:type="dxa"/>
              <w:bottom w:w="90" w:type="dxa"/>
              <w:end w:w="120" w:type="dxa"/>
            </w:tcMar>
            <w:vAlign w:val="center"/>
          </w:tcPr>
          <w:p>
            <w:pPr>
              <w:spacing w:after="0"/>
            </w:pPr>
            <w:r>
              <w:rPr>
                <w:rFonts w:ascii="Courier New" w:hAnsi="Courier New"/>
                <w:color w:val="173F45"/>
                <w:sz w:val="16"/>
              </w:rPr>
              <w:t>3ddb6f02ca132080…</w:t>
            </w:r>
            <w:r>
              <w:rPr>
                <w:rFonts w:ascii="Arial" w:hAnsi="Arial"/>
                <w:color w:val="1B292A"/>
                <w:sz w:val="17"/>
              </w:rPr>
              <w:t xml:space="preserve"> (full value in evidence manifest)</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OpenStudio template</w:t>
            </w:r>
          </w:p>
        </w:tc>
        <w:tc>
          <w:tcPr>
            <w:tcW w:type="dxa" w:w="2658"/>
            <w:tcMar>
              <w:top w:w="90" w:type="dxa"/>
              <w:start w:w="120" w:type="dxa"/>
              <w:bottom w:w="90" w:type="dxa"/>
              <w:end w:w="120" w:type="dxa"/>
            </w:tcMar>
            <w:vAlign w:val="center"/>
          </w:tcPr>
          <w:p>
            <w:pPr>
              <w:spacing w:after="0"/>
            </w:pPr>
            <w:r>
              <w:rPr>
                <w:rFonts w:ascii="Courier New" w:hAnsi="Courier New"/>
                <w:color w:val="173F45"/>
                <w:sz w:val="16"/>
              </w:rPr>
              <w:t>PlantillaOS_v2.osm</w:t>
            </w:r>
          </w:p>
        </w:tc>
        <w:tc>
          <w:tcPr>
            <w:tcW w:type="dxa" w:w="2658"/>
            <w:tcMar>
              <w:top w:w="90" w:type="dxa"/>
              <w:start w:w="120" w:type="dxa"/>
              <w:bottom w:w="90" w:type="dxa"/>
              <w:end w:w="120" w:type="dxa"/>
            </w:tcMar>
            <w:vAlign w:val="center"/>
          </w:tcPr>
          <w:p>
            <w:pPr>
              <w:spacing w:after="0"/>
            </w:pPr>
            <w:r>
              <w:rPr>
                <w:rFonts w:ascii="Courier New" w:hAnsi="Courier New"/>
                <w:color w:val="173F45"/>
                <w:sz w:val="16"/>
              </w:rPr>
              <w:t>template-roles-v1</w:t>
            </w:r>
          </w:p>
        </w:tc>
        <w:tc>
          <w:tcPr>
            <w:tcW w:type="dxa" w:w="2659"/>
            <w:tcMar>
              <w:top w:w="90" w:type="dxa"/>
              <w:start w:w="120" w:type="dxa"/>
              <w:bottom w:w="90" w:type="dxa"/>
              <w:end w:w="120" w:type="dxa"/>
            </w:tcMar>
            <w:vAlign w:val="center"/>
          </w:tcPr>
          <w:p>
            <w:pPr>
              <w:spacing w:after="0"/>
            </w:pPr>
            <w:r>
              <w:rPr>
                <w:rFonts w:ascii="Courier New" w:hAnsi="Courier New"/>
                <w:color w:val="173F45"/>
                <w:sz w:val="16"/>
              </w:rPr>
              <w:t>292dcf0fceac1b98…</w:t>
            </w:r>
            <w:r>
              <w:rPr>
                <w:rFonts w:ascii="Arial" w:hAnsi="Arial"/>
                <w:color w:val="1B292A"/>
                <w:sz w:val="17"/>
              </w:rPr>
              <w:t xml:space="preserve"> (full value in evidence manifest)</w:t>
            </w:r>
          </w:p>
        </w:tc>
      </w:tr>
    </w:tbl>
    <w:p>
      <w:pPr>
        <w:spacing w:after="0"/>
      </w:pPr>
    </w:p>
    <w:p>
      <w:pPr>
        <w:pStyle w:val="Heading2"/>
      </w:pPr>
      <w:r>
        <w:rPr>
          <w:rFonts w:ascii="Arial" w:hAnsi="Arial"/>
          <w:b/>
          <w:color w:val="1F5F67"/>
          <w:sz w:val="28"/>
        </w:rPr>
        <w:t>4.5 Extracted data</w:t>
      </w:r>
    </w:p>
    <w:p>
      <w:r>
        <w:rPr>
          <w:rFonts w:ascii="Georgia" w:hAnsi="Georgia"/>
          <w:color w:val="1B292A"/>
          <w:sz w:val="21"/>
        </w:rPr>
        <w:t>This section states exactly which data were taken out of the supplied sources and which were produced by the run. A field that exists in a source file is not evidence that the model consumed it.</w:t>
      </w:r>
    </w:p>
    <w:p>
      <w:pPr>
        <w:pStyle w:val="Heading3"/>
      </w:pPr>
      <w:r>
        <w:rPr>
          <w:rFonts w:ascii="Arial" w:hAnsi="Arial"/>
          <w:b/>
          <w:color w:val="173F45"/>
          <w:sz w:val="23"/>
        </w:rPr>
        <w:t>4.5.1 Fields extracted from the inputs</w:t>
      </w:r>
    </w:p>
    <w:p>
      <w:r>
        <w:rPr>
          <w:rFonts w:ascii="Georgia" w:hAnsi="Georgia"/>
          <w:color w:val="1B292A"/>
          <w:sz w:val="21"/>
        </w:rPr>
        <w:t xml:space="preserve">The Valencia cadastre carries 35 attribute fields plus polygon geometry. The preparation policy carries </w:t>
      </w:r>
      <w:r>
        <w:rPr>
          <w:rFonts w:ascii="Georgia" w:hAnsi="Georgia"/>
          <w:b/>
          <w:color w:val="1B292A"/>
          <w:sz w:val="21"/>
        </w:rPr>
        <w:t>seven</w:t>
      </w:r>
      <w:r>
        <w:rPr>
          <w:rFonts w:ascii="Georgia" w:hAnsi="Georgia"/>
          <w:color w:val="1B292A"/>
          <w:sz w:val="21"/>
        </w:rPr>
        <w:t xml:space="preserve"> of them into the engine-ready stock; the remainder are not read during simulation.</w:t>
      </w:r>
    </w:p>
    <w:p>
      <w:pPr>
        <w:pStyle w:val="Caption"/>
        <w:keepNext/>
        <w:spacing w:before="80" w:after="80"/>
      </w:pPr>
      <w:r>
        <w:rPr>
          <w:rFonts w:ascii="Arial" w:hAnsi="Arial"/>
          <w:b/>
          <w:color w:val="5B696A"/>
          <w:sz w:val="17"/>
        </w:rPr>
        <w:t>Table 4. Fields extracted from the inputs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Source</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Extracted and used</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Role in the model</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Cadastre</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refparcela</w:t>
            </w:r>
          </w:p>
        </w:tc>
        <w:tc>
          <w:tcPr>
            <w:tcW w:type="dxa" w:w="4575"/>
            <w:tcMar>
              <w:top w:w="90" w:type="dxa"/>
              <w:start w:w="120" w:type="dxa"/>
              <w:bottom w:w="90" w:type="dxa"/>
              <w:end w:w="120" w:type="dxa"/>
            </w:tcMar>
            <w:vAlign w:val="center"/>
          </w:tcPr>
          <w:p>
            <w:pPr>
              <w:spacing w:after="0"/>
            </w:pPr>
            <w:r>
              <w:rPr>
                <w:rFonts w:ascii="Arial" w:hAnsi="Arial"/>
                <w:color w:val="1B292A"/>
                <w:sz w:val="18"/>
              </w:rPr>
              <w:t>Building identity, ledger key, run scope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Cadastre</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altura_max</w:t>
            </w:r>
          </w:p>
        </w:tc>
        <w:tc>
          <w:tcPr>
            <w:tcW w:type="dxa" w:w="4575"/>
            <w:tcMar>
              <w:top w:w="90" w:type="dxa"/>
              <w:start w:w="120" w:type="dxa"/>
              <w:bottom w:w="90" w:type="dxa"/>
              <w:end w:w="120" w:type="dxa"/>
            </w:tcMar>
            <w:vAlign w:val="center"/>
          </w:tcPr>
          <w:p>
            <w:pPr>
              <w:spacing w:after="0"/>
            </w:pPr>
            <w:r>
              <w:rPr>
                <w:rFonts w:ascii="Arial" w:hAnsi="Arial"/>
                <w:color w:val="1B292A"/>
                <w:sz w:val="18"/>
              </w:rPr>
              <w:t>Recorded storeys, before the cadastral storey rule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Cadastre</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cluster</w:t>
            </w:r>
          </w:p>
        </w:tc>
        <w:tc>
          <w:tcPr>
            <w:tcW w:type="dxa" w:w="4575"/>
            <w:tcMar>
              <w:top w:w="90" w:type="dxa"/>
              <w:start w:w="120" w:type="dxa"/>
              <w:bottom w:w="90" w:type="dxa"/>
              <w:end w:w="120" w:type="dxa"/>
            </w:tcMar>
            <w:vAlign w:val="center"/>
          </w:tcPr>
          <w:p>
            <w:pPr>
              <w:spacing w:after="0"/>
            </w:pPr>
            <w:r>
              <w:rPr>
                <w:rFonts w:ascii="Arial" w:hAnsi="Arial"/>
                <w:color w:val="1B292A"/>
                <w:sz w:val="18"/>
              </w:rPr>
              <w:t>TABULA family/period, from which envelope U-values resolve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Cadastre</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nombre</w:t>
            </w:r>
          </w:p>
        </w:tc>
        <w:tc>
          <w:tcPr>
            <w:tcW w:type="dxa" w:w="4575"/>
            <w:tcMar>
              <w:top w:w="90" w:type="dxa"/>
              <w:start w:w="120" w:type="dxa"/>
              <w:bottom w:w="90" w:type="dxa"/>
              <w:end w:w="120" w:type="dxa"/>
            </w:tcMar>
            <w:vAlign w:val="center"/>
          </w:tcPr>
          <w:p>
            <w:pPr>
              <w:spacing w:after="0"/>
            </w:pPr>
            <w:r>
              <w:rPr>
                <w:rFonts w:ascii="Arial" w:hAnsi="Arial"/>
                <w:color w:val="1B292A"/>
                <w:sz w:val="18"/>
              </w:rPr>
              <w:t>District grouping for aggregate reporting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Cadastre</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pob_total</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 population driving occupancy and hot-water draw</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Cadastre</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num_vivend</w:t>
            </w:r>
          </w:p>
        </w:tc>
        <w:tc>
          <w:tcPr>
            <w:tcW w:type="dxa" w:w="4575"/>
            <w:tcMar>
              <w:top w:w="90" w:type="dxa"/>
              <w:start w:w="120" w:type="dxa"/>
              <w:bottom w:w="90" w:type="dxa"/>
              <w:end w:w="120" w:type="dxa"/>
            </w:tcMar>
            <w:vAlign w:val="center"/>
          </w:tcPr>
          <w:p>
            <w:pPr>
              <w:spacing w:after="0"/>
            </w:pPr>
            <w:r>
              <w:rPr>
                <w:rFonts w:ascii="Arial" w:hAnsi="Arial"/>
                <w:color w:val="1B292A"/>
                <w:sz w:val="18"/>
              </w:rPr>
              <w:t>Dwelling count for per-dwelling intensities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Cadastre</w:t>
            </w:r>
          </w:p>
        </w:tc>
        <w:tc>
          <w:tcPr>
            <w:tcW w:type="dxa" w:w="3000"/>
            <w:tcMar>
              <w:top w:w="90" w:type="dxa"/>
              <w:start w:w="120" w:type="dxa"/>
              <w:bottom w:w="90" w:type="dxa"/>
              <w:end w:w="120" w:type="dxa"/>
            </w:tcMar>
            <w:vAlign w:val="center"/>
          </w:tcPr>
          <w:p>
            <w:pPr>
              <w:spacing w:after="0"/>
            </w:pPr>
            <w:r>
              <w:rPr>
                <w:rFonts w:ascii="Arial" w:hAnsi="Arial"/>
                <w:color w:val="1B292A"/>
                <w:sz w:val="18"/>
              </w:rPr>
              <w:t>polygon geometry</w:t>
            </w:r>
          </w:p>
        </w:tc>
        <w:tc>
          <w:tcPr>
            <w:tcW w:type="dxa" w:w="4575"/>
            <w:tcMar>
              <w:top w:w="90" w:type="dxa"/>
              <w:start w:w="120" w:type="dxa"/>
              <w:bottom w:w="90" w:type="dxa"/>
              <w:end w:w="120" w:type="dxa"/>
            </w:tcMar>
            <w:vAlign w:val="center"/>
          </w:tcPr>
          <w:p>
            <w:pPr>
              <w:spacing w:after="0"/>
            </w:pPr>
            <w:r>
              <w:rPr>
                <w:rFonts w:ascii="Arial" w:hAnsi="Arial"/>
                <w:color w:val="1B292A"/>
                <w:sz w:val="18"/>
              </w:rPr>
              <w:t>Footprint preparation, adjacency, party surfaces, context shading</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Tipo15</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31_pc</w:t>
            </w:r>
          </w:p>
        </w:tc>
        <w:tc>
          <w:tcPr>
            <w:tcW w:type="dxa" w:w="4575"/>
            <w:tcMar>
              <w:top w:w="90" w:type="dxa"/>
              <w:start w:w="120" w:type="dxa"/>
              <w:bottom w:w="90" w:type="dxa"/>
              <w:end w:w="120" w:type="dxa"/>
            </w:tcMar>
            <w:vAlign w:val="center"/>
          </w:tcPr>
          <w:p>
            <w:pPr>
              <w:spacing w:after="0"/>
            </w:pPr>
            <w:r>
              <w:rPr>
                <w:rFonts w:ascii="Arial" w:hAnsi="Arial"/>
                <w:color w:val="1B292A"/>
                <w:sz w:val="18"/>
              </w:rPr>
              <w:t>Join key from dwelling record to cadastral parcel</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Tipo15</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252_planta</w:t>
            </w:r>
          </w:p>
        </w:tc>
        <w:tc>
          <w:tcPr>
            <w:tcW w:type="dxa" w:w="4575"/>
            <w:tcMar>
              <w:top w:w="90" w:type="dxa"/>
              <w:start w:w="120" w:type="dxa"/>
              <w:bottom w:w="90" w:type="dxa"/>
              <w:end w:w="120" w:type="dxa"/>
            </w:tcMar>
            <w:vAlign w:val="center"/>
          </w:tcPr>
          <w:p>
            <w:pPr>
              <w:spacing w:after="0"/>
            </w:pPr>
            <w:r>
              <w:rPr>
                <w:rFonts w:ascii="Arial" w:hAnsi="Arial"/>
                <w:color w:val="1B292A"/>
                <w:sz w:val="18"/>
              </w:rPr>
              <w:t>Floor label used for ground-use interpretation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Tipo15</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428_uso</w:t>
            </w:r>
          </w:p>
        </w:tc>
        <w:tc>
          <w:tcPr>
            <w:tcW w:type="dxa" w:w="4575"/>
            <w:tcMar>
              <w:top w:w="90" w:type="dxa"/>
              <w:start w:w="120" w:type="dxa"/>
              <w:bottom w:w="90" w:type="dxa"/>
              <w:end w:w="120" w:type="dxa"/>
            </w:tcMar>
            <w:vAlign w:val="center"/>
          </w:tcPr>
          <w:p>
            <w:pPr>
              <w:spacing w:after="0"/>
            </w:pPr>
            <w:r>
              <w:rPr>
                <w:rFonts w:ascii="Arial" w:hAnsi="Arial"/>
                <w:color w:val="1B292A"/>
                <w:sz w:val="18"/>
              </w:rPr>
              <w:t>Use code separating residential from other floors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Tipo15</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442_sup_Residencial</w:t>
            </w:r>
          </w:p>
        </w:tc>
        <w:tc>
          <w:tcPr>
            <w:tcW w:type="dxa" w:w="4575"/>
            <w:tcMar>
              <w:top w:w="90" w:type="dxa"/>
              <w:start w:w="120" w:type="dxa"/>
              <w:bottom w:w="90" w:type="dxa"/>
              <w:end w:w="120" w:type="dxa"/>
            </w:tcMar>
            <w:vAlign w:val="center"/>
          </w:tcPr>
          <w:p>
            <w:pPr>
              <w:spacing w:after="0"/>
            </w:pPr>
            <w:r>
              <w:rPr>
                <w:rFonts w:ascii="Arial" w:hAnsi="Arial"/>
                <w:color w:val="1B292A"/>
                <w:sz w:val="18"/>
              </w:rPr>
              <w:t>Positive residential area forming the cadastral denominator</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EPW</w:t>
            </w:r>
          </w:p>
        </w:tc>
        <w:tc>
          <w:tcPr>
            <w:tcW w:type="dxa" w:w="3000"/>
            <w:tcMar>
              <w:top w:w="90" w:type="dxa"/>
              <w:start w:w="120" w:type="dxa"/>
              <w:bottom w:w="90" w:type="dxa"/>
              <w:end w:w="120" w:type="dxa"/>
            </w:tcMar>
            <w:vAlign w:val="center"/>
          </w:tcPr>
          <w:p>
            <w:pPr>
              <w:spacing w:after="0"/>
            </w:pPr>
            <w:r>
              <w:rPr>
                <w:rFonts w:ascii="Arial" w:hAnsi="Arial"/>
                <w:color w:val="1B292A"/>
                <w:sz w:val="18"/>
              </w:rPr>
              <w:t>8,760 hourly weather rows and the site record</w:t>
            </w:r>
          </w:p>
        </w:tc>
        <w:tc>
          <w:tcPr>
            <w:tcW w:type="dxa" w:w="4575"/>
            <w:tcMar>
              <w:top w:w="90" w:type="dxa"/>
              <w:start w:w="120" w:type="dxa"/>
              <w:bottom w:w="90" w:type="dxa"/>
              <w:end w:w="120" w:type="dxa"/>
            </w:tcMar>
            <w:vAlign w:val="center"/>
          </w:tcPr>
          <w:p>
            <w:pPr>
              <w:spacing w:after="0"/>
            </w:pPr>
            <w:r>
              <w:rPr>
                <w:rFonts w:ascii="Arial" w:hAnsi="Arial"/>
                <w:color w:val="1B292A"/>
                <w:sz w:val="18"/>
              </w:rPr>
              <w:t>Annual boundary conditions and site identity</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DDY</w:t>
            </w:r>
          </w:p>
        </w:tc>
        <w:tc>
          <w:tcPr>
            <w:tcW w:type="dxa" w:w="3000"/>
            <w:tcMar>
              <w:top w:w="90" w:type="dxa"/>
              <w:start w:w="120" w:type="dxa"/>
              <w:bottom w:w="90" w:type="dxa"/>
              <w:end w:w="120" w:type="dxa"/>
            </w:tcMar>
            <w:vAlign w:val="center"/>
          </w:tcPr>
          <w:p>
            <w:pPr>
              <w:spacing w:after="0"/>
            </w:pPr>
            <w:r>
              <w:rPr>
                <w:rFonts w:ascii="Arial" w:hAnsi="Arial"/>
                <w:color w:val="1B292A"/>
                <w:sz w:val="18"/>
              </w:rPr>
              <w:t>Winter and summer design days</w:t>
            </w:r>
          </w:p>
        </w:tc>
        <w:tc>
          <w:tcPr>
            <w:tcW w:type="dxa" w:w="4575"/>
            <w:tcMar>
              <w:top w:w="90" w:type="dxa"/>
              <w:start w:w="120" w:type="dxa"/>
              <w:bottom w:w="90" w:type="dxa"/>
              <w:end w:w="120" w:type="dxa"/>
            </w:tcMar>
            <w:vAlign w:val="center"/>
          </w:tcPr>
          <w:p>
            <w:pPr>
              <w:spacing w:after="0"/>
            </w:pPr>
            <w:r>
              <w:rPr>
                <w:rFonts w:ascii="Arial" w:hAnsi="Arial"/>
                <w:color w:val="1B292A"/>
                <w:sz w:val="18"/>
              </w:rPr>
              <w:t>Equipment sizing conditions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Template</w:t>
            </w:r>
          </w:p>
        </w:tc>
        <w:tc>
          <w:tcPr>
            <w:tcW w:type="dxa" w:w="3000"/>
            <w:tcMar>
              <w:top w:w="90" w:type="dxa"/>
              <w:start w:w="120" w:type="dxa"/>
              <w:bottom w:w="90" w:type="dxa"/>
              <w:end w:w="120" w:type="dxa"/>
            </w:tcMar>
            <w:vAlign w:val="center"/>
          </w:tcPr>
          <w:p>
            <w:pPr>
              <w:spacing w:after="0"/>
            </w:pPr>
            <w:r>
              <w:rPr>
                <w:rFonts w:ascii="Arial" w:hAnsi="Arial"/>
                <w:color w:val="1B292A"/>
                <w:sz w:val="18"/>
              </w:rPr>
              <w:t>Role-bound constructions, schedules, thermostats and space types</w:t>
            </w:r>
          </w:p>
        </w:tc>
        <w:tc>
          <w:tcPr>
            <w:tcW w:type="dxa" w:w="4575"/>
            <w:tcMar>
              <w:top w:w="90" w:type="dxa"/>
              <w:start w:w="120" w:type="dxa"/>
              <w:bottom w:w="90" w:type="dxa"/>
              <w:end w:w="120" w:type="dxa"/>
            </w:tcMar>
            <w:vAlign w:val="center"/>
          </w:tcPr>
          <w:p>
            <w:pPr>
              <w:spacing w:after="0"/>
            </w:pPr>
            <w:r>
              <w:rPr>
                <w:rFonts w:ascii="Arial" w:hAnsi="Arial"/>
                <w:color w:val="1B292A"/>
                <w:sz w:val="18"/>
              </w:rPr>
              <w:t>Operating regime applied to every building</w:t>
            </w:r>
          </w:p>
        </w:tc>
      </w:tr>
    </w:tbl>
    <w:p>
      <w:pPr>
        <w:spacing w:after="0"/>
      </w:pPr>
    </w:p>
    <w:p>
      <w:r>
        <w:rPr>
          <w:rFonts w:ascii="Georgia" w:hAnsi="Georgia"/>
          <w:color w:val="1B292A"/>
          <w:sz w:val="21"/>
        </w:rPr>
        <w:t>The prepared stock written from these sources holds sixteen columns: the seven cadastral fields above plus nine derived ones (</w:t>
      </w:r>
      <w:r>
        <w:rPr>
          <w:rFonts w:ascii="Courier New" w:hAnsi="Courier New"/>
          <w:color w:val="173F45"/>
          <w:sz w:val="19"/>
        </w:rPr>
        <w:t>family</w:t>
      </w:r>
      <w:r>
        <w:rPr>
          <w:rFonts w:ascii="Georgia" w:hAnsi="Georgia"/>
          <w:color w:val="1B292A"/>
          <w:sz w:val="21"/>
        </w:rPr>
        <w:t xml:space="preserve">, </w:t>
      </w:r>
      <w:r>
        <w:rPr>
          <w:rFonts w:ascii="Courier New" w:hAnsi="Courier New"/>
          <w:color w:val="173F45"/>
          <w:sz w:val="19"/>
        </w:rPr>
        <w:t>period</w:t>
      </w:r>
      <w:r>
        <w:rPr>
          <w:rFonts w:ascii="Georgia" w:hAnsi="Georgia"/>
          <w:color w:val="1B292A"/>
          <w:sz w:val="21"/>
        </w:rPr>
        <w:t xml:space="preserve">, </w:t>
      </w:r>
      <w:r>
        <w:rPr>
          <w:rFonts w:ascii="Courier New" w:hAnsi="Courier New"/>
          <w:color w:val="173F45"/>
          <w:sz w:val="19"/>
        </w:rPr>
        <w:t>footprint_area_m2</w:t>
      </w:r>
      <w:r>
        <w:rPr>
          <w:rFonts w:ascii="Georgia" w:hAnsi="Georgia"/>
          <w:color w:val="1B292A"/>
          <w:sz w:val="21"/>
        </w:rPr>
        <w:t xml:space="preserve">, </w:t>
      </w:r>
      <w:r>
        <w:rPr>
          <w:rFonts w:ascii="Courier New" w:hAnsi="Courier New"/>
          <w:color w:val="173F45"/>
          <w:sz w:val="19"/>
        </w:rPr>
        <w:t>imputed_floors</w:t>
      </w:r>
      <w:r>
        <w:rPr>
          <w:rFonts w:ascii="Georgia" w:hAnsi="Georgia"/>
          <w:color w:val="1B292A"/>
          <w:sz w:val="21"/>
        </w:rPr>
        <w:t xml:space="preserve">, </w:t>
      </w:r>
      <w:r>
        <w:rPr>
          <w:rFonts w:ascii="Courier New" w:hAnsi="Courier New"/>
          <w:color w:val="173F45"/>
          <w:sz w:val="19"/>
        </w:rPr>
        <w:t>res_area_proxy</w:t>
      </w:r>
      <w:r>
        <w:rPr>
          <w:rFonts w:ascii="Georgia" w:hAnsi="Georgia"/>
          <w:color w:val="1B292A"/>
          <w:sz w:val="21"/>
        </w:rPr>
        <w:t xml:space="preserve">, </w:t>
      </w:r>
      <w:r>
        <w:rPr>
          <w:rFonts w:ascii="Courier New" w:hAnsi="Courier New"/>
          <w:color w:val="173F45"/>
          <w:sz w:val="19"/>
        </w:rPr>
        <w:t>dup_refparcela</w:t>
      </w:r>
      <w:r>
        <w:rPr>
          <w:rFonts w:ascii="Georgia" w:hAnsi="Georgia"/>
          <w:color w:val="1B292A"/>
          <w:sz w:val="21"/>
        </w:rPr>
        <w:t xml:space="preserve">, </w:t>
      </w:r>
      <w:r>
        <w:rPr>
          <w:rFonts w:ascii="Courier New" w:hAnsi="Courier New"/>
          <w:color w:val="173F45"/>
          <w:sz w:val="19"/>
        </w:rPr>
        <w:t>ground_use</w:t>
      </w:r>
      <w:r>
        <w:rPr>
          <w:rFonts w:ascii="Georgia" w:hAnsi="Georgia"/>
          <w:color w:val="1B292A"/>
          <w:sz w:val="21"/>
        </w:rPr>
        <w:t xml:space="preserve">, </w:t>
      </w:r>
      <w:r>
        <w:rPr>
          <w:rFonts w:ascii="Courier New" w:hAnsi="Courier New"/>
          <w:color w:val="173F45"/>
          <w:sz w:val="19"/>
        </w:rPr>
        <w:t>ground_use_source</w:t>
      </w:r>
      <w:r>
        <w:rPr>
          <w:rFonts w:ascii="Georgia" w:hAnsi="Georgia"/>
          <w:color w:val="1B292A"/>
          <w:sz w:val="21"/>
        </w:rPr>
        <w:t xml:space="preserve">, </w:t>
      </w:r>
      <w:r>
        <w:rPr>
          <w:rFonts w:ascii="Courier New" w:hAnsi="Courier New"/>
          <w:color w:val="173F45"/>
          <w:sz w:val="19"/>
        </w:rPr>
        <w:t>tipo15_res_area_m2</w:t>
      </w:r>
      <w:r>
        <w:rPr>
          <w:rFonts w:ascii="Georgia" w:hAnsi="Georgia"/>
          <w:color w:val="1B292A"/>
          <w:sz w:val="21"/>
        </w:rPr>
        <w:t>). Derived fields are transparent preparation results, not new measurements.</w:t>
      </w:r>
    </w:p>
    <w:p>
      <w:r>
        <w:rPr>
          <w:rFonts w:ascii="Georgia" w:hAnsi="Georgia"/>
          <w:b/>
          <w:color w:val="1B292A"/>
          <w:sz w:val="21"/>
        </w:rPr>
        <w:t>Fields deliberately not extracted.</w:t>
      </w:r>
      <w:r>
        <w:rPr>
          <w:rFonts w:ascii="Georgia" w:hAnsi="Georgia"/>
          <w:color w:val="1B292A"/>
          <w:sz w:val="21"/>
        </w:rPr>
        <w:t xml:space="preserve"> </w:t>
      </w:r>
      <w:r>
        <w:rPr>
          <w:rFonts w:ascii="Courier New" w:hAnsi="Courier New"/>
          <w:color w:val="173F45"/>
          <w:sz w:val="19"/>
        </w:rPr>
        <w:t>coorx</w:t>
      </w:r>
      <w:r>
        <w:rPr>
          <w:rFonts w:ascii="Georgia" w:hAnsi="Georgia"/>
          <w:color w:val="1B292A"/>
          <w:sz w:val="21"/>
        </w:rPr>
        <w:t xml:space="preserve">, </w:t>
      </w:r>
      <w:r>
        <w:rPr>
          <w:rFonts w:ascii="Courier New" w:hAnsi="Courier New"/>
          <w:color w:val="173F45"/>
          <w:sz w:val="19"/>
        </w:rPr>
        <w:t>coory</w:t>
      </w:r>
      <w:r>
        <w:rPr>
          <w:rFonts w:ascii="Georgia" w:hAnsi="Georgia"/>
          <w:color w:val="1B292A"/>
          <w:sz w:val="21"/>
        </w:rPr>
        <w:t xml:space="preserve">, </w:t>
      </w:r>
      <w:r>
        <w:rPr>
          <w:rFonts w:ascii="Courier New" w:hAnsi="Courier New"/>
          <w:color w:val="173F45"/>
          <w:sz w:val="19"/>
        </w:rPr>
        <w:t>pob_0_14</w:t>
      </w:r>
      <w:r>
        <w:rPr>
          <w:rFonts w:ascii="Georgia" w:hAnsi="Georgia"/>
          <w:color w:val="1B292A"/>
          <w:sz w:val="21"/>
        </w:rPr>
        <w:t xml:space="preserve">, </w:t>
      </w:r>
      <w:r>
        <w:rPr>
          <w:rFonts w:ascii="Courier New" w:hAnsi="Courier New"/>
          <w:color w:val="173F45"/>
          <w:sz w:val="19"/>
        </w:rPr>
        <w:t>pob_15_65</w:t>
      </w:r>
      <w:r>
        <w:rPr>
          <w:rFonts w:ascii="Georgia" w:hAnsi="Georgia"/>
          <w:color w:val="1B292A"/>
          <w:sz w:val="21"/>
        </w:rPr>
        <w:t xml:space="preserve">, </w:t>
      </w:r>
      <w:r>
        <w:rPr>
          <w:rFonts w:ascii="Courier New" w:hAnsi="Courier New"/>
          <w:color w:val="173F45"/>
          <w:sz w:val="19"/>
        </w:rPr>
        <w:t>pob_66_mas</w:t>
      </w:r>
      <w:r>
        <w:rPr>
          <w:rFonts w:ascii="Georgia" w:hAnsi="Georgia"/>
          <w:color w:val="1B292A"/>
          <w:sz w:val="21"/>
        </w:rPr>
        <w:t xml:space="preserve">, </w:t>
      </w:r>
      <w:r>
        <w:rPr>
          <w:rFonts w:ascii="Courier New" w:hAnsi="Courier New"/>
          <w:color w:val="173F45"/>
          <w:sz w:val="19"/>
        </w:rPr>
        <w:t>the_geom_L</w:t>
      </w:r>
      <w:r>
        <w:rPr>
          <w:rFonts w:ascii="Georgia" w:hAnsi="Georgia"/>
          <w:color w:val="1B292A"/>
          <w:sz w:val="21"/>
        </w:rPr>
        <w:t xml:space="preserve">, </w:t>
      </w:r>
      <w:r>
        <w:rPr>
          <w:rFonts w:ascii="Courier New" w:hAnsi="Courier New"/>
          <w:color w:val="173F45"/>
          <w:sz w:val="19"/>
        </w:rPr>
        <w:t>the_geom_A</w:t>
      </w:r>
      <w:r>
        <w:rPr>
          <w:rFonts w:ascii="Georgia" w:hAnsi="Georgia"/>
          <w:color w:val="1B292A"/>
          <w:sz w:val="21"/>
        </w:rPr>
        <w:t xml:space="preserve">, </w:t>
      </w:r>
      <w:r>
        <w:rPr>
          <w:rFonts w:ascii="Courier New" w:hAnsi="Courier New"/>
          <w:color w:val="173F45"/>
          <w:sz w:val="19"/>
        </w:rPr>
        <w:t>Shape_Leng</w:t>
      </w:r>
      <w:r>
        <w:rPr>
          <w:rFonts w:ascii="Georgia" w:hAnsi="Georgia"/>
          <w:color w:val="1B292A"/>
          <w:sz w:val="21"/>
        </w:rPr>
        <w:t xml:space="preserve">, </w:t>
      </w:r>
      <w:r>
        <w:rPr>
          <w:rFonts w:ascii="Courier New" w:hAnsi="Courier New"/>
          <w:color w:val="173F45"/>
          <w:sz w:val="19"/>
        </w:rPr>
        <w:t>Shape_Area</w:t>
      </w:r>
      <w:r>
        <w:rPr>
          <w:rFonts w:ascii="Georgia" w:hAnsi="Georgia"/>
          <w:color w:val="1B292A"/>
          <w:sz w:val="21"/>
        </w:rPr>
        <w:t xml:space="preserve">, </w:t>
      </w:r>
      <w:r>
        <w:rPr>
          <w:rFonts w:ascii="Courier New" w:hAnsi="Courier New"/>
          <w:color w:val="173F45"/>
          <w:sz w:val="19"/>
        </w:rPr>
        <w:t>referencia</w:t>
      </w:r>
      <w:r>
        <w:rPr>
          <w:rFonts w:ascii="Georgia" w:hAnsi="Georgia"/>
          <w:color w:val="1B292A"/>
          <w:sz w:val="21"/>
        </w:rPr>
        <w:t xml:space="preserve">, </w:t>
      </w:r>
      <w:r>
        <w:rPr>
          <w:rFonts w:ascii="Courier New" w:hAnsi="Courier New"/>
          <w:color w:val="173F45"/>
          <w:sz w:val="19"/>
        </w:rPr>
        <w:t>codigo_ine</w:t>
      </w:r>
      <w:r>
        <w:rPr>
          <w:rFonts w:ascii="Georgia" w:hAnsi="Georgia"/>
          <w:color w:val="1B292A"/>
          <w:sz w:val="21"/>
        </w:rPr>
        <w:t xml:space="preserve">, </w:t>
      </w:r>
      <w:r>
        <w:rPr>
          <w:rFonts w:ascii="Courier New" w:hAnsi="Courier New"/>
          <w:color w:val="173F45"/>
          <w:sz w:val="19"/>
        </w:rPr>
        <w:t>nombre_mun</w:t>
      </w:r>
      <w:r>
        <w:rPr>
          <w:rFonts w:ascii="Georgia" w:hAnsi="Georgia"/>
          <w:color w:val="1B292A"/>
          <w:sz w:val="21"/>
        </w:rPr>
        <w:t xml:space="preserve">, </w:t>
      </w:r>
      <w:r>
        <w:rPr>
          <w:rFonts w:ascii="Courier New" w:hAnsi="Courier New"/>
          <w:color w:val="173F45"/>
          <w:sz w:val="19"/>
        </w:rPr>
        <w:t>codigo_pro</w:t>
      </w:r>
      <w:r>
        <w:rPr>
          <w:rFonts w:ascii="Georgia" w:hAnsi="Georgia"/>
          <w:color w:val="1B292A"/>
          <w:sz w:val="21"/>
        </w:rPr>
        <w:t xml:space="preserve">, </w:t>
      </w:r>
      <w:r>
        <w:rPr>
          <w:rFonts w:ascii="Courier New" w:hAnsi="Courier New"/>
          <w:color w:val="173F45"/>
          <w:sz w:val="19"/>
        </w:rPr>
        <w:t>zona_clima</w:t>
      </w:r>
      <w:r>
        <w:rPr>
          <w:rFonts w:ascii="Georgia" w:hAnsi="Georgia"/>
          <w:color w:val="1B292A"/>
          <w:sz w:val="21"/>
        </w:rPr>
        <w:t xml:space="preserve">, </w:t>
      </w:r>
      <w:r>
        <w:rPr>
          <w:rFonts w:ascii="Courier New" w:hAnsi="Courier New"/>
          <w:color w:val="173F45"/>
          <w:sz w:val="19"/>
        </w:rPr>
        <w:t>uso_princi</w:t>
      </w:r>
      <w:r>
        <w:rPr>
          <w:rFonts w:ascii="Georgia" w:hAnsi="Georgia"/>
          <w:color w:val="1B292A"/>
          <w:sz w:val="21"/>
        </w:rPr>
        <w:t xml:space="preserve">, </w:t>
      </w:r>
      <w:r>
        <w:rPr>
          <w:rFonts w:ascii="Courier New" w:hAnsi="Courier New"/>
          <w:color w:val="173F45"/>
          <w:sz w:val="19"/>
        </w:rPr>
        <w:t>altura_m_1</w:t>
      </w:r>
      <w:r>
        <w:rPr>
          <w:rFonts w:ascii="Georgia" w:hAnsi="Georgia"/>
          <w:color w:val="1B292A"/>
          <w:sz w:val="21"/>
        </w:rPr>
        <w:t xml:space="preserve">, </w:t>
      </w:r>
      <w:r>
        <w:rPr>
          <w:rFonts w:ascii="Courier New" w:hAnsi="Courier New"/>
          <w:color w:val="173F45"/>
          <w:sz w:val="19"/>
        </w:rPr>
        <w:t>tipologia_</w:t>
      </w:r>
      <w:r>
        <w:rPr>
          <w:rFonts w:ascii="Georgia" w:hAnsi="Georgia"/>
          <w:color w:val="1B292A"/>
          <w:sz w:val="21"/>
        </w:rPr>
        <w:t xml:space="preserve">, </w:t>
      </w:r>
      <w:r>
        <w:rPr>
          <w:rFonts w:ascii="Courier New" w:hAnsi="Courier New"/>
          <w:color w:val="173F45"/>
          <w:sz w:val="19"/>
        </w:rPr>
        <w:t>ano_constr</w:t>
      </w:r>
      <w:r>
        <w:rPr>
          <w:rFonts w:ascii="Georgia" w:hAnsi="Georgia"/>
          <w:color w:val="1B292A"/>
          <w:sz w:val="21"/>
        </w:rPr>
        <w:t xml:space="preserve">, </w:t>
      </w:r>
      <w:r>
        <w:rPr>
          <w:rFonts w:ascii="Courier New" w:hAnsi="Courier New"/>
          <w:color w:val="173F45"/>
          <w:sz w:val="19"/>
        </w:rPr>
        <w:t>ano_cons_1</w:t>
      </w:r>
      <w:r>
        <w:rPr>
          <w:rFonts w:ascii="Georgia" w:hAnsi="Georgia"/>
          <w:color w:val="1B292A"/>
          <w:sz w:val="21"/>
        </w:rPr>
        <w:t xml:space="preserve">, </w:t>
      </w:r>
      <w:r>
        <w:rPr>
          <w:rFonts w:ascii="Courier New" w:hAnsi="Courier New"/>
          <w:color w:val="173F45"/>
          <w:sz w:val="19"/>
        </w:rPr>
        <w:t>numero_viv</w:t>
      </w:r>
      <w:r>
        <w:rPr>
          <w:rFonts w:ascii="Georgia" w:hAnsi="Georgia"/>
          <w:color w:val="1B292A"/>
          <w:sz w:val="21"/>
        </w:rPr>
        <w:t xml:space="preserve">, </w:t>
      </w:r>
      <w:r>
        <w:rPr>
          <w:rFonts w:ascii="Courier New" w:hAnsi="Courier New"/>
          <w:color w:val="173F45"/>
          <w:sz w:val="19"/>
        </w:rPr>
        <w:t>coddistrit</w:t>
      </w:r>
      <w:r>
        <w:rPr>
          <w:rFonts w:ascii="Georgia" w:hAnsi="Georgia"/>
          <w:color w:val="1B292A"/>
          <w:sz w:val="21"/>
        </w:rPr>
        <w:t xml:space="preserve">, </w:t>
      </w:r>
      <w:r>
        <w:rPr>
          <w:rFonts w:ascii="Courier New" w:hAnsi="Courier New"/>
          <w:color w:val="173F45"/>
          <w:sz w:val="19"/>
        </w:rPr>
        <w:t>demanda_ca</w:t>
      </w:r>
      <w:r>
        <w:rPr>
          <w:rFonts w:ascii="Georgia" w:hAnsi="Georgia"/>
          <w:color w:val="1B292A"/>
          <w:sz w:val="21"/>
        </w:rPr>
        <w:t xml:space="preserve">, </w:t>
      </w:r>
      <w:r>
        <w:rPr>
          <w:rFonts w:ascii="Courier New" w:hAnsi="Courier New"/>
          <w:color w:val="173F45"/>
          <w:sz w:val="19"/>
        </w:rPr>
        <w:t>demanda__1</w:t>
      </w:r>
      <w:r>
        <w:rPr>
          <w:rFonts w:ascii="Georgia" w:hAnsi="Georgia"/>
          <w:color w:val="1B292A"/>
          <w:sz w:val="21"/>
        </w:rPr>
        <w:t xml:space="preserve">, </w:t>
      </w:r>
      <w:r>
        <w:rPr>
          <w:rFonts w:ascii="Courier New" w:hAnsi="Courier New"/>
          <w:color w:val="173F45"/>
          <w:sz w:val="19"/>
        </w:rPr>
        <w:t>calificaci</w:t>
      </w:r>
      <w:r>
        <w:rPr>
          <w:rFonts w:ascii="Georgia" w:hAnsi="Georgia"/>
          <w:color w:val="1B292A"/>
          <w:sz w:val="21"/>
        </w:rPr>
        <w:t xml:space="preserve">, </w:t>
      </w:r>
      <w:r>
        <w:rPr>
          <w:rFonts w:ascii="Courier New" w:hAnsi="Courier New"/>
          <w:color w:val="173F45"/>
          <w:sz w:val="19"/>
        </w:rPr>
        <w:t>califica_1</w:t>
      </w:r>
      <w:r>
        <w:rPr>
          <w:rFonts w:ascii="Georgia" w:hAnsi="Georgia"/>
          <w:color w:val="1B292A"/>
          <w:sz w:val="21"/>
        </w:rPr>
        <w:t xml:space="preserve">, </w:t>
      </w:r>
      <w:r>
        <w:rPr>
          <w:rFonts w:ascii="Courier New" w:hAnsi="Courier New"/>
          <w:color w:val="173F45"/>
          <w:sz w:val="19"/>
        </w:rPr>
        <w:t>coste_inte</w:t>
      </w:r>
      <w:r>
        <w:rPr>
          <w:rFonts w:ascii="Georgia" w:hAnsi="Georgia"/>
          <w:color w:val="1B292A"/>
          <w:sz w:val="21"/>
        </w:rPr>
        <w:t xml:space="preserve">, </w:t>
      </w:r>
      <w:r>
        <w:rPr>
          <w:rFonts w:ascii="Courier New" w:hAnsi="Courier New"/>
          <w:color w:val="173F45"/>
          <w:sz w:val="19"/>
        </w:rPr>
        <w:t>coste_in_1</w:t>
      </w:r>
      <w:r>
        <w:rPr>
          <w:rFonts w:ascii="Georgia" w:hAnsi="Georgia"/>
          <w:color w:val="1B292A"/>
          <w:sz w:val="21"/>
        </w:rPr>
        <w:t xml:space="preserve">, </w:t>
      </w:r>
      <w:r>
        <w:rPr>
          <w:rFonts w:ascii="Courier New" w:hAnsi="Courier New"/>
          <w:color w:val="173F45"/>
          <w:sz w:val="19"/>
        </w:rPr>
        <w:t>ConsumE</w:t>
      </w:r>
      <w:r>
        <w:rPr>
          <w:rFonts w:ascii="Georgia" w:hAnsi="Georgia"/>
          <w:color w:val="1B292A"/>
          <w:sz w:val="21"/>
        </w:rPr>
        <w:t xml:space="preserve"> and </w:t>
      </w:r>
      <w:r>
        <w:rPr>
          <w:rFonts w:ascii="Courier New" w:hAnsi="Courier New"/>
          <w:color w:val="173F45"/>
          <w:sz w:val="19"/>
        </w:rPr>
        <w:t>ConsumETot</w:t>
      </w:r>
      <w:r>
        <w:rPr>
          <w:rFonts w:ascii="Georgia" w:hAnsi="Georgia"/>
          <w:color w:val="1B292A"/>
          <w:sz w:val="21"/>
        </w:rPr>
        <w:t xml:space="preserve"> are present in the source but are not read by the simulation. Three of these deserve an explicit note:</w:t>
      </w:r>
    </w:p>
    <w:p>
      <w:pPr>
        <w:keepLines/>
        <w:spacing w:after="60"/>
        <w:ind w:left="369" w:hanging="255"/>
      </w:pPr>
      <w:r>
        <w:rPr>
          <w:rFonts w:ascii="Georgia" w:hAnsi="Georgia"/>
          <w:color w:val="1B292A"/>
          <w:sz w:val="21"/>
        </w:rPr>
        <w:t>•</w:t>
        <w:tab/>
      </w:r>
      <w:r>
        <w:rPr>
          <w:rFonts w:ascii="Courier New" w:hAnsi="Courier New"/>
          <w:color w:val="173F45"/>
          <w:sz w:val="19"/>
        </w:rPr>
        <w:t>ano_constr</w:t>
      </w:r>
      <w:r>
        <w:rPr>
          <w:rFonts w:ascii="Georgia" w:hAnsi="Georgia"/>
          <w:color w:val="1B292A"/>
          <w:sz w:val="21"/>
        </w:rPr>
        <w:t xml:space="preserve"> is not read directly because the construction period already reaches the model through </w:t>
      </w:r>
      <w:r>
        <w:rPr>
          <w:rFonts w:ascii="Courier New" w:hAnsi="Courier New"/>
          <w:color w:val="173F45"/>
          <w:sz w:val="19"/>
        </w:rPr>
        <w:t>cluster</w:t>
      </w:r>
      <w:r>
        <w:rPr>
          <w:rFonts w:ascii="Georgia" w:hAnsi="Georgia"/>
          <w:color w:val="1B292A"/>
          <w:sz w:val="21"/>
        </w:rPr>
        <w:t>.</w:t>
      </w:r>
    </w:p>
    <w:p>
      <w:pPr>
        <w:keepLines/>
        <w:spacing w:after="60"/>
        <w:ind w:left="369" w:hanging="255"/>
      </w:pPr>
      <w:r>
        <w:rPr>
          <w:rFonts w:ascii="Georgia" w:hAnsi="Georgia"/>
          <w:color w:val="1B292A"/>
          <w:sz w:val="21"/>
        </w:rPr>
        <w:t>•</w:t>
        <w:tab/>
      </w:r>
      <w:r>
        <w:rPr>
          <w:rFonts w:ascii="Courier New" w:hAnsi="Courier New"/>
          <w:color w:val="173F45"/>
          <w:sz w:val="19"/>
        </w:rPr>
        <w:t>numero_viv</w:t>
      </w:r>
      <w:r>
        <w:rPr>
          <w:rFonts w:ascii="Georgia" w:hAnsi="Georgia"/>
          <w:color w:val="1B292A"/>
          <w:sz w:val="21"/>
        </w:rPr>
        <w:t xml:space="preserve"> and </w:t>
      </w:r>
      <w:r>
        <w:rPr>
          <w:rFonts w:ascii="Courier New" w:hAnsi="Courier New"/>
          <w:color w:val="173F45"/>
          <w:sz w:val="19"/>
        </w:rPr>
        <w:t>num_vivend</w:t>
      </w:r>
      <w:r>
        <w:rPr>
          <w:rFonts w:ascii="Georgia" w:hAnsi="Georgia"/>
          <w:color w:val="1B292A"/>
          <w:sz w:val="21"/>
        </w:rPr>
        <w:t xml:space="preserve"> are two dwelling counts in the same file; only </w:t>
      </w:r>
      <w:r>
        <w:rPr>
          <w:rFonts w:ascii="Courier New" w:hAnsi="Courier New"/>
          <w:color w:val="173F45"/>
          <w:sz w:val="19"/>
        </w:rPr>
        <w:t>num_vivend</w:t>
      </w:r>
      <w:r>
        <w:rPr>
          <w:rFonts w:ascii="Georgia" w:hAnsi="Georgia"/>
          <w:color w:val="1B292A"/>
          <w:sz w:val="21"/>
        </w:rPr>
        <w:t xml:space="preserve"> is used, and the choice is recorded rather than inferred.</w:t>
      </w:r>
    </w:p>
    <w:p>
      <w:pPr>
        <w:keepLines/>
        <w:spacing w:after="60"/>
        <w:ind w:left="369" w:hanging="255"/>
      </w:pPr>
      <w:r>
        <w:rPr>
          <w:rFonts w:ascii="Georgia" w:hAnsi="Georgia"/>
          <w:color w:val="1B292A"/>
          <w:sz w:val="21"/>
        </w:rPr>
        <w:t>•</w:t>
        <w:tab/>
      </w:r>
      <w:r>
        <w:rPr>
          <w:rFonts w:ascii="Georgia" w:hAnsi="Georgia"/>
          <w:color w:val="1B292A"/>
          <w:sz w:val="21"/>
        </w:rPr>
        <w:t xml:space="preserve">District grouping is keyed on </w:t>
      </w:r>
      <w:r>
        <w:rPr>
          <w:rFonts w:ascii="Courier New" w:hAnsi="Courier New"/>
          <w:color w:val="173F45"/>
          <w:sz w:val="19"/>
        </w:rPr>
        <w:t>nombre</w:t>
      </w:r>
      <w:r>
        <w:rPr>
          <w:rFonts w:ascii="Georgia" w:hAnsi="Georgia"/>
          <w:color w:val="1B292A"/>
          <w:sz w:val="21"/>
        </w:rPr>
        <w:t xml:space="preserve"> rather than </w:t>
      </w:r>
      <w:r>
        <w:rPr>
          <w:rFonts w:ascii="Courier New" w:hAnsi="Courier New"/>
          <w:color w:val="173F45"/>
          <w:sz w:val="19"/>
        </w:rPr>
        <w:t>coddistrit</w:t>
      </w:r>
      <w:r>
        <w:rPr>
          <w:rFonts w:ascii="Georgia" w:hAnsi="Georgia"/>
          <w:color w:val="1B292A"/>
          <w:sz w:val="21"/>
        </w:rPr>
        <w:t xml:space="preserve"> because the two disagree for at least one record in this source; the name is the field the aggregate uses.</w:t>
      </w:r>
    </w:p>
    <w:p>
      <w:r>
        <w:rPr>
          <w:rFonts w:ascii="Courier New" w:hAnsi="Courier New"/>
          <w:color w:val="173F45"/>
          <w:sz w:val="19"/>
        </w:rPr>
        <w:t>demanda_ca</w:t>
      </w:r>
      <w:r>
        <w:rPr>
          <w:rFonts w:ascii="Georgia" w:hAnsi="Georgia"/>
          <w:color w:val="1B292A"/>
          <w:sz w:val="21"/>
        </w:rPr>
        <w:t xml:space="preserve"> (an external certificate heating demand) and </w:t>
      </w:r>
      <w:r>
        <w:rPr>
          <w:rFonts w:ascii="Courier New" w:hAnsi="Courier New"/>
          <w:color w:val="173F45"/>
          <w:sz w:val="19"/>
        </w:rPr>
        <w:t>ConsumE</w:t>
      </w:r>
      <w:r>
        <w:rPr>
          <w:rFonts w:ascii="Georgia" w:hAnsi="Georgia"/>
          <w:color w:val="1B292A"/>
          <w:sz w:val="21"/>
        </w:rPr>
        <w:t xml:space="preserve"> (a per-cluster reference consumption) are </w:t>
      </w:r>
      <w:r>
        <w:rPr>
          <w:rFonts w:ascii="Georgia" w:hAnsi="Georgia"/>
          <w:b/>
          <w:color w:val="1B292A"/>
          <w:sz w:val="21"/>
        </w:rPr>
        <w:t>reference material, not model input</w:t>
      </w:r>
      <w:r>
        <w:rPr>
          <w:rFonts w:ascii="Georgia" w:hAnsi="Georgia"/>
          <w:color w:val="1B292A"/>
          <w:sz w:val="21"/>
        </w:rPr>
        <w:t>. The Rai comparison column shown in the interface is resolved from the published per-cluster reference table, not by reading the shapefile column at run time.</w:t>
      </w:r>
    </w:p>
    <w:p>
      <w:r>
        <w:rPr>
          <w:rFonts w:ascii="Georgia" w:hAnsi="Georgia"/>
          <w:color w:val="1B292A"/>
          <w:sz w:val="21"/>
        </w:rPr>
        <w:t>The Tipo15 ledger carries seventeen columns; the four listed above are read and the remaining thirteen (</w:t>
      </w:r>
      <w:r>
        <w:rPr>
          <w:rFonts w:ascii="Courier New" w:hAnsi="Courier New"/>
          <w:color w:val="173F45"/>
          <w:sz w:val="19"/>
        </w:rPr>
        <w:t>29_cn</w:t>
      </w:r>
      <w:r>
        <w:rPr>
          <w:rFonts w:ascii="Georgia" w:hAnsi="Georgia"/>
          <w:color w:val="1B292A"/>
          <w:sz w:val="21"/>
        </w:rPr>
        <w:t xml:space="preserve">, </w:t>
      </w:r>
      <w:r>
        <w:rPr>
          <w:rFonts w:ascii="Courier New" w:hAnsi="Courier New"/>
          <w:color w:val="173F45"/>
          <w:sz w:val="19"/>
        </w:rPr>
        <w:t>126_nm</w:t>
      </w:r>
      <w:r>
        <w:rPr>
          <w:rFonts w:ascii="Georgia" w:hAnsi="Georgia"/>
          <w:color w:val="1B292A"/>
          <w:sz w:val="21"/>
        </w:rPr>
        <w:t xml:space="preserve">, </w:t>
      </w:r>
      <w:r>
        <w:rPr>
          <w:rFonts w:ascii="Courier New" w:hAnsi="Courier New"/>
          <w:color w:val="173F45"/>
          <w:sz w:val="19"/>
        </w:rPr>
        <w:t>201_tv</w:t>
      </w:r>
      <w:r>
        <w:rPr>
          <w:rFonts w:ascii="Georgia" w:hAnsi="Georgia"/>
          <w:color w:val="1B292A"/>
          <w:sz w:val="21"/>
        </w:rPr>
        <w:t xml:space="preserve">, </w:t>
      </w:r>
      <w:r>
        <w:rPr>
          <w:rFonts w:ascii="Courier New" w:hAnsi="Courier New"/>
          <w:color w:val="173F45"/>
          <w:sz w:val="19"/>
        </w:rPr>
        <w:t>206_nv</w:t>
      </w:r>
      <w:r>
        <w:rPr>
          <w:rFonts w:ascii="Georgia" w:hAnsi="Georgia"/>
          <w:color w:val="1B292A"/>
          <w:sz w:val="21"/>
        </w:rPr>
        <w:t xml:space="preserve">, </w:t>
      </w:r>
      <w:r>
        <w:rPr>
          <w:rFonts w:ascii="Courier New" w:hAnsi="Courier New"/>
          <w:color w:val="173F45"/>
          <w:sz w:val="19"/>
        </w:rPr>
        <w:t>231_numPolicia</w:t>
      </w:r>
      <w:r>
        <w:rPr>
          <w:rFonts w:ascii="Georgia" w:hAnsi="Georgia"/>
          <w:color w:val="1B292A"/>
          <w:sz w:val="21"/>
        </w:rPr>
        <w:t xml:space="preserve">, </w:t>
      </w:r>
      <w:r>
        <w:rPr>
          <w:rFonts w:ascii="Courier New" w:hAnsi="Courier New"/>
          <w:color w:val="173F45"/>
          <w:sz w:val="19"/>
        </w:rPr>
        <w:t>246_bloque</w:t>
      </w:r>
      <w:r>
        <w:rPr>
          <w:rFonts w:ascii="Georgia" w:hAnsi="Georgia"/>
          <w:color w:val="1B292A"/>
          <w:sz w:val="21"/>
        </w:rPr>
        <w:t xml:space="preserve">, </w:t>
      </w:r>
      <w:r>
        <w:rPr>
          <w:rFonts w:ascii="Courier New" w:hAnsi="Courier New"/>
          <w:color w:val="173F45"/>
          <w:sz w:val="19"/>
        </w:rPr>
        <w:t>250_escalera</w:t>
      </w:r>
      <w:r>
        <w:rPr>
          <w:rFonts w:ascii="Georgia" w:hAnsi="Georgia"/>
          <w:color w:val="1B292A"/>
          <w:sz w:val="21"/>
        </w:rPr>
        <w:t xml:space="preserve">, </w:t>
      </w:r>
      <w:r>
        <w:rPr>
          <w:rFonts w:ascii="Courier New" w:hAnsi="Courier New"/>
          <w:color w:val="173F45"/>
          <w:sz w:val="19"/>
        </w:rPr>
        <w:t>255_puerta</w:t>
      </w:r>
      <w:r>
        <w:rPr>
          <w:rFonts w:ascii="Georgia" w:hAnsi="Georgia"/>
          <w:color w:val="1B292A"/>
          <w:sz w:val="21"/>
        </w:rPr>
        <w:t xml:space="preserve">, </w:t>
      </w:r>
      <w:r>
        <w:rPr>
          <w:rFonts w:ascii="Courier New" w:hAnsi="Courier New"/>
          <w:color w:val="173F45"/>
          <w:sz w:val="19"/>
        </w:rPr>
        <w:t>283_codigoPostal</w:t>
      </w:r>
      <w:r>
        <w:rPr>
          <w:rFonts w:ascii="Georgia" w:hAnsi="Georgia"/>
          <w:color w:val="1B292A"/>
          <w:sz w:val="21"/>
        </w:rPr>
        <w:t xml:space="preserve">, </w:t>
      </w:r>
      <w:r>
        <w:rPr>
          <w:rFonts w:ascii="Courier New" w:hAnsi="Courier New"/>
          <w:color w:val="173F45"/>
          <w:sz w:val="19"/>
        </w:rPr>
        <w:t>288_distrito</w:t>
      </w:r>
      <w:r>
        <w:rPr>
          <w:rFonts w:ascii="Georgia" w:hAnsi="Georgia"/>
          <w:color w:val="1B292A"/>
          <w:sz w:val="21"/>
        </w:rPr>
        <w:t xml:space="preserve">, </w:t>
      </w:r>
      <w:r>
        <w:rPr>
          <w:rFonts w:ascii="Courier New" w:hAnsi="Courier New"/>
          <w:color w:val="173F45"/>
          <w:sz w:val="19"/>
        </w:rPr>
        <w:t>368_numOrden</w:t>
      </w:r>
      <w:r>
        <w:rPr>
          <w:rFonts w:ascii="Georgia" w:hAnsi="Georgia"/>
          <w:color w:val="1B292A"/>
          <w:sz w:val="21"/>
        </w:rPr>
        <w:t xml:space="preserve">, </w:t>
      </w:r>
      <w:r>
        <w:rPr>
          <w:rFonts w:ascii="Courier New" w:hAnsi="Courier New"/>
          <w:color w:val="173F45"/>
          <w:sz w:val="19"/>
        </w:rPr>
        <w:t>372_ant</w:t>
      </w:r>
      <w:r>
        <w:rPr>
          <w:rFonts w:ascii="Georgia" w:hAnsi="Georgia"/>
          <w:color w:val="1B292A"/>
          <w:sz w:val="21"/>
        </w:rPr>
        <w:t xml:space="preserve">, </w:t>
      </w:r>
      <w:r>
        <w:rPr>
          <w:rFonts w:ascii="Courier New" w:hAnsi="Courier New"/>
          <w:color w:val="173F45"/>
          <w:sz w:val="19"/>
        </w:rPr>
        <w:t>452_supSolar</w:t>
      </w:r>
      <w:r>
        <w:rPr>
          <w:rFonts w:ascii="Georgia" w:hAnsi="Georgia"/>
          <w:color w:val="1B292A"/>
          <w:sz w:val="21"/>
        </w:rPr>
        <w:t>) are not.</w:t>
      </w:r>
    </w:p>
    <w:p>
      <w:pPr>
        <w:pStyle w:val="Heading3"/>
      </w:pPr>
      <w:r>
        <w:rPr>
          <w:rFonts w:ascii="Arial" w:hAnsi="Arial"/>
          <w:b/>
          <w:color w:val="173F45"/>
          <w:sz w:val="23"/>
        </w:rPr>
        <w:t>4.5.2 Fields produced by the run</w:t>
      </w:r>
    </w:p>
    <w:p>
      <w:r>
        <w:rPr>
          <w:rFonts w:ascii="Georgia" w:hAnsi="Georgia"/>
          <w:color w:val="1B292A"/>
          <w:sz w:val="21"/>
        </w:rPr>
        <w:t xml:space="preserve">The run writes one durable ledger record per building and one final aggregate. The curated Building CSV publishes </w:t>
      </w:r>
      <w:r>
        <w:rPr>
          <w:rFonts w:ascii="Georgia" w:hAnsi="Georgia"/>
          <w:b/>
          <w:color w:val="1B292A"/>
          <w:sz w:val="21"/>
        </w:rPr>
        <w:t>88 fields per building</w:t>
      </w:r>
      <w:r>
        <w:rPr>
          <w:rFonts w:ascii="Georgia" w:hAnsi="Georgia"/>
          <w:color w:val="1B292A"/>
          <w:sz w:val="21"/>
        </w:rPr>
        <w:t>, grouped as follows.</w:t>
      </w:r>
    </w:p>
    <w:p>
      <w:pPr>
        <w:pStyle w:val="Caption"/>
        <w:keepNext/>
        <w:spacing w:before="80" w:after="80"/>
      </w:pPr>
      <w:r>
        <w:rPr>
          <w:rFonts w:ascii="Arial" w:hAnsi="Arial"/>
          <w:b/>
          <w:color w:val="5B696A"/>
          <w:sz w:val="17"/>
        </w:rPr>
        <w:t>Table 5. Fields produced by the run</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Group</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Fields</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Examples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Identity and status</w:t>
            </w:r>
          </w:p>
        </w:tc>
        <w:tc>
          <w:tcPr>
            <w:tcW w:type="dxa" w:w="3000"/>
            <w:tcMar>
              <w:top w:w="90" w:type="dxa"/>
              <w:start w:w="120" w:type="dxa"/>
              <w:bottom w:w="90" w:type="dxa"/>
              <w:end w:w="120" w:type="dxa"/>
            </w:tcMar>
            <w:vAlign w:val="center"/>
          </w:tcPr>
          <w:p>
            <w:pPr>
              <w:spacing w:after="0"/>
            </w:pPr>
            <w:r>
              <w:rPr>
                <w:rFonts w:ascii="Arial" w:hAnsi="Arial"/>
                <w:color w:val="1B292A"/>
                <w:sz w:val="18"/>
              </w:rPr>
              <w:t>5</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refparcela</w:t>
            </w:r>
            <w:r>
              <w:rPr>
                <w:rFonts w:ascii="Arial" w:hAnsi="Arial"/>
                <w:color w:val="1B292A"/>
                <w:sz w:val="18"/>
              </w:rPr>
              <w:t xml:space="preserve">, </w:t>
            </w:r>
            <w:r>
              <w:rPr>
                <w:rFonts w:ascii="Courier New" w:hAnsi="Courier New"/>
                <w:color w:val="173F45"/>
                <w:sz w:val="17"/>
              </w:rPr>
              <w:t>status</w:t>
            </w:r>
            <w:r>
              <w:rPr>
                <w:rFonts w:ascii="Arial" w:hAnsi="Arial"/>
                <w:color w:val="1B292A"/>
                <w:sz w:val="18"/>
              </w:rPr>
              <w:t xml:space="preserve">, </w:t>
            </w:r>
            <w:r>
              <w:rPr>
                <w:rFonts w:ascii="Courier New" w:hAnsi="Courier New"/>
                <w:color w:val="173F45"/>
                <w:sz w:val="17"/>
              </w:rPr>
              <w:t>reason</w:t>
            </w:r>
            <w:r>
              <w:rPr>
                <w:rFonts w:ascii="Arial" w:hAnsi="Arial"/>
                <w:color w:val="1B292A"/>
                <w:sz w:val="18"/>
              </w:rPr>
              <w:t xml:space="preserve">, </w:t>
            </w:r>
            <w:r>
              <w:rPr>
                <w:rFonts w:ascii="Courier New" w:hAnsi="Courier New"/>
                <w:color w:val="173F45"/>
                <w:sz w:val="17"/>
              </w:rPr>
              <w:t>message</w:t>
            </w:r>
            <w:r>
              <w:rPr>
                <w:rFonts w:ascii="Arial" w:hAnsi="Arial"/>
                <w:color w:val="1B292A"/>
                <w:sz w:val="18"/>
              </w:rPr>
              <w:t xml:space="preserve">, </w:t>
            </w:r>
            <w:r>
              <w:rPr>
                <w:rFonts w:ascii="Courier New" w:hAnsi="Courier New"/>
                <w:color w:val="173F45"/>
                <w:sz w:val="17"/>
              </w:rPr>
              <w:t>cluster</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Period and event</w:t>
            </w:r>
          </w:p>
        </w:tc>
        <w:tc>
          <w:tcPr>
            <w:tcW w:type="dxa" w:w="3000"/>
            <w:tcMar>
              <w:top w:w="90" w:type="dxa"/>
              <w:start w:w="120" w:type="dxa"/>
              <w:bottom w:w="90" w:type="dxa"/>
              <w:end w:w="120" w:type="dxa"/>
            </w:tcMar>
            <w:vAlign w:val="center"/>
          </w:tcPr>
          <w:p>
            <w:pPr>
              <w:spacing w:after="0"/>
            </w:pPr>
            <w:r>
              <w:rPr>
                <w:rFonts w:ascii="Arial" w:hAnsi="Arial"/>
                <w:color w:val="1B292A"/>
                <w:sz w:val="18"/>
              </w:rPr>
              <w:t>5</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run_mode</w:t>
            </w:r>
            <w:r>
              <w:rPr>
                <w:rFonts w:ascii="Arial" w:hAnsi="Arial"/>
                <w:color w:val="1B292A"/>
                <w:sz w:val="18"/>
              </w:rPr>
              <w:t xml:space="preserve">, </w:t>
            </w:r>
            <w:r>
              <w:rPr>
                <w:rFonts w:ascii="Courier New" w:hAnsi="Courier New"/>
                <w:color w:val="173F45"/>
                <w:sz w:val="17"/>
              </w:rPr>
              <w:t>event_days</w:t>
            </w:r>
            <w:r>
              <w:rPr>
                <w:rFonts w:ascii="Arial" w:hAnsi="Arial"/>
                <w:color w:val="1B292A"/>
                <w:sz w:val="18"/>
              </w:rPr>
              <w:t xml:space="preserve">, </w:t>
            </w:r>
            <w:r>
              <w:rPr>
                <w:rFonts w:ascii="Courier New" w:hAnsi="Courier New"/>
                <w:color w:val="173F45"/>
                <w:sz w:val="17"/>
              </w:rPr>
              <w:t>event_window</w:t>
            </w:r>
            <w:r>
              <w:rPr>
                <w:rFonts w:ascii="Arial" w:hAnsi="Arial"/>
                <w:color w:val="1B292A"/>
                <w:sz w:val="18"/>
              </w:rPr>
              <w:t xml:space="preserve">, </w:t>
            </w:r>
            <w:r>
              <w:rPr>
                <w:rFonts w:ascii="Courier New" w:hAnsi="Courier New"/>
                <w:color w:val="173F45"/>
                <w:sz w:val="17"/>
              </w:rPr>
              <w:t>delta_peak_k</w:t>
            </w:r>
            <w:r>
              <w:rPr>
                <w:rFonts w:ascii="Arial" w:hAnsi="Arial"/>
                <w:color w:val="1B292A"/>
                <w:sz w:val="18"/>
              </w:rPr>
              <w:t xml:space="preserve">, </w:t>
            </w:r>
            <w:r>
              <w:rPr>
                <w:rFonts w:ascii="Courier New" w:hAnsi="Courier New"/>
                <w:color w:val="173F45"/>
                <w:sz w:val="17"/>
              </w:rPr>
              <w:t>delta_base_k</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Execution</w:t>
            </w:r>
          </w:p>
        </w:tc>
        <w:tc>
          <w:tcPr>
            <w:tcW w:type="dxa" w:w="3000"/>
            <w:tcMar>
              <w:top w:w="90" w:type="dxa"/>
              <w:start w:w="120" w:type="dxa"/>
              <w:bottom w:w="90" w:type="dxa"/>
              <w:end w:w="120" w:type="dxa"/>
            </w:tcMar>
            <w:vAlign w:val="center"/>
          </w:tcPr>
          <w:p>
            <w:pPr>
              <w:spacing w:after="0"/>
            </w:pPr>
            <w:r>
              <w:rPr>
                <w:rFonts w:ascii="Arial" w:hAnsi="Arial"/>
                <w:color w:val="1B292A"/>
                <w:sz w:val="18"/>
              </w:rPr>
              <w:t>2</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seconds</w:t>
            </w:r>
            <w:r>
              <w:rPr>
                <w:rFonts w:ascii="Arial" w:hAnsi="Arial"/>
                <w:color w:val="1B292A"/>
                <w:sz w:val="18"/>
              </w:rPr>
              <w:t xml:space="preserve">, </w:t>
            </w:r>
            <w:r>
              <w:rPr>
                <w:rFonts w:ascii="Courier New" w:hAnsi="Courier New"/>
                <w:color w:val="173F45"/>
                <w:sz w:val="17"/>
              </w:rPr>
              <w:t>pruned_bytes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Energy</w:t>
            </w:r>
          </w:p>
        </w:tc>
        <w:tc>
          <w:tcPr>
            <w:tcW w:type="dxa" w:w="3000"/>
            <w:tcMar>
              <w:top w:w="90" w:type="dxa"/>
              <w:start w:w="120" w:type="dxa"/>
              <w:bottom w:w="90" w:type="dxa"/>
              <w:end w:w="120" w:type="dxa"/>
            </w:tcMar>
            <w:vAlign w:val="center"/>
          </w:tcPr>
          <w:p>
            <w:pPr>
              <w:spacing w:after="0"/>
            </w:pPr>
            <w:r>
              <w:rPr>
                <w:rFonts w:ascii="Arial" w:hAnsi="Arial"/>
                <w:color w:val="1B292A"/>
                <w:sz w:val="18"/>
              </w:rPr>
              <w:t>24</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total_site_kwh</w:t>
            </w:r>
            <w:r>
              <w:rPr>
                <w:rFonts w:ascii="Arial" w:hAnsi="Arial"/>
                <w:color w:val="1B292A"/>
                <w:sz w:val="18"/>
              </w:rPr>
              <w:t xml:space="preserve">, </w:t>
            </w:r>
            <w:r>
              <w:rPr>
                <w:rFonts w:ascii="Courier New" w:hAnsi="Courier New"/>
                <w:color w:val="173F45"/>
                <w:sz w:val="17"/>
              </w:rPr>
              <w:t>total_site_kwh_m2</w:t>
            </w:r>
            <w:r>
              <w:rPr>
                <w:rFonts w:ascii="Arial" w:hAnsi="Arial"/>
                <w:color w:val="1B292A"/>
                <w:sz w:val="18"/>
              </w:rPr>
              <w:t xml:space="preserve">, </w:t>
            </w:r>
            <w:r>
              <w:rPr>
                <w:rFonts w:ascii="Courier New" w:hAnsi="Courier New"/>
                <w:color w:val="173F45"/>
                <w:sz w:val="17"/>
              </w:rPr>
              <w:t>space_heating_kwh_m2</w:t>
            </w:r>
            <w:r>
              <w:rPr>
                <w:rFonts w:ascii="Arial" w:hAnsi="Arial"/>
                <w:color w:val="1B292A"/>
                <w:sz w:val="18"/>
              </w:rPr>
              <w:t xml:space="preserve">, </w:t>
            </w:r>
            <w:r>
              <w:rPr>
                <w:rFonts w:ascii="Courier New" w:hAnsi="Courier New"/>
                <w:color w:val="173F45"/>
                <w:sz w:val="17"/>
              </w:rPr>
              <w:t>cooling_kwh_m2</w:t>
            </w:r>
            <w:r>
              <w:rPr>
                <w:rFonts w:ascii="Arial" w:hAnsi="Arial"/>
                <w:color w:val="1B292A"/>
                <w:sz w:val="18"/>
              </w:rPr>
              <w:t xml:space="preserve">, </w:t>
            </w:r>
            <w:r>
              <w:rPr>
                <w:rFonts w:ascii="Courier New" w:hAnsi="Courier New"/>
                <w:color w:val="173F45"/>
                <w:sz w:val="17"/>
              </w:rPr>
              <w:t>dhw_kwh_m2</w:t>
            </w:r>
            <w:r>
              <w:rPr>
                <w:rFonts w:ascii="Arial" w:hAnsi="Arial"/>
                <w:color w:val="1B292A"/>
                <w:sz w:val="18"/>
              </w:rPr>
              <w:t xml:space="preserve">, </w:t>
            </w:r>
            <w:r>
              <w:rPr>
                <w:rFonts w:ascii="Courier New" w:hAnsi="Courier New"/>
                <w:color w:val="173F45"/>
                <w:sz w:val="17"/>
              </w:rPr>
              <w:t>site_elec_kwh_m2</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Operational carbon</w:t>
            </w:r>
          </w:p>
        </w:tc>
        <w:tc>
          <w:tcPr>
            <w:tcW w:type="dxa" w:w="3000"/>
            <w:tcMar>
              <w:top w:w="90" w:type="dxa"/>
              <w:start w:w="120" w:type="dxa"/>
              <w:bottom w:w="90" w:type="dxa"/>
              <w:end w:w="120" w:type="dxa"/>
            </w:tcMar>
            <w:vAlign w:val="center"/>
          </w:tcPr>
          <w:p>
            <w:pPr>
              <w:spacing w:after="0"/>
            </w:pPr>
            <w:r>
              <w:rPr>
                <w:rFonts w:ascii="Arial" w:hAnsi="Arial"/>
                <w:color w:val="1B292A"/>
                <w:sz w:val="18"/>
              </w:rPr>
              <w:t>4</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total_site_co2_kg_m2</w:t>
            </w:r>
            <w:r>
              <w:rPr>
                <w:rFonts w:ascii="Arial" w:hAnsi="Arial"/>
                <w:color w:val="1B292A"/>
                <w:sz w:val="18"/>
              </w:rPr>
              <w:t xml:space="preserve">, </w:t>
            </w:r>
            <w:r>
              <w:rPr>
                <w:rFonts w:ascii="Courier New" w:hAnsi="Courier New"/>
                <w:color w:val="173F45"/>
                <w:sz w:val="17"/>
              </w:rPr>
              <w:t>hvac_co2_kg_m2</w:t>
            </w:r>
            <w:r>
              <w:rPr>
                <w:rFonts w:ascii="Arial" w:hAnsi="Arial"/>
                <w:color w:val="1B292A"/>
                <w:sz w:val="18"/>
              </w:rPr>
              <w:t xml:space="preserve">, </w:t>
            </w:r>
            <w:r>
              <w:rPr>
                <w:rFonts w:ascii="Courier New" w:hAnsi="Courier New"/>
                <w:color w:val="173F45"/>
                <w:sz w:val="17"/>
              </w:rPr>
              <w:t>total_site_co2_t</w:t>
            </w:r>
            <w:r>
              <w:rPr>
                <w:rFonts w:ascii="Arial" w:hAnsi="Arial"/>
                <w:color w:val="1B292A"/>
                <w:sz w:val="18"/>
              </w:rPr>
              <w:t xml:space="preserve">, </w:t>
            </w:r>
            <w:r>
              <w:rPr>
                <w:rFonts w:ascii="Courier New" w:hAnsi="Courier New"/>
                <w:color w:val="173F45"/>
                <w:sz w:val="17"/>
              </w:rPr>
              <w:t>hvac_co2_t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Geometry and area</w:t>
            </w:r>
          </w:p>
        </w:tc>
        <w:tc>
          <w:tcPr>
            <w:tcW w:type="dxa" w:w="3000"/>
            <w:tcMar>
              <w:top w:w="90" w:type="dxa"/>
              <w:start w:w="120" w:type="dxa"/>
              <w:bottom w:w="90" w:type="dxa"/>
              <w:end w:w="120" w:type="dxa"/>
            </w:tcMar>
            <w:vAlign w:val="center"/>
          </w:tcPr>
          <w:p>
            <w:pPr>
              <w:spacing w:after="0"/>
            </w:pPr>
            <w:r>
              <w:rPr>
                <w:rFonts w:ascii="Arial" w:hAnsi="Arial"/>
                <w:color w:val="1B292A"/>
                <w:sz w:val="18"/>
              </w:rPr>
              <w:t>24</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footprint_m2</w:t>
            </w:r>
            <w:r>
              <w:rPr>
                <w:rFonts w:ascii="Arial" w:hAnsi="Arial"/>
                <w:color w:val="1B292A"/>
                <w:sz w:val="18"/>
              </w:rPr>
              <w:t xml:space="preserve">, </w:t>
            </w:r>
            <w:r>
              <w:rPr>
                <w:rFonts w:ascii="Courier New" w:hAnsi="Courier New"/>
                <w:color w:val="173F45"/>
                <w:sz w:val="17"/>
              </w:rPr>
              <w:t>res_area_m2</w:t>
            </w:r>
            <w:r>
              <w:rPr>
                <w:rFonts w:ascii="Arial" w:hAnsi="Arial"/>
                <w:color w:val="1B292A"/>
                <w:sz w:val="18"/>
              </w:rPr>
              <w:t xml:space="preserve">, </w:t>
            </w:r>
            <w:r>
              <w:rPr>
                <w:rFonts w:ascii="Courier New" w:hAnsi="Courier New"/>
                <w:color w:val="173F45"/>
                <w:sz w:val="17"/>
              </w:rPr>
              <w:t>tipo15_res_area_m2</w:t>
            </w:r>
            <w:r>
              <w:rPr>
                <w:rFonts w:ascii="Arial" w:hAnsi="Arial"/>
                <w:color w:val="1B292A"/>
                <w:sz w:val="18"/>
              </w:rPr>
              <w:t xml:space="preserve">, </w:t>
            </w:r>
            <w:r>
              <w:rPr>
                <w:rFonts w:ascii="Courier New" w:hAnsi="Courier New"/>
                <w:color w:val="173F45"/>
                <w:sz w:val="17"/>
              </w:rPr>
              <w:t>built_storeys</w:t>
            </w:r>
            <w:r>
              <w:rPr>
                <w:rFonts w:ascii="Arial" w:hAnsi="Arial"/>
                <w:color w:val="1B292A"/>
                <w:sz w:val="18"/>
              </w:rPr>
              <w:t xml:space="preserve">, </w:t>
            </w:r>
            <w:r>
              <w:rPr>
                <w:rFonts w:ascii="Courier New" w:hAnsi="Courier New"/>
                <w:color w:val="173F45"/>
                <w:sz w:val="17"/>
              </w:rPr>
              <w:t>top_storey_fraction</w:t>
            </w:r>
            <w:r>
              <w:rPr>
                <w:rFonts w:ascii="Arial" w:hAnsi="Arial"/>
                <w:color w:val="1B292A"/>
                <w:sz w:val="18"/>
              </w:rPr>
              <w:t xml:space="preserve">, </w:t>
            </w:r>
            <w:r>
              <w:rPr>
                <w:rFonts w:ascii="Courier New" w:hAnsi="Courier New"/>
                <w:color w:val="173F45"/>
                <w:sz w:val="17"/>
              </w:rPr>
              <w:t>footprint_fidelity</w:t>
            </w:r>
            <w:r>
              <w:rPr>
                <w:rFonts w:ascii="Arial" w:hAnsi="Arial"/>
                <w:color w:val="1B292A"/>
                <w:sz w:val="18"/>
              </w:rPr>
              <w:t xml:space="preserve">, </w:t>
            </w:r>
            <w:r>
              <w:rPr>
                <w:rFonts w:ascii="Courier New" w:hAnsi="Courier New"/>
                <w:color w:val="173F45"/>
                <w:sz w:val="17"/>
              </w:rPr>
              <w:t>n_windows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Occupancy and use</w:t>
            </w:r>
          </w:p>
        </w:tc>
        <w:tc>
          <w:tcPr>
            <w:tcW w:type="dxa" w:w="3000"/>
            <w:tcMar>
              <w:top w:w="90" w:type="dxa"/>
              <w:start w:w="120" w:type="dxa"/>
              <w:bottom w:w="90" w:type="dxa"/>
              <w:end w:w="120" w:type="dxa"/>
            </w:tcMar>
            <w:vAlign w:val="center"/>
          </w:tcPr>
          <w:p>
            <w:pPr>
              <w:spacing w:after="0"/>
            </w:pPr>
            <w:r>
              <w:rPr>
                <w:rFonts w:ascii="Arial" w:hAnsi="Arial"/>
                <w:color w:val="1B292A"/>
                <w:sz w:val="18"/>
              </w:rPr>
              <w:t>9</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pob_total</w:t>
            </w:r>
            <w:r>
              <w:rPr>
                <w:rFonts w:ascii="Arial" w:hAnsi="Arial"/>
                <w:color w:val="1B292A"/>
                <w:sz w:val="18"/>
              </w:rPr>
              <w:t xml:space="preserve">, </w:t>
            </w:r>
            <w:r>
              <w:rPr>
                <w:rFonts w:ascii="Courier New" w:hAnsi="Courier New"/>
                <w:color w:val="173F45"/>
                <w:sz w:val="17"/>
              </w:rPr>
              <w:t>num_vivend</w:t>
            </w:r>
            <w:r>
              <w:rPr>
                <w:rFonts w:ascii="Arial" w:hAnsi="Arial"/>
                <w:color w:val="1B292A"/>
                <w:sz w:val="18"/>
              </w:rPr>
              <w:t xml:space="preserve">, </w:t>
            </w:r>
            <w:r>
              <w:rPr>
                <w:rFonts w:ascii="Courier New" w:hAnsi="Courier New"/>
                <w:color w:val="173F45"/>
                <w:sz w:val="17"/>
              </w:rPr>
              <w:t>occupants_applied</w:t>
            </w:r>
            <w:r>
              <w:rPr>
                <w:rFonts w:ascii="Arial" w:hAnsi="Arial"/>
                <w:color w:val="1B292A"/>
                <w:sz w:val="18"/>
              </w:rPr>
              <w:t xml:space="preserve">, </w:t>
            </w:r>
            <w:r>
              <w:rPr>
                <w:rFonts w:ascii="Courier New" w:hAnsi="Courier New"/>
                <w:color w:val="173F45"/>
                <w:sz w:val="17"/>
              </w:rPr>
              <w:t>occupants_source</w:t>
            </w:r>
            <w:r>
              <w:rPr>
                <w:rFonts w:ascii="Arial" w:hAnsi="Arial"/>
                <w:color w:val="1B292A"/>
                <w:sz w:val="18"/>
              </w:rPr>
              <w:t xml:space="preserve">, </w:t>
            </w:r>
            <w:r>
              <w:rPr>
                <w:rFonts w:ascii="Courier New" w:hAnsi="Courier New"/>
                <w:color w:val="173F45"/>
                <w:sz w:val="17"/>
              </w:rPr>
              <w:t>occupancy_plausibility</w:t>
            </w:r>
            <w:r>
              <w:rPr>
                <w:rFonts w:ascii="Arial" w:hAnsi="Arial"/>
                <w:color w:val="1B292A"/>
                <w:sz w:val="18"/>
              </w:rPr>
              <w:t xml:space="preserve">, </w:t>
            </w:r>
            <w:r>
              <w:rPr>
                <w:rFonts w:ascii="Courier New" w:hAnsi="Courier New"/>
                <w:color w:val="173F45"/>
                <w:sz w:val="17"/>
              </w:rPr>
              <w:t>ground_use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Construction</w:t>
            </w:r>
          </w:p>
        </w:tc>
        <w:tc>
          <w:tcPr>
            <w:tcW w:type="dxa" w:w="3000"/>
            <w:tcMar>
              <w:top w:w="90" w:type="dxa"/>
              <w:start w:w="120" w:type="dxa"/>
              <w:bottom w:w="90" w:type="dxa"/>
              <w:end w:w="120" w:type="dxa"/>
            </w:tcMar>
            <w:vAlign w:val="center"/>
          </w:tcPr>
          <w:p>
            <w:pPr>
              <w:spacing w:after="0"/>
            </w:pPr>
            <w:r>
              <w:rPr>
                <w:rFonts w:ascii="Arial" w:hAnsi="Arial"/>
                <w:color w:val="1B292A"/>
                <w:sz w:val="18"/>
              </w:rPr>
              <w:t>2</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wall_construction</w:t>
            </w:r>
            <w:r>
              <w:rPr>
                <w:rFonts w:ascii="Arial" w:hAnsi="Arial"/>
                <w:color w:val="1B292A"/>
                <w:sz w:val="18"/>
              </w:rPr>
              <w:t xml:space="preserve">, </w:t>
            </w:r>
            <w:r>
              <w:rPr>
                <w:rFonts w:ascii="Courier New" w:hAnsi="Courier New"/>
                <w:color w:val="173F45"/>
                <w:sz w:val="17"/>
              </w:rPr>
              <w:t>roof_construction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Quality assurance</w:t>
            </w:r>
          </w:p>
        </w:tc>
        <w:tc>
          <w:tcPr>
            <w:tcW w:type="dxa" w:w="3000"/>
            <w:tcMar>
              <w:top w:w="90" w:type="dxa"/>
              <w:start w:w="120" w:type="dxa"/>
              <w:bottom w:w="90" w:type="dxa"/>
              <w:end w:w="120" w:type="dxa"/>
            </w:tcMar>
            <w:vAlign w:val="center"/>
          </w:tcPr>
          <w:p>
            <w:pPr>
              <w:spacing w:after="0"/>
            </w:pPr>
            <w:r>
              <w:rPr>
                <w:rFonts w:ascii="Arial" w:hAnsi="Arial"/>
                <w:color w:val="1B292A"/>
                <w:sz w:val="18"/>
              </w:rPr>
              <w:t>6</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qa_all_passed</w:t>
            </w:r>
            <w:r>
              <w:rPr>
                <w:rFonts w:ascii="Arial" w:hAnsi="Arial"/>
                <w:color w:val="1B292A"/>
                <w:sz w:val="18"/>
              </w:rPr>
              <w:t xml:space="preserve">, </w:t>
            </w:r>
            <w:r>
              <w:rPr>
                <w:rFonts w:ascii="Courier New" w:hAnsi="Courier New"/>
                <w:color w:val="173F45"/>
                <w:sz w:val="17"/>
              </w:rPr>
              <w:t>warnings</w:t>
            </w:r>
            <w:r>
              <w:rPr>
                <w:rFonts w:ascii="Arial" w:hAnsi="Arial"/>
                <w:color w:val="1B292A"/>
                <w:sz w:val="18"/>
              </w:rPr>
              <w:t xml:space="preserve">, </w:t>
            </w:r>
            <w:r>
              <w:rPr>
                <w:rFonts w:ascii="Courier New" w:hAnsi="Courier New"/>
                <w:color w:val="173F45"/>
                <w:sz w:val="17"/>
              </w:rPr>
              <w:t>severes</w:t>
            </w:r>
            <w:r>
              <w:rPr>
                <w:rFonts w:ascii="Arial" w:hAnsi="Arial"/>
                <w:color w:val="1B292A"/>
                <w:sz w:val="18"/>
              </w:rPr>
              <w:t xml:space="preserve">, </w:t>
            </w:r>
            <w:r>
              <w:rPr>
                <w:rFonts w:ascii="Courier New" w:hAnsi="Courier New"/>
                <w:color w:val="173F45"/>
                <w:sz w:val="17"/>
              </w:rPr>
              <w:t>severes_benign_shading_ems</w:t>
            </w:r>
            <w:r>
              <w:rPr>
                <w:rFonts w:ascii="Arial" w:hAnsi="Arial"/>
                <w:color w:val="1B292A"/>
                <w:sz w:val="18"/>
              </w:rPr>
              <w:t xml:space="preserve">, </w:t>
            </w:r>
            <w:r>
              <w:rPr>
                <w:rFonts w:ascii="Courier New" w:hAnsi="Courier New"/>
                <w:color w:val="173F45"/>
                <w:sz w:val="17"/>
              </w:rPr>
              <w:t>severes_unexplained</w:t>
            </w:r>
            <w:r>
              <w:rPr>
                <w:rFonts w:ascii="Arial" w:hAnsi="Arial"/>
                <w:color w:val="1B292A"/>
                <w:sz w:val="18"/>
              </w:rPr>
              <w:t xml:space="preserve">, </w:t>
            </w:r>
            <w:r>
              <w:rPr>
                <w:rFonts w:ascii="Courier New" w:hAnsi="Courier New"/>
                <w:color w:val="173F45"/>
                <w:sz w:val="17"/>
              </w:rPr>
              <w:t>fatals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Provenance</w:t>
            </w:r>
          </w:p>
        </w:tc>
        <w:tc>
          <w:tcPr>
            <w:tcW w:type="dxa" w:w="3000"/>
            <w:tcMar>
              <w:top w:w="90" w:type="dxa"/>
              <w:start w:w="120" w:type="dxa"/>
              <w:bottom w:w="90" w:type="dxa"/>
              <w:end w:w="120" w:type="dxa"/>
            </w:tcMar>
            <w:vAlign w:val="center"/>
          </w:tcPr>
          <w:p>
            <w:pPr>
              <w:spacing w:after="0"/>
            </w:pPr>
            <w:r>
              <w:rPr>
                <w:rFonts w:ascii="Arial" w:hAnsi="Arial"/>
                <w:color w:val="1B292A"/>
                <w:sz w:val="18"/>
              </w:rPr>
              <w:t>7</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profile_fingerprint</w:t>
            </w:r>
            <w:r>
              <w:rPr>
                <w:rFonts w:ascii="Arial" w:hAnsi="Arial"/>
                <w:color w:val="1B292A"/>
                <w:sz w:val="18"/>
              </w:rPr>
              <w:t xml:space="preserve">, </w:t>
            </w:r>
            <w:r>
              <w:rPr>
                <w:rFonts w:ascii="Courier New" w:hAnsi="Courier New"/>
                <w:color w:val="173F45"/>
                <w:sz w:val="17"/>
              </w:rPr>
              <w:t>climate_fingerprint</w:t>
            </w:r>
            <w:r>
              <w:rPr>
                <w:rFonts w:ascii="Arial" w:hAnsi="Arial"/>
                <w:color w:val="1B292A"/>
                <w:sz w:val="18"/>
              </w:rPr>
              <w:t xml:space="preserve">, </w:t>
            </w:r>
            <w:r>
              <w:rPr>
                <w:rFonts w:ascii="Courier New" w:hAnsi="Courier New"/>
                <w:color w:val="173F45"/>
                <w:sz w:val="17"/>
              </w:rPr>
              <w:t>template_fingerprint</w:t>
            </w:r>
            <w:r>
              <w:rPr>
                <w:rFonts w:ascii="Arial" w:hAnsi="Arial"/>
                <w:color w:val="1B292A"/>
                <w:sz w:val="18"/>
              </w:rPr>
              <w:t xml:space="preserve">, </w:t>
            </w:r>
            <w:r>
              <w:rPr>
                <w:rFonts w:ascii="Courier New" w:hAnsi="Courier New"/>
                <w:color w:val="173F45"/>
                <w:sz w:val="17"/>
              </w:rPr>
              <w:t>policy_fingerprint</w:t>
            </w:r>
            <w:r>
              <w:rPr>
                <w:rFonts w:ascii="Arial" w:hAnsi="Arial"/>
                <w:color w:val="1B292A"/>
                <w:sz w:val="18"/>
              </w:rPr>
              <w:t xml:space="preserve">, </w:t>
            </w:r>
            <w:r>
              <w:rPr>
                <w:rFonts w:ascii="Courier New" w:hAnsi="Courier New"/>
                <w:color w:val="173F45"/>
                <w:sz w:val="17"/>
              </w:rPr>
              <w:t>stock_source_fingerprint</w:t>
            </w:r>
            <w:r>
              <w:rPr>
                <w:rFonts w:ascii="Arial" w:hAnsi="Arial"/>
                <w:color w:val="1B292A"/>
                <w:sz w:val="18"/>
              </w:rPr>
              <w:t xml:space="preserve">, </w:t>
            </w:r>
            <w:r>
              <w:rPr>
                <w:rFonts w:ascii="Courier New" w:hAnsi="Courier New"/>
                <w:color w:val="173F45"/>
                <w:sz w:val="17"/>
              </w:rPr>
              <w:t>runner_schema</w:t>
            </w:r>
            <w:r>
              <w:rPr>
                <w:rFonts w:ascii="Arial" w:hAnsi="Arial"/>
                <w:color w:val="1B292A"/>
                <w:sz w:val="18"/>
              </w:rPr>
              <w:t xml:space="preserve">, </w:t>
            </w:r>
            <w:r>
              <w:rPr>
                <w:rFonts w:ascii="Courier New" w:hAnsi="Courier New"/>
                <w:color w:val="173F45"/>
                <w:sz w:val="17"/>
              </w:rPr>
              <w:t>zero_policy</w:t>
            </w:r>
          </w:p>
        </w:tc>
      </w:tr>
    </w:tbl>
    <w:p>
      <w:pPr>
        <w:spacing w:after="0"/>
      </w:pPr>
    </w:p>
    <w:p>
      <w:r>
        <w:rPr>
          <w:rFonts w:ascii="Georgia" w:hAnsi="Georgia"/>
          <w:color w:val="1B292A"/>
          <w:sz w:val="21"/>
        </w:rPr>
        <w:t>The exported data dictionary names every published field beside its source, and the User Guide reproduces the same ordered list.</w:t>
      </w:r>
    </w:p>
    <w:p>
      <w:r>
        <w:rPr>
          <w:rFonts w:ascii="Georgia" w:hAnsi="Georgia"/>
          <w:color w:val="1B292A"/>
          <w:sz w:val="21"/>
        </w:rPr>
        <w:t xml:space="preserve">The final aggregate carries </w:t>
      </w:r>
      <w:r>
        <w:rPr>
          <w:rFonts w:ascii="Georgia" w:hAnsi="Georgia"/>
          <w:b/>
          <w:color w:val="1B292A"/>
          <w:sz w:val="21"/>
        </w:rPr>
        <w:t>21 blocks</w:t>
      </w:r>
      <w:r>
        <w:rPr>
          <w:rFonts w:ascii="Georgia" w:hAnsi="Georgia"/>
          <w:color w:val="1B292A"/>
          <w:sz w:val="21"/>
        </w:rPr>
        <w:t xml:space="preserve">: </w:t>
      </w:r>
      <w:r>
        <w:rPr>
          <w:rFonts w:ascii="Courier New" w:hAnsi="Courier New"/>
          <w:color w:val="173F45"/>
          <w:sz w:val="19"/>
        </w:rPr>
        <w:t>totals</w:t>
      </w:r>
      <w:r>
        <w:rPr>
          <w:rFonts w:ascii="Georgia" w:hAnsi="Georgia"/>
          <w:color w:val="1B292A"/>
          <w:sz w:val="21"/>
        </w:rPr>
        <w:t xml:space="preserve">, </w:t>
      </w:r>
      <w:r>
        <w:rPr>
          <w:rFonts w:ascii="Courier New" w:hAnsi="Courier New"/>
          <w:color w:val="173F45"/>
          <w:sz w:val="19"/>
        </w:rPr>
        <w:t>by_cluster</w:t>
      </w:r>
      <w:r>
        <w:rPr>
          <w:rFonts w:ascii="Georgia" w:hAnsi="Georgia"/>
          <w:color w:val="1B292A"/>
          <w:sz w:val="21"/>
        </w:rPr>
        <w:t xml:space="preserve">, </w:t>
      </w:r>
      <w:r>
        <w:rPr>
          <w:rFonts w:ascii="Courier New" w:hAnsi="Courier New"/>
          <w:color w:val="173F45"/>
          <w:sz w:val="19"/>
        </w:rPr>
        <w:t>by_district</w:t>
      </w:r>
      <w:r>
        <w:rPr>
          <w:rFonts w:ascii="Georgia" w:hAnsi="Georgia"/>
          <w:color w:val="1B292A"/>
          <w:sz w:val="21"/>
        </w:rPr>
        <w:t xml:space="preserve">, </w:t>
      </w:r>
      <w:r>
        <w:rPr>
          <w:rFonts w:ascii="Courier New" w:hAnsi="Courier New"/>
          <w:color w:val="173F45"/>
          <w:sz w:val="19"/>
        </w:rPr>
        <w:t>coverage</w:t>
      </w:r>
      <w:r>
        <w:rPr>
          <w:rFonts w:ascii="Georgia" w:hAnsi="Georgia"/>
          <w:color w:val="1B292A"/>
          <w:sz w:val="21"/>
        </w:rPr>
        <w:t xml:space="preserve">, </w:t>
      </w:r>
      <w:r>
        <w:rPr>
          <w:rFonts w:ascii="Courier New" w:hAnsi="Courier New"/>
          <w:color w:val="173F45"/>
          <w:sz w:val="19"/>
        </w:rPr>
        <w:t>energy_period</w:t>
      </w:r>
      <w:r>
        <w:rPr>
          <w:rFonts w:ascii="Georgia" w:hAnsi="Georgia"/>
          <w:color w:val="1B292A"/>
          <w:sz w:val="21"/>
        </w:rPr>
        <w:t xml:space="preserve">, </w:t>
      </w:r>
      <w:r>
        <w:rPr>
          <w:rFonts w:ascii="Courier New" w:hAnsi="Courier New"/>
          <w:color w:val="173F45"/>
          <w:sz w:val="19"/>
        </w:rPr>
        <w:t>buildings_ok</w:t>
      </w:r>
      <w:r>
        <w:rPr>
          <w:rFonts w:ascii="Georgia" w:hAnsi="Georgia"/>
          <w:color w:val="1B292A"/>
          <w:sz w:val="21"/>
        </w:rPr>
        <w:t xml:space="preserve">, </w:t>
      </w:r>
      <w:r>
        <w:rPr>
          <w:rFonts w:ascii="Courier New" w:hAnsi="Courier New"/>
          <w:color w:val="173F45"/>
          <w:sz w:val="19"/>
        </w:rPr>
        <w:t>buildings_failed</w:t>
      </w:r>
      <w:r>
        <w:rPr>
          <w:rFonts w:ascii="Georgia" w:hAnsi="Georgia"/>
          <w:color w:val="1B292A"/>
          <w:sz w:val="21"/>
        </w:rPr>
        <w:t xml:space="preserve">, </w:t>
      </w:r>
      <w:r>
        <w:rPr>
          <w:rFonts w:ascii="Courier New" w:hAnsi="Courier New"/>
          <w:color w:val="173F45"/>
          <w:sz w:val="19"/>
        </w:rPr>
        <w:t>buildings_failed_qa</w:t>
      </w:r>
      <w:r>
        <w:rPr>
          <w:rFonts w:ascii="Georgia" w:hAnsi="Georgia"/>
          <w:color w:val="1B292A"/>
          <w:sz w:val="21"/>
        </w:rPr>
        <w:t xml:space="preserve">, </w:t>
      </w:r>
      <w:r>
        <w:rPr>
          <w:rFonts w:ascii="Courier New" w:hAnsi="Courier New"/>
          <w:color w:val="173F45"/>
          <w:sz w:val="19"/>
        </w:rPr>
        <w:t>buildings_excluded</w:t>
      </w:r>
      <w:r>
        <w:rPr>
          <w:rFonts w:ascii="Georgia" w:hAnsi="Georgia"/>
          <w:color w:val="1B292A"/>
          <w:sz w:val="21"/>
        </w:rPr>
        <w:t xml:space="preserve">, </w:t>
      </w:r>
      <w:r>
        <w:rPr>
          <w:rFonts w:ascii="Courier New" w:hAnsi="Courier New"/>
          <w:color w:val="173F45"/>
          <w:sz w:val="19"/>
        </w:rPr>
        <w:t>qa_failed</w:t>
      </w:r>
      <w:r>
        <w:rPr>
          <w:rFonts w:ascii="Georgia" w:hAnsi="Georgia"/>
          <w:color w:val="1B292A"/>
          <w:sz w:val="21"/>
        </w:rPr>
        <w:t xml:space="preserve">, </w:t>
      </w:r>
      <w:r>
        <w:rPr>
          <w:rFonts w:ascii="Courier New" w:hAnsi="Courier New"/>
          <w:color w:val="173F45"/>
          <w:sz w:val="19"/>
        </w:rPr>
        <w:t>unexplained_severes</w:t>
      </w:r>
      <w:r>
        <w:rPr>
          <w:rFonts w:ascii="Georgia" w:hAnsi="Georgia"/>
          <w:color w:val="1B292A"/>
          <w:sz w:val="21"/>
        </w:rPr>
        <w:t xml:space="preserve">, </w:t>
      </w:r>
      <w:r>
        <w:rPr>
          <w:rFonts w:ascii="Courier New" w:hAnsi="Courier New"/>
          <w:color w:val="173F45"/>
          <w:sz w:val="19"/>
        </w:rPr>
        <w:t>implausible_occupancy</w:t>
      </w:r>
      <w:r>
        <w:rPr>
          <w:rFonts w:ascii="Georgia" w:hAnsi="Georgia"/>
          <w:color w:val="1B292A"/>
          <w:sz w:val="21"/>
        </w:rPr>
        <w:t xml:space="preserve">, </w:t>
      </w:r>
      <w:r>
        <w:rPr>
          <w:rFonts w:ascii="Courier New" w:hAnsi="Courier New"/>
          <w:color w:val="173F45"/>
          <w:sz w:val="19"/>
        </w:rPr>
        <w:t>geometry_quality</w:t>
      </w:r>
      <w:r>
        <w:rPr>
          <w:rFonts w:ascii="Georgia" w:hAnsi="Georgia"/>
          <w:color w:val="1B292A"/>
          <w:sz w:val="21"/>
        </w:rPr>
        <w:t xml:space="preserve">, </w:t>
      </w:r>
      <w:r>
        <w:rPr>
          <w:rFonts w:ascii="Courier New" w:hAnsi="Courier New"/>
          <w:color w:val="173F45"/>
          <w:sz w:val="19"/>
        </w:rPr>
        <w:t>floor_area_allocation</w:t>
      </w:r>
      <w:r>
        <w:rPr>
          <w:rFonts w:ascii="Georgia" w:hAnsi="Georgia"/>
          <w:color w:val="1B292A"/>
          <w:sz w:val="21"/>
        </w:rPr>
        <w:t xml:space="preserve">, </w:t>
      </w:r>
      <w:r>
        <w:rPr>
          <w:rFonts w:ascii="Courier New" w:hAnsi="Courier New"/>
          <w:color w:val="173F45"/>
          <w:sz w:val="19"/>
        </w:rPr>
        <w:t>fragmentation</w:t>
      </w:r>
      <w:r>
        <w:rPr>
          <w:rFonts w:ascii="Georgia" w:hAnsi="Georgia"/>
          <w:color w:val="1B292A"/>
          <w:sz w:val="21"/>
        </w:rPr>
        <w:t xml:space="preserve">, </w:t>
      </w:r>
      <w:r>
        <w:rPr>
          <w:rFonts w:ascii="Courier New" w:hAnsi="Courier New"/>
          <w:color w:val="173F45"/>
          <w:sz w:val="19"/>
        </w:rPr>
        <w:t>zoning</w:t>
      </w:r>
      <w:r>
        <w:rPr>
          <w:rFonts w:ascii="Georgia" w:hAnsi="Georgia"/>
          <w:color w:val="1B292A"/>
          <w:sz w:val="21"/>
        </w:rPr>
        <w:t xml:space="preserve">, </w:t>
      </w:r>
      <w:r>
        <w:rPr>
          <w:rFonts w:ascii="Courier New" w:hAnsi="Courier New"/>
          <w:color w:val="173F45"/>
          <w:sz w:val="19"/>
        </w:rPr>
        <w:t>results_layer</w:t>
      </w:r>
      <w:r>
        <w:rPr>
          <w:rFonts w:ascii="Georgia" w:hAnsi="Georgia"/>
          <w:color w:val="1B292A"/>
          <w:sz w:val="21"/>
        </w:rPr>
        <w:t xml:space="preserve">, </w:t>
      </w:r>
      <w:r>
        <w:rPr>
          <w:rFonts w:ascii="Courier New" w:hAnsi="Courier New"/>
          <w:color w:val="173F45"/>
          <w:sz w:val="19"/>
        </w:rPr>
        <w:t>ledger</w:t>
      </w:r>
      <w:r>
        <w:rPr>
          <w:rFonts w:ascii="Georgia" w:hAnsi="Georgia"/>
          <w:color w:val="1B292A"/>
          <w:sz w:val="21"/>
        </w:rPr>
        <w:t xml:space="preserve">, </w:t>
      </w:r>
      <w:r>
        <w:rPr>
          <w:rFonts w:ascii="Courier New" w:hAnsi="Courier New"/>
          <w:color w:val="173F45"/>
          <w:sz w:val="19"/>
        </w:rPr>
        <w:t>provenance</w:t>
      </w:r>
      <w:r>
        <w:rPr>
          <w:rFonts w:ascii="Georgia" w:hAnsi="Georgia"/>
          <w:color w:val="1B292A"/>
          <w:sz w:val="21"/>
        </w:rPr>
        <w:t xml:space="preserve">, </w:t>
      </w:r>
      <w:r>
        <w:rPr>
          <w:rFonts w:ascii="Courier New" w:hAnsi="Courier New"/>
          <w:color w:val="173F45"/>
          <w:sz w:val="19"/>
        </w:rPr>
        <w:t>elapsed_minutes</w:t>
      </w:r>
      <w:r>
        <w:rPr>
          <w:rFonts w:ascii="Georgia" w:hAnsi="Georgia"/>
          <w:color w:val="1B292A"/>
          <w:sz w:val="21"/>
        </w:rPr>
        <w:t xml:space="preserve"> and </w:t>
      </w:r>
      <w:r>
        <w:rPr>
          <w:rFonts w:ascii="Courier New" w:hAnsi="Courier New"/>
          <w:color w:val="173F45"/>
          <w:sz w:val="19"/>
        </w:rPr>
        <w:t>seconds_per_building</w:t>
      </w:r>
      <w:r>
        <w:rPr>
          <w:rFonts w:ascii="Georgia" w:hAnsi="Georgia"/>
          <w:color w:val="1B292A"/>
          <w:sz w:val="21"/>
        </w:rPr>
        <w:t>. Absence of a block means the quantity was not measured for this run; it never means zero.</w:t>
      </w:r>
    </w:p>
    <w:p>
      <w:r>
        <w:br w:type="page"/>
      </w:r>
    </w:p>
    <w:p>
      <w:pPr>
        <w:pStyle w:val="Heading1"/>
      </w:pPr>
      <w:r>
        <w:rPr>
          <w:rFonts w:ascii="Arial" w:hAnsi="Arial"/>
          <w:b/>
          <w:color w:val="173F45"/>
          <w:sz w:val="36"/>
        </w:rPr>
        <w:t>5. Software and verified profile</w:t>
      </w:r>
    </w:p>
    <w:p>
      <w:r>
        <w:rPr>
          <w:rFonts w:ascii="Georgia" w:hAnsi="Georgia"/>
          <w:color w:val="1B292A"/>
          <w:sz w:val="21"/>
        </w:rPr>
        <w:t xml:space="preserve">The documented toolchain is Python 3.13, OpenStudio 3.11.0 and EnergyPlus 25.2.0 [1]–[3]. The publication records software commit </w:t>
      </w:r>
      <w:r>
        <w:rPr>
          <w:rFonts w:ascii="Courier New" w:hAnsi="Courier New"/>
          <w:color w:val="173F45"/>
          <w:sz w:val="19"/>
        </w:rPr>
        <w:t>0836bdb1c689a34d13d1af76f764ed21f42a112b</w:t>
      </w:r>
      <w:r>
        <w:rPr>
          <w:rFonts w:ascii="Georgia" w:hAnsi="Georgia"/>
          <w:color w:val="1B292A"/>
          <w:sz w:val="21"/>
        </w:rPr>
        <w:t>; release/toolchain verification retains the available patch-level version evidence. Dependency presence is a reproducibility condition, not evidence of physical accuracy.</w:t>
      </w:r>
    </w:p>
    <w:p>
      <w:r>
        <w:rPr>
          <w:rFonts w:ascii="Georgia" w:hAnsi="Georgia"/>
          <w:color w:val="1B292A"/>
          <w:sz w:val="21"/>
        </w:rPr>
        <w:t>The verified profile pins the model-building sources, template identity, policy and acceptance evidence. Profile verification means that the modelling method passed the project's fixed reference gates. It does not mean that Valencia's individual buildings were calibrated to measurements.</w:t>
      </w:r>
    </w:p>
    <w:p>
      <w:pPr>
        <w:pStyle w:val="Heading2"/>
      </w:pPr>
      <w:r>
        <w:rPr>
          <w:rFonts w:ascii="Arial" w:hAnsi="Arial"/>
          <w:b/>
          <w:color w:val="1F5F67"/>
          <w:sz w:val="28"/>
        </w:rPr>
        <w:t>5.1 Profile-integrity rule</w:t>
      </w:r>
    </w:p>
    <w:p>
      <w:r>
        <w:rPr>
          <w:rFonts w:ascii="Georgia" w:hAnsi="Georgia"/>
          <w:color w:val="1B292A"/>
          <w:sz w:val="21"/>
        </w:rPr>
        <w:t>Every accepted ledger row must carry the intended profile fingerprint. Source drift during execution is not silently accepted. A mechanically combined ledger containing more than one profile cannot be published as one homogeneous run without explicit separation and warning.</w:t>
      </w:r>
    </w:p>
    <w:p>
      <w:pPr>
        <w:pStyle w:val="Heading2"/>
      </w:pPr>
      <w:r>
        <w:rPr>
          <w:rFonts w:ascii="Arial" w:hAnsi="Arial"/>
          <w:b/>
          <w:color w:val="1F5F67"/>
          <w:sz w:val="28"/>
        </w:rPr>
        <w:t>5.2 Frozen and derived evidence</w:t>
      </w:r>
    </w:p>
    <w:p>
      <w:r>
        <w:rPr>
          <w:rFonts w:ascii="Georgia" w:hAnsi="Georgia"/>
          <w:color w:val="1B292A"/>
          <w:sz w:val="21"/>
        </w:rPr>
        <w:t>Physical model outputs are produced by the pinned simulation chain. Reporting may format units and labels, select latest records, create deterministic aggregates and check duplicate evidence for conflicts. It must not silently recompute historical physical results with today's changed model rules.</w:t>
      </w:r>
    </w:p>
    <w:p>
      <w:r>
        <w:br w:type="page"/>
      </w:r>
    </w:p>
    <w:p>
      <w:pPr>
        <w:pStyle w:val="Heading1"/>
      </w:pPr>
      <w:r>
        <w:rPr>
          <w:rFonts w:ascii="Arial" w:hAnsi="Arial"/>
          <w:b/>
          <w:color w:val="173F45"/>
          <w:sz w:val="36"/>
        </w:rPr>
        <w:t>6. Building preparation and geometry</w:t>
      </w:r>
    </w:p>
    <w:p>
      <w:r>
        <w:rPr>
          <w:rFonts w:ascii="Georgia" w:hAnsi="Georgia"/>
          <w:color w:val="1B292A"/>
          <w:sz w:val="21"/>
        </w:rPr>
        <w:t>The pipeline transforms supplied polygons into tractable building masses, identifies context and party surfaces, applies storey rules, assigns ground use, creates openings where exterior walls exist, and records fidelity evidence.</w:t>
      </w:r>
    </w:p>
    <w:p>
      <w:pPr>
        <w:pStyle w:val="Heading2"/>
      </w:pPr>
      <w:r>
        <w:rPr>
          <w:rFonts w:ascii="Arial" w:hAnsi="Arial"/>
          <w:b/>
          <w:color w:val="1F5F67"/>
          <w:sz w:val="28"/>
        </w:rPr>
        <w:t>6.1 Footprint preparation</w:t>
      </w:r>
    </w:p>
    <w:p>
      <w:r>
        <w:rPr>
          <w:rFonts w:ascii="Georgia" w:hAnsi="Georgia"/>
          <w:color w:val="1B292A"/>
          <w:sz w:val="21"/>
        </w:rPr>
        <w:t>Simplification fidelity is measured as symmetric difference divided by raw area. The configured bound and selected tolerance are recorded per building. A refined tolerance or as-drawn fallback protects geometry when the default tolerance would exceed the fidelity bound. A high fidelity score means closeness to the supplied polygon under this transformation; it does not prove that the source polygon is survey-accurate.</w:t>
      </w:r>
    </w:p>
    <w:p>
      <w:pPr>
        <w:pStyle w:val="Heading2"/>
      </w:pPr>
      <w:r>
        <w:rPr>
          <w:rFonts w:ascii="Arial" w:hAnsi="Arial"/>
          <w:b/>
          <w:color w:val="1F5F67"/>
          <w:sz w:val="28"/>
        </w:rPr>
        <w:t>6.2 Storeys and top-storey allocation</w:t>
      </w:r>
    </w:p>
    <w:p>
      <w:r>
        <w:rPr>
          <w:rFonts w:ascii="Georgia" w:hAnsi="Georgia"/>
          <w:color w:val="1B292A"/>
          <w:sz w:val="21"/>
        </w:rPr>
        <w:t>The report distinguishes total levels, residential levels above ground, effective residential storeys, built storeys and top-storey fraction. A recorded storey snap may remove a resolution-scale sliver near an integer boundary. Dwelling loads on a partial top storey are scaled according to the recorded fraction; the physical model still uses whole geometric storeys.</w:t>
      </w:r>
    </w:p>
    <w:p>
      <w:pPr>
        <w:pStyle w:val="Heading2"/>
      </w:pPr>
      <w:r>
        <w:rPr>
          <w:rFonts w:ascii="Arial" w:hAnsi="Arial"/>
          <w:b/>
          <w:color w:val="1F5F67"/>
          <w:sz w:val="28"/>
        </w:rPr>
        <w:t>6.3 Zoning and context</w:t>
      </w:r>
    </w:p>
    <w:p>
      <w:r>
        <w:rPr>
          <w:rFonts w:ascii="Georgia" w:hAnsi="Georgia"/>
          <w:color w:val="1B292A"/>
          <w:sz w:val="21"/>
        </w:rPr>
        <w:t>The production scheme uses one well-mixed thermal zone per storey. Large buildings above the recorded threshold do not receive a core/perimeter subdivision. Party surfaces, context shading and openings are counted per accepted model. A ground storey with no exterior wall can legitimately have zero glazed subsurfaces.</w:t>
      </w:r>
    </w:p>
    <w:p>
      <w:pPr>
        <w:pStyle w:val="Caption"/>
        <w:keepNext/>
        <w:spacing w:before="80" w:after="80"/>
      </w:pPr>
      <w:r>
        <w:rPr>
          <w:rFonts w:ascii="Arial" w:hAnsi="Arial"/>
          <w:b/>
          <w:color w:val="5B696A"/>
          <w:sz w:val="17"/>
        </w:rPr>
        <w:t>Table 6. Zoning and context</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Geometry evidence</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Final statistic</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Buildings with measured fidelity</w:t>
            </w:r>
          </w:p>
        </w:tc>
        <w:tc>
          <w:tcPr>
            <w:tcW w:type="dxa" w:w="7375"/>
            <w:tcMar>
              <w:top w:w="90" w:type="dxa"/>
              <w:start w:w="120" w:type="dxa"/>
              <w:bottom w:w="90" w:type="dxa"/>
              <w:end w:w="120" w:type="dxa"/>
            </w:tcMar>
            <w:vAlign w:val="center"/>
          </w:tcPr>
          <w:p>
            <w:pPr>
              <w:spacing w:after="0"/>
            </w:pPr>
            <w:r>
              <w:rPr>
                <w:rFonts w:ascii="Arial" w:hAnsi="Arial"/>
                <w:color w:val="1B292A"/>
                <w:sz w:val="18"/>
              </w:rPr>
              <w:t>26,406</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Median / P95 / maximum fidelity</w:t>
            </w:r>
          </w:p>
        </w:tc>
        <w:tc>
          <w:tcPr>
            <w:tcW w:type="dxa" w:w="7375"/>
            <w:tcMar>
              <w:top w:w="90" w:type="dxa"/>
              <w:start w:w="120" w:type="dxa"/>
              <w:bottom w:w="90" w:type="dxa"/>
              <w:end w:w="120" w:type="dxa"/>
            </w:tcMar>
            <w:vAlign w:val="center"/>
          </w:tcPr>
          <w:p>
            <w:pPr>
              <w:spacing w:after="0"/>
            </w:pPr>
            <w:r>
              <w:rPr>
                <w:rFonts w:ascii="Arial" w:hAnsi="Arial"/>
                <w:color w:val="1B292A"/>
                <w:sz w:val="18"/>
              </w:rPr>
              <w:t>0.000587 / 0.002898 / 0.009982</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Configured / refined / coarser / as-drawn</w:t>
            </w:r>
          </w:p>
        </w:tc>
        <w:tc>
          <w:tcPr>
            <w:tcW w:type="dxa" w:w="7375"/>
            <w:tcMar>
              <w:top w:w="90" w:type="dxa"/>
              <w:start w:w="120" w:type="dxa"/>
              <w:bottom w:w="90" w:type="dxa"/>
              <w:end w:w="120" w:type="dxa"/>
            </w:tcMar>
            <w:vAlign w:val="center"/>
          </w:tcPr>
          <w:p>
            <w:pPr>
              <w:spacing w:after="0"/>
            </w:pPr>
            <w:r>
              <w:rPr>
                <w:rFonts w:ascii="Arial" w:hAnsi="Arial"/>
                <w:color w:val="1B292A"/>
                <w:sz w:val="18"/>
              </w:rPr>
              <w:t>26,327 / 44 / 35 / 0</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Storey-snapped buildings and area share</w:t>
            </w:r>
          </w:p>
        </w:tc>
        <w:tc>
          <w:tcPr>
            <w:tcW w:type="dxa" w:w="7375"/>
            <w:tcMar>
              <w:top w:w="90" w:type="dxa"/>
              <w:start w:w="120" w:type="dxa"/>
              <w:bottom w:w="90" w:type="dxa"/>
              <w:end w:w="120" w:type="dxa"/>
            </w:tcMar>
            <w:vAlign w:val="center"/>
          </w:tcPr>
          <w:p>
            <w:pPr>
              <w:spacing w:after="0"/>
            </w:pPr>
            <w:r>
              <w:rPr>
                <w:rFonts w:ascii="Arial" w:hAnsi="Arial"/>
                <w:color w:val="1B292A"/>
                <w:sz w:val="18"/>
              </w:rPr>
              <w:t>579; 3.19%</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Large single-zone buildings and energy share</w:t>
            </w:r>
          </w:p>
        </w:tc>
        <w:tc>
          <w:tcPr>
            <w:tcW w:type="dxa" w:w="7375"/>
            <w:tcMar>
              <w:top w:w="90" w:type="dxa"/>
              <w:start w:w="120" w:type="dxa"/>
              <w:bottom w:w="90" w:type="dxa"/>
              <w:end w:w="120" w:type="dxa"/>
            </w:tcMar>
            <w:vAlign w:val="center"/>
          </w:tcPr>
          <w:p>
            <w:pPr>
              <w:spacing w:after="0"/>
            </w:pPr>
            <w:r>
              <w:rPr>
                <w:rFonts w:ascii="Arial" w:hAnsi="Arial"/>
                <w:color w:val="1B292A"/>
                <w:sz w:val="18"/>
              </w:rPr>
              <w:t>122; 5.76%</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Party surfaces — median / P95 / maximum</w:t>
            </w:r>
          </w:p>
        </w:tc>
        <w:tc>
          <w:tcPr>
            <w:tcW w:type="dxa" w:w="7375"/>
            <w:tcMar>
              <w:top w:w="90" w:type="dxa"/>
              <w:start w:w="120" w:type="dxa"/>
              <w:bottom w:w="90" w:type="dxa"/>
              <w:end w:w="120" w:type="dxa"/>
            </w:tcMar>
            <w:vAlign w:val="center"/>
          </w:tcPr>
          <w:p>
            <w:pPr>
              <w:spacing w:after="0"/>
            </w:pPr>
            <w:r>
              <w:rPr>
                <w:rFonts w:ascii="Arial" w:hAnsi="Arial"/>
                <w:color w:val="1B292A"/>
                <w:sz w:val="18"/>
              </w:rPr>
              <w:t>10.00 / 35.00 / 160.00 (26,406 measured)</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Context shading surfaces — median / P95 / maximum</w:t>
            </w:r>
          </w:p>
        </w:tc>
        <w:tc>
          <w:tcPr>
            <w:tcW w:type="dxa" w:w="7375"/>
            <w:tcMar>
              <w:top w:w="90" w:type="dxa"/>
              <w:start w:w="120" w:type="dxa"/>
              <w:bottom w:w="90" w:type="dxa"/>
              <w:end w:w="120" w:type="dxa"/>
            </w:tcMar>
            <w:vAlign w:val="center"/>
          </w:tcPr>
          <w:p>
            <w:pPr>
              <w:spacing w:after="0"/>
            </w:pPr>
            <w:r>
              <w:rPr>
                <w:rFonts w:ascii="Arial" w:hAnsi="Arial"/>
                <w:color w:val="1B292A"/>
                <w:sz w:val="18"/>
              </w:rPr>
              <w:t>82.00 / 204.00 / 437.00 (26,406 measured)</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Windows — median / P95 / maximum</w:t>
            </w:r>
          </w:p>
        </w:tc>
        <w:tc>
          <w:tcPr>
            <w:tcW w:type="dxa" w:w="7375"/>
            <w:tcMar>
              <w:top w:w="90" w:type="dxa"/>
              <w:start w:w="120" w:type="dxa"/>
              <w:bottom w:w="90" w:type="dxa"/>
              <w:end w:w="120" w:type="dxa"/>
            </w:tcMar>
            <w:vAlign w:val="center"/>
          </w:tcPr>
          <w:p>
            <w:pPr>
              <w:spacing w:after="0"/>
            </w:pPr>
            <w:r>
              <w:rPr>
                <w:rFonts w:ascii="Arial" w:hAnsi="Arial"/>
                <w:color w:val="1B292A"/>
                <w:sz w:val="18"/>
              </w:rPr>
              <w:t>18.00 / 138.00 / 1,506.00 (26,406 measured)</w:t>
            </w:r>
          </w:p>
        </w:tc>
      </w:tr>
    </w:tbl>
    <w:p>
      <w:pPr>
        <w:spacing w:after="0"/>
      </w:pPr>
    </w:p>
    <w:p>
      <w:r>
        <w:br w:type="page"/>
      </w:r>
    </w:p>
    <w:p>
      <w:pPr>
        <w:pStyle w:val="Heading1"/>
      </w:pPr>
      <w:r>
        <w:rPr>
          <w:rFonts w:ascii="Arial" w:hAnsi="Arial"/>
          <w:b/>
          <w:color w:val="173F45"/>
          <w:sz w:val="36"/>
        </w:rPr>
        <w:t>7. Use, occupancy and domestic hot water</w:t>
      </w:r>
    </w:p>
    <w:p>
      <w:r>
        <w:rPr>
          <w:rFonts w:ascii="Georgia" w:hAnsi="Georgia"/>
          <w:color w:val="1B292A"/>
          <w:sz w:val="21"/>
        </w:rPr>
        <w:t>Ground-storey use is conditional on the final recorded building evidence. Residential ground levels are treated as dwelling space and included in the residential basis. Commercial ground levels follow the verified tertiary regime and are excluded from a residential-only denominator. Mixed or unresolved evidence is not forced into either narrative.</w:t>
      </w:r>
    </w:p>
    <w:p>
      <w:r>
        <w:rPr>
          <w:rFonts w:ascii="Georgia" w:hAnsi="Georgia"/>
          <w:color w:val="1B292A"/>
          <w:sz w:val="21"/>
        </w:rPr>
        <w:t>Occupancy reporting separates administrative Padrón population, occupants applied to the model, source/fallback, density cap and plausibility status. Padrón is not live presence. A measured zero, an imputed value and a capped value are different evidence states.</w:t>
      </w:r>
    </w:p>
    <w:p>
      <w:r>
        <w:rPr>
          <w:rFonts w:ascii="Georgia" w:hAnsi="Georgia"/>
          <w:color w:val="1B292A"/>
          <w:sz w:val="21"/>
        </w:rPr>
        <w:t>Domestic hot water follows the recorded occupancy and model policy. The cited CTE reference demand of 28 litres/person/day is a 60 °C reference [6]; the model's 50 °C implementation is not claimed to be directly equivalent. This edition states both temperatures and the modelling interpretation.</w:t>
      </w:r>
    </w:p>
    <w:p>
      <w:pPr>
        <w:pStyle w:val="Heading2"/>
      </w:pPr>
      <w:r>
        <w:rPr>
          <w:rFonts w:ascii="Arial" w:hAnsi="Arial"/>
          <w:b/>
          <w:color w:val="1F5F67"/>
          <w:sz w:val="28"/>
        </w:rPr>
        <w:t>7.1 Mixed-use energy attribution</w:t>
      </w:r>
    </w:p>
    <w:p>
      <w:r>
        <w:rPr>
          <w:rFonts w:ascii="Georgia" w:hAnsi="Georgia"/>
          <w:color w:val="1B292A"/>
          <w:sz w:val="21"/>
        </w:rPr>
        <w:t xml:space="preserve">Commercial lighting and equipment can be separated by user-defined subcategory. HVAC and DHW are not fully separable by space type under the preserved meter contract. Therefore </w:t>
      </w:r>
      <w:r>
        <w:rPr>
          <w:rFonts w:ascii="Courier New" w:hAnsi="Courier New"/>
          <w:color w:val="173F45"/>
          <w:sz w:val="19"/>
        </w:rPr>
        <w:t>residential_site_kwh</w:t>
      </w:r>
      <w:r>
        <w:rPr>
          <w:rFonts w:ascii="Georgia" w:hAnsi="Georgia"/>
          <w:color w:val="1B292A"/>
          <w:sz w:val="21"/>
        </w:rPr>
        <w:t xml:space="preserve"> is a </w:t>
      </w:r>
      <w:r>
        <w:rPr>
          <w:rFonts w:ascii="Georgia" w:hAnsi="Georgia"/>
          <w:b/>
          <w:color w:val="1B292A"/>
          <w:sz w:val="21"/>
        </w:rPr>
        <w:t>residential-attributed upper bound</w:t>
      </w:r>
      <w:r>
        <w:rPr>
          <w:rFonts w:ascii="Georgia" w:hAnsi="Georgia"/>
          <w:color w:val="1B292A"/>
          <w:sz w:val="21"/>
        </w:rPr>
        <w:t>, not exact residential consumption.</w:t>
      </w:r>
    </w:p>
    <w:p>
      <w:r>
        <w:br w:type="page"/>
      </w:r>
    </w:p>
    <w:p>
      <w:pPr>
        <w:pStyle w:val="Heading1"/>
      </w:pPr>
      <w:r>
        <w:rPr>
          <w:rFonts w:ascii="Arial" w:hAnsi="Arial"/>
          <w:b/>
          <w:color w:val="173F45"/>
          <w:sz w:val="36"/>
        </w:rPr>
        <w:t>8. HVAC, schedules and climate application</w:t>
      </w:r>
    </w:p>
    <w:p>
      <w:r>
        <w:rPr>
          <w:rFonts w:ascii="Georgia" w:hAnsi="Georgia"/>
          <w:color w:val="1B292A"/>
          <w:sz w:val="21"/>
        </w:rPr>
        <w:t>The generated models use the constructions, thermostat schedules, internal-load schedules, space types and HVAC objects bound in the verified template. The methods table identifies the relevant evidence families and relies on the preserved model/template records rather than retyping unsupported assumptions.</w:t>
      </w:r>
    </w:p>
    <w:p>
      <w:r>
        <w:rPr>
          <w:rFonts w:ascii="Georgia" w:hAnsi="Georgia"/>
          <w:color w:val="1B292A"/>
          <w:sz w:val="21"/>
        </w:rPr>
        <w:t xml:space="preserve">Annual weather is read from the recorded Valencia EPW. Design-day objects are selected from the matched DDY. Barometric pressure and site metadata are derived from the active climate contract. The annual Valencia report does not include or annualise the Lecco PALM microclimate slice; that evidence belongs to the separate </w:t>
      </w:r>
      <w:r>
        <w:rPr>
          <w:rFonts w:ascii="Courier New" w:hAnsi="Courier New"/>
          <w:color w:val="173F45"/>
          <w:sz w:val="19"/>
        </w:rPr>
        <w:t>LECCO_1</w:t>
      </w:r>
      <w:r>
        <w:rPr>
          <w:rFonts w:ascii="Georgia" w:hAnsi="Georgia"/>
          <w:color w:val="1B292A"/>
          <w:sz w:val="21"/>
        </w:rPr>
        <w:t xml:space="preserve"> event run.</w:t>
      </w:r>
    </w:p>
    <w:p>
      <w:pPr>
        <w:pStyle w:val="Heading2"/>
      </w:pPr>
      <w:r>
        <w:rPr>
          <w:rFonts w:ascii="Arial" w:hAnsi="Arial"/>
          <w:b/>
          <w:color w:val="1F5F67"/>
          <w:sz w:val="28"/>
        </w:rPr>
        <w:t>8.1 Parameters to publish</w:t>
      </w:r>
    </w:p>
    <w:p>
      <w:pPr>
        <w:pStyle w:val="Caption"/>
        <w:keepNext/>
        <w:spacing w:before="80" w:after="80"/>
      </w:pPr>
      <w:r>
        <w:rPr>
          <w:rFonts w:ascii="Arial" w:hAnsi="Arial"/>
          <w:b/>
          <w:color w:val="5B696A"/>
          <w:sz w:val="17"/>
        </w:rPr>
        <w:t>Table 7. Parameters to publish</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Parameter family</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Publication evidence</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Heating/cooling thermostat regimes</w:t>
            </w:r>
          </w:p>
        </w:tc>
        <w:tc>
          <w:tcPr>
            <w:tcW w:type="dxa" w:w="7375"/>
            <w:tcMar>
              <w:top w:w="90" w:type="dxa"/>
              <w:start w:w="120" w:type="dxa"/>
              <w:bottom w:w="90" w:type="dxa"/>
              <w:end w:w="120" w:type="dxa"/>
            </w:tcMar>
            <w:vAlign w:val="center"/>
          </w:tcPr>
          <w:p>
            <w:pPr>
              <w:spacing w:after="0"/>
            </w:pPr>
            <w:r>
              <w:rPr>
                <w:rFonts w:ascii="Arial" w:hAnsi="Arial"/>
                <w:color w:val="1B292A"/>
                <w:sz w:val="18"/>
              </w:rPr>
              <w:t>Template roles and generated OSM</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Infiltration and ventilation assumptions</w:t>
            </w:r>
          </w:p>
        </w:tc>
        <w:tc>
          <w:tcPr>
            <w:tcW w:type="dxa" w:w="7375"/>
            <w:tcMar>
              <w:top w:w="90" w:type="dxa"/>
              <w:start w:w="120" w:type="dxa"/>
              <w:bottom w:w="90" w:type="dxa"/>
              <w:end w:w="120" w:type="dxa"/>
            </w:tcMar>
            <w:vAlign w:val="center"/>
          </w:tcPr>
          <w:p>
            <w:pPr>
              <w:spacing w:after="0"/>
            </w:pPr>
            <w:r>
              <w:rPr>
                <w:rFonts w:ascii="Arial" w:hAnsi="Arial"/>
                <w:color w:val="1B292A"/>
                <w:sz w:val="18"/>
              </w:rPr>
              <w:t>Verified profile/template evidence</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Lighting/equipment schedules</w:t>
            </w:r>
          </w:p>
        </w:tc>
        <w:tc>
          <w:tcPr>
            <w:tcW w:type="dxa" w:w="7375"/>
            <w:tcMar>
              <w:top w:w="90" w:type="dxa"/>
              <w:start w:w="120" w:type="dxa"/>
              <w:bottom w:w="90" w:type="dxa"/>
              <w:end w:w="120" w:type="dxa"/>
            </w:tcMar>
            <w:vAlign w:val="center"/>
          </w:tcPr>
          <w:p>
            <w:pPr>
              <w:spacing w:after="0"/>
            </w:pPr>
            <w:r>
              <w:rPr>
                <w:rFonts w:ascii="Arial" w:hAnsi="Arial"/>
                <w:color w:val="1B292A"/>
                <w:sz w:val="18"/>
              </w:rPr>
              <w:t>Template roles and subcategory evidence</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HVAC system and fuel</w:t>
            </w:r>
          </w:p>
        </w:tc>
        <w:tc>
          <w:tcPr>
            <w:tcW w:type="dxa" w:w="7375"/>
            <w:tcMar>
              <w:top w:w="90" w:type="dxa"/>
              <w:start w:w="120" w:type="dxa"/>
              <w:bottom w:w="90" w:type="dxa"/>
              <w:end w:w="120" w:type="dxa"/>
            </w:tcMar>
            <w:vAlign w:val="center"/>
          </w:tcPr>
          <w:p>
            <w:pPr>
              <w:spacing w:after="0"/>
            </w:pPr>
            <w:r>
              <w:rPr>
                <w:rFonts w:ascii="Arial" w:hAnsi="Arial"/>
                <w:color w:val="1B292A"/>
                <w:sz w:val="18"/>
              </w:rPr>
              <w:t>Generated model and EnergyPlus tables</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DHW demand and temperature</w:t>
            </w:r>
          </w:p>
        </w:tc>
        <w:tc>
          <w:tcPr>
            <w:tcW w:type="dxa" w:w="7375"/>
            <w:tcMar>
              <w:top w:w="90" w:type="dxa"/>
              <w:start w:w="120" w:type="dxa"/>
              <w:bottom w:w="90" w:type="dxa"/>
              <w:end w:w="120" w:type="dxa"/>
            </w:tcMar>
            <w:vAlign w:val="center"/>
          </w:tcPr>
          <w:p>
            <w:pPr>
              <w:spacing w:after="0"/>
            </w:pPr>
            <w:r>
              <w:rPr>
                <w:rFonts w:ascii="Arial" w:hAnsi="Arial"/>
                <w:color w:val="1B292A"/>
                <w:sz w:val="18"/>
              </w:rPr>
              <w:t>Model preparation record</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EPW/DDY site and design days</w:t>
            </w:r>
          </w:p>
        </w:tc>
        <w:tc>
          <w:tcPr>
            <w:tcW w:type="dxa" w:w="7375"/>
            <w:tcMar>
              <w:top w:w="90" w:type="dxa"/>
              <w:start w:w="120" w:type="dxa"/>
              <w:bottom w:w="90" w:type="dxa"/>
              <w:end w:w="120" w:type="dxa"/>
            </w:tcMar>
            <w:vAlign w:val="center"/>
          </w:tcPr>
          <w:p>
            <w:pPr>
              <w:spacing w:after="0"/>
            </w:pPr>
            <w:r>
              <w:rPr>
                <w:rFonts w:ascii="Arial" w:hAnsi="Arial"/>
                <w:color w:val="1B292A"/>
                <w:sz w:val="18"/>
              </w:rPr>
              <w:t>Climate manifest</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Ground and water-mains temperatures</w:t>
            </w:r>
          </w:p>
        </w:tc>
        <w:tc>
          <w:tcPr>
            <w:tcW w:type="dxa" w:w="7375"/>
            <w:tcMar>
              <w:top w:w="90" w:type="dxa"/>
              <w:start w:w="120" w:type="dxa"/>
              <w:bottom w:w="90" w:type="dxa"/>
              <w:end w:w="120" w:type="dxa"/>
            </w:tcMar>
            <w:vAlign w:val="center"/>
          </w:tcPr>
          <w:p>
            <w:pPr>
              <w:spacing w:after="0"/>
            </w:pPr>
            <w:r>
              <w:rPr>
                <w:rFonts w:ascii="Arial" w:hAnsi="Arial"/>
                <w:color w:val="1B292A"/>
                <w:sz w:val="18"/>
              </w:rPr>
              <w:t>Run climate record</w:t>
            </w:r>
          </w:p>
        </w:tc>
      </w:tr>
    </w:tbl>
    <w:p>
      <w:pPr>
        <w:spacing w:after="0"/>
      </w:pPr>
    </w:p>
    <w:p>
      <w:r>
        <w:br w:type="page"/>
      </w:r>
    </w:p>
    <w:p>
      <w:pPr>
        <w:pStyle w:val="Heading1"/>
      </w:pPr>
      <w:r>
        <w:rPr>
          <w:rFonts w:ascii="Arial" w:hAnsi="Arial"/>
          <w:b/>
          <w:color w:val="173F45"/>
          <w:sz w:val="36"/>
        </w:rPr>
        <w:t>9. Result and denominator contract</w:t>
      </w:r>
    </w:p>
    <w:p>
      <w:r>
        <w:rPr>
          <w:rFonts w:ascii="Georgia" w:hAnsi="Georgia"/>
          <w:color w:val="1B292A"/>
          <w:sz w:val="21"/>
        </w:rPr>
        <w:t>Every final metric is presented with visible name, authoritative field, unit, period, denominator, precision and interpretation limit. Missing optional evidence is an em dash; a measured zero remains zero. Boolean, NaN, infinity and wrong-type values are never formatted as valid measurements.</w:t>
      </w:r>
    </w:p>
    <w:p>
      <w:pPr>
        <w:pStyle w:val="Heading2"/>
      </w:pPr>
      <w:r>
        <w:rPr>
          <w:rFonts w:ascii="Arial" w:hAnsi="Arial"/>
          <w:b/>
          <w:color w:val="1F5F67"/>
          <w:sz w:val="28"/>
        </w:rPr>
        <w:t>9.1 Principal energy quantities</w:t>
      </w:r>
    </w:p>
    <w:p>
      <w:r>
        <w:rPr>
          <w:rFonts w:ascii="Georgia" w:hAnsi="Georgia"/>
          <w:color w:val="1B292A"/>
          <w:sz w:val="21"/>
        </w:rPr>
        <w:t>Total site energy is the sum of simulated final energy admitted by the result contract. End-use reporting includes space heating, cooling, domestic hot water, fans, pumps, lighting and equipment where recorded. EnergyPlus ABUPS values originate in output meters; user-defined subcategories provide applicable splits [4].</w:t>
      </w:r>
    </w:p>
    <w:p>
      <w:pPr>
        <w:pStyle w:val="Heading2"/>
      </w:pPr>
      <w:r>
        <w:rPr>
          <w:rFonts w:ascii="Arial" w:hAnsi="Arial"/>
          <w:b/>
          <w:color w:val="1F5F67"/>
          <w:sz w:val="28"/>
        </w:rPr>
        <w:t>9.2 Area denominators</w:t>
      </w:r>
    </w:p>
    <w:p>
      <w:pPr>
        <w:keepLines/>
        <w:spacing w:after="60"/>
        <w:ind w:left="369" w:hanging="255"/>
      </w:pPr>
      <w:r>
        <w:rPr>
          <w:rFonts w:ascii="Georgia" w:hAnsi="Georgia"/>
          <w:color w:val="1B292A"/>
          <w:sz w:val="21"/>
        </w:rPr>
        <w:t>•</w:t>
        <w:tab/>
      </w:r>
      <w:r>
        <w:rPr>
          <w:rFonts w:ascii="Georgia" w:hAnsi="Georgia"/>
          <w:b/>
          <w:color w:val="1B292A"/>
          <w:sz w:val="21"/>
        </w:rPr>
        <w:t>Geometric residential area:</w:t>
      </w:r>
      <w:r>
        <w:rPr>
          <w:rFonts w:ascii="Georgia" w:hAnsi="Georgia"/>
          <w:color w:val="1B292A"/>
          <w:sz w:val="21"/>
        </w:rPr>
        <w:t xml:space="preserve"> modelled residential-storey basis used by the comparison convention.</w:t>
      </w:r>
    </w:p>
    <w:p>
      <w:pPr>
        <w:keepLines/>
        <w:spacing w:after="60"/>
        <w:ind w:left="369" w:hanging="255"/>
      </w:pPr>
      <w:r>
        <w:rPr>
          <w:rFonts w:ascii="Georgia" w:hAnsi="Georgia"/>
          <w:color w:val="1B292A"/>
          <w:sz w:val="21"/>
        </w:rPr>
        <w:t>•</w:t>
        <w:tab/>
      </w:r>
      <w:r>
        <w:rPr>
          <w:rFonts w:ascii="Georgia" w:hAnsi="Georgia"/>
          <w:b/>
          <w:color w:val="1B292A"/>
          <w:sz w:val="21"/>
        </w:rPr>
        <w:t>Cadastral residential area:</w:t>
      </w:r>
      <w:r>
        <w:rPr>
          <w:rFonts w:ascii="Georgia" w:hAnsi="Georgia"/>
          <w:color w:val="1B292A"/>
          <w:sz w:val="21"/>
        </w:rPr>
        <w:t xml:space="preserve"> Tipo15 administrative area where available.</w:t>
      </w:r>
    </w:p>
    <w:p>
      <w:pPr>
        <w:keepLines/>
        <w:spacing w:after="60"/>
        <w:ind w:left="369" w:hanging="255"/>
      </w:pPr>
      <w:r>
        <w:rPr>
          <w:rFonts w:ascii="Georgia" w:hAnsi="Georgia"/>
          <w:color w:val="1B292A"/>
          <w:sz w:val="21"/>
        </w:rPr>
        <w:t>•</w:t>
        <w:tab/>
      </w:r>
      <w:r>
        <w:rPr>
          <w:rFonts w:ascii="Georgia" w:hAnsi="Georgia"/>
          <w:b/>
          <w:color w:val="1B292A"/>
          <w:sz w:val="21"/>
        </w:rPr>
        <w:t>Conditioned area:</w:t>
      </w:r>
      <w:r>
        <w:rPr>
          <w:rFonts w:ascii="Georgia" w:hAnsi="Georgia"/>
          <w:color w:val="1B292A"/>
          <w:sz w:val="21"/>
        </w:rPr>
        <w:t xml:space="preserve"> all conditioned model area, including applicable non-residential space.</w:t>
      </w:r>
    </w:p>
    <w:p>
      <w:pPr>
        <w:keepLines/>
        <w:spacing w:after="60"/>
        <w:ind w:left="369" w:hanging="255"/>
      </w:pPr>
      <w:r>
        <w:rPr>
          <w:rFonts w:ascii="Georgia" w:hAnsi="Georgia"/>
          <w:color w:val="1B292A"/>
          <w:sz w:val="21"/>
        </w:rPr>
        <w:t>•</w:t>
        <w:tab/>
      </w:r>
      <w:r>
        <w:rPr>
          <w:rFonts w:ascii="Georgia" w:hAnsi="Georgia"/>
          <w:b/>
          <w:color w:val="1B292A"/>
          <w:sz w:val="21"/>
        </w:rPr>
        <w:t>Residential-attributed upper bound:</w:t>
      </w:r>
      <w:r>
        <w:rPr>
          <w:rFonts w:ascii="Georgia" w:hAnsi="Georgia"/>
          <w:color w:val="1B292A"/>
          <w:sz w:val="21"/>
        </w:rPr>
        <w:t xml:space="preserve"> energy remaining after separable commercial categories are removed; not exact attribution.</w:t>
      </w:r>
    </w:p>
    <w:p>
      <w:r>
        <w:rPr>
          <w:rFonts w:ascii="Georgia" w:hAnsi="Georgia"/>
          <w:color w:val="1B292A"/>
          <w:sz w:val="21"/>
        </w:rPr>
        <w:t>Whole-site energy divided by residential-only area is a comparison convention. It can include commercial ground-floor energy in the numerator while excluding that floor from the denominator. This is not the physical intensity of all conditioned space.</w:t>
      </w:r>
    </w:p>
    <w:p>
      <w:r>
        <w:br w:type="page"/>
      </w:r>
    </w:p>
    <w:p>
      <w:pPr>
        <w:pStyle w:val="Heading1"/>
      </w:pPr>
      <w:r>
        <w:rPr>
          <w:rFonts w:ascii="Arial" w:hAnsi="Arial"/>
          <w:b/>
          <w:color w:val="173F45"/>
          <w:sz w:val="36"/>
        </w:rPr>
        <w:t>10. Operational carbon</w:t>
      </w:r>
    </w:p>
    <w:p>
      <w:r>
        <w:rPr>
          <w:rFonts w:ascii="Georgia" w:hAnsi="Georgia"/>
          <w:color w:val="1B292A"/>
          <w:sz w:val="21"/>
        </w:rPr>
        <w:t>Operational emissions are derived from simulated final energy using the recorded project factors: 0.331 kgCO₂/kWh_final for electricity and 0.252 kgCO₂/kWh_final for natural gas [5]. The table below reconciles settled aggregate carbon with named presentation denominators.</w:t>
      </w:r>
    </w:p>
    <w:p>
      <w:r>
        <w:rPr>
          <w:rFonts w:ascii="Georgia" w:hAnsi="Georgia"/>
          <w:color w:val="1B292A"/>
          <w:sz w:val="21"/>
        </w:rPr>
        <w:t>The result excludes embodied carbon and is not a measured emissions inventory. Factors may not represent another reporting year, electricity supplier or marginal-emissions question. Carbon figures remain tied to the annual period and the stated energy basis.</w:t>
      </w:r>
    </w:p>
    <w:p>
      <w:pPr>
        <w:pStyle w:val="Caption"/>
        <w:keepNext/>
        <w:spacing w:before="80" w:after="80"/>
      </w:pPr>
      <w:r>
        <w:rPr>
          <w:rFonts w:ascii="Arial" w:hAnsi="Arial"/>
          <w:b/>
          <w:color w:val="5B696A"/>
          <w:sz w:val="17"/>
        </w:rPr>
        <w:t>Table 8. Operational carbon</w:t>
      </w:r>
    </w:p>
    <w:tbl>
      <w:tblPr>
        <w:tblStyle w:val="TableGrid"/>
        <w:tblW w:type="dxa" w:w="10175"/>
        <w:jc w:val="left"/>
        <w:tblLayout w:type="fixed"/>
        <w:tblLook w:firstColumn="1" w:firstRow="1" w:lastColumn="0" w:lastRow="0" w:noHBand="0" w:noVBand="1" w:val="04A0"/>
        <w:tblInd w:w="120" w:type="dxa"/>
      </w:tblPr>
      <w:tblGrid>
        <w:gridCol w:w="2200"/>
        <w:gridCol w:w="2658"/>
        <w:gridCol w:w="2658"/>
        <w:gridCol w:w="2659"/>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Carbon quantity</w:t>
            </w:r>
          </w:p>
        </w:tc>
        <w:tc>
          <w:tcPr>
            <w:tcW w:type="dxa" w:w="2658"/>
            <w:tcMar>
              <w:top w:w="90" w:type="dxa"/>
              <w:start w:w="120" w:type="dxa"/>
              <w:bottom w:w="90" w:type="dxa"/>
              <w:end w:w="120" w:type="dxa"/>
            </w:tcMar>
            <w:vAlign w:val="center"/>
            <w:shd w:fill="E8F1F1"/>
          </w:tcPr>
          <w:p>
            <w:pPr>
              <w:spacing w:after="0"/>
            </w:pPr>
            <w:r>
              <w:rPr>
                <w:rFonts w:ascii="Arial" w:hAnsi="Arial"/>
                <w:b/>
                <w:color w:val="173F45"/>
                <w:sz w:val="17"/>
              </w:rPr>
              <w:t>Unit</w:t>
            </w:r>
          </w:p>
        </w:tc>
        <w:tc>
          <w:tcPr>
            <w:tcW w:type="dxa" w:w="2658"/>
            <w:tcMar>
              <w:top w:w="90" w:type="dxa"/>
              <w:start w:w="120" w:type="dxa"/>
              <w:bottom w:w="90" w:type="dxa"/>
              <w:end w:w="120" w:type="dxa"/>
            </w:tcMar>
            <w:vAlign w:val="center"/>
            <w:shd w:fill="E8F1F1"/>
          </w:tcPr>
          <w:p>
            <w:pPr>
              <w:spacing w:after="0"/>
            </w:pPr>
            <w:r>
              <w:rPr>
                <w:rFonts w:ascii="Arial" w:hAnsi="Arial"/>
                <w:b/>
                <w:color w:val="173F45"/>
                <w:sz w:val="17"/>
              </w:rPr>
              <w:t>Denominator</w:t>
            </w:r>
          </w:p>
        </w:tc>
        <w:tc>
          <w:tcPr>
            <w:tcW w:type="dxa" w:w="2659"/>
            <w:tcMar>
              <w:top w:w="90" w:type="dxa"/>
              <w:start w:w="120" w:type="dxa"/>
              <w:bottom w:w="90" w:type="dxa"/>
              <w:end w:w="120" w:type="dxa"/>
            </w:tcMar>
            <w:vAlign w:val="center"/>
            <w:shd w:fill="E8F1F1"/>
          </w:tcPr>
          <w:p>
            <w:pPr>
              <w:spacing w:after="0"/>
            </w:pPr>
            <w:r>
              <w:rPr>
                <w:rFonts w:ascii="Arial" w:hAnsi="Arial"/>
                <w:b/>
                <w:color w:val="173F45"/>
                <w:sz w:val="17"/>
              </w:rPr>
              <w:t>Final value</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Total operational carbon</w:t>
            </w:r>
          </w:p>
        </w:tc>
        <w:tc>
          <w:tcPr>
            <w:tcW w:type="dxa" w:w="2658"/>
            <w:tcMar>
              <w:top w:w="90" w:type="dxa"/>
              <w:start w:w="120" w:type="dxa"/>
              <w:bottom w:w="90" w:type="dxa"/>
              <w:end w:w="120" w:type="dxa"/>
            </w:tcMar>
            <w:vAlign w:val="center"/>
          </w:tcPr>
          <w:p>
            <w:pPr>
              <w:spacing w:after="0"/>
            </w:pPr>
            <w:r>
              <w:rPr>
                <w:rFonts w:ascii="Arial" w:hAnsi="Arial"/>
                <w:color w:val="1B292A"/>
                <w:sz w:val="17"/>
              </w:rPr>
              <w:t>tCO₂/year</w:t>
            </w:r>
          </w:p>
        </w:tc>
        <w:tc>
          <w:tcPr>
            <w:tcW w:type="dxa" w:w="2658"/>
            <w:tcMar>
              <w:top w:w="90" w:type="dxa"/>
              <w:start w:w="120" w:type="dxa"/>
              <w:bottom w:w="90" w:type="dxa"/>
              <w:end w:w="120" w:type="dxa"/>
            </w:tcMar>
            <w:vAlign w:val="center"/>
          </w:tcPr>
          <w:p>
            <w:pPr>
              <w:spacing w:after="0"/>
            </w:pPr>
            <w:r>
              <w:rPr>
                <w:rFonts w:ascii="Arial" w:hAnsi="Arial"/>
                <w:color w:val="1B292A"/>
                <w:sz w:val="17"/>
              </w:rPr>
              <w:t>None</w:t>
            </w:r>
          </w:p>
        </w:tc>
        <w:tc>
          <w:tcPr>
            <w:tcW w:type="dxa" w:w="2659"/>
            <w:tcMar>
              <w:top w:w="90" w:type="dxa"/>
              <w:start w:w="120" w:type="dxa"/>
              <w:bottom w:w="90" w:type="dxa"/>
              <w:end w:w="120" w:type="dxa"/>
            </w:tcMar>
            <w:vAlign w:val="center"/>
          </w:tcPr>
          <w:p>
            <w:pPr>
              <w:spacing w:after="0"/>
            </w:pPr>
            <w:r>
              <w:rPr>
                <w:rFonts w:ascii="Arial" w:hAnsi="Arial"/>
                <w:color w:val="1B292A"/>
                <w:sz w:val="17"/>
              </w:rPr>
              <w:t>661,312.30</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Operational carbon intensity</w:t>
            </w:r>
          </w:p>
        </w:tc>
        <w:tc>
          <w:tcPr>
            <w:tcW w:type="dxa" w:w="2658"/>
            <w:tcMar>
              <w:top w:w="90" w:type="dxa"/>
              <w:start w:w="120" w:type="dxa"/>
              <w:bottom w:w="90" w:type="dxa"/>
              <w:end w:w="120" w:type="dxa"/>
            </w:tcMar>
            <w:vAlign w:val="center"/>
          </w:tcPr>
          <w:p>
            <w:pPr>
              <w:spacing w:after="0"/>
            </w:pPr>
            <w:r>
              <w:rPr>
                <w:rFonts w:ascii="Arial" w:hAnsi="Arial"/>
                <w:color w:val="1B292A"/>
                <w:sz w:val="17"/>
              </w:rPr>
              <w:t>kgCO₂/m²·year</w:t>
            </w:r>
          </w:p>
        </w:tc>
        <w:tc>
          <w:tcPr>
            <w:tcW w:type="dxa" w:w="2658"/>
            <w:tcMar>
              <w:top w:w="90" w:type="dxa"/>
              <w:start w:w="120" w:type="dxa"/>
              <w:bottom w:w="90" w:type="dxa"/>
              <w:end w:w="120" w:type="dxa"/>
            </w:tcMar>
            <w:vAlign w:val="center"/>
          </w:tcPr>
          <w:p>
            <w:pPr>
              <w:spacing w:after="0"/>
            </w:pPr>
            <w:r>
              <w:rPr>
                <w:rFonts w:ascii="Arial" w:hAnsi="Arial"/>
                <w:color w:val="1B292A"/>
                <w:sz w:val="17"/>
              </w:rPr>
              <w:t>Geometric residential area</w:t>
            </w:r>
          </w:p>
        </w:tc>
        <w:tc>
          <w:tcPr>
            <w:tcW w:type="dxa" w:w="2659"/>
            <w:tcMar>
              <w:top w:w="90" w:type="dxa"/>
              <w:start w:w="120" w:type="dxa"/>
              <w:bottom w:w="90" w:type="dxa"/>
              <w:end w:w="120" w:type="dxa"/>
            </w:tcMar>
            <w:vAlign w:val="center"/>
          </w:tcPr>
          <w:p>
            <w:pPr>
              <w:spacing w:after="0"/>
            </w:pPr>
            <w:r>
              <w:rPr>
                <w:rFonts w:ascii="Arial" w:hAnsi="Arial"/>
                <w:color w:val="1B292A"/>
                <w:sz w:val="17"/>
              </w:rPr>
              <w:t>13.89</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Operational carbon intensity</w:t>
            </w:r>
          </w:p>
        </w:tc>
        <w:tc>
          <w:tcPr>
            <w:tcW w:type="dxa" w:w="2658"/>
            <w:tcMar>
              <w:top w:w="90" w:type="dxa"/>
              <w:start w:w="120" w:type="dxa"/>
              <w:bottom w:w="90" w:type="dxa"/>
              <w:end w:w="120" w:type="dxa"/>
            </w:tcMar>
            <w:vAlign w:val="center"/>
          </w:tcPr>
          <w:p>
            <w:pPr>
              <w:spacing w:after="0"/>
            </w:pPr>
            <w:r>
              <w:rPr>
                <w:rFonts w:ascii="Arial" w:hAnsi="Arial"/>
                <w:color w:val="1B292A"/>
                <w:sz w:val="17"/>
              </w:rPr>
              <w:t>kgCO₂/m²·year</w:t>
            </w:r>
          </w:p>
        </w:tc>
        <w:tc>
          <w:tcPr>
            <w:tcW w:type="dxa" w:w="2658"/>
            <w:tcMar>
              <w:top w:w="90" w:type="dxa"/>
              <w:start w:w="120" w:type="dxa"/>
              <w:bottom w:w="90" w:type="dxa"/>
              <w:end w:w="120" w:type="dxa"/>
            </w:tcMar>
            <w:vAlign w:val="center"/>
          </w:tcPr>
          <w:p>
            <w:pPr>
              <w:spacing w:after="0"/>
            </w:pPr>
            <w:r>
              <w:rPr>
                <w:rFonts w:ascii="Arial" w:hAnsi="Arial"/>
                <w:color w:val="1B292A"/>
                <w:sz w:val="17"/>
              </w:rPr>
              <w:t>Conditioned area</w:t>
            </w:r>
          </w:p>
        </w:tc>
        <w:tc>
          <w:tcPr>
            <w:tcW w:type="dxa" w:w="2659"/>
            <w:tcMar>
              <w:top w:w="90" w:type="dxa"/>
              <w:start w:w="120" w:type="dxa"/>
              <w:bottom w:w="90" w:type="dxa"/>
              <w:end w:w="120" w:type="dxa"/>
            </w:tcMar>
            <w:vAlign w:val="center"/>
          </w:tcPr>
          <w:p>
            <w:pPr>
              <w:spacing w:after="0"/>
            </w:pPr>
            <w:r>
              <w:rPr>
                <w:rFonts w:ascii="Arial" w:hAnsi="Arial"/>
                <w:color w:val="1B292A"/>
                <w:sz w:val="17"/>
              </w:rPr>
              <w:t>11.73</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HVAC operational carbon</w:t>
            </w:r>
          </w:p>
        </w:tc>
        <w:tc>
          <w:tcPr>
            <w:tcW w:type="dxa" w:w="2658"/>
            <w:tcMar>
              <w:top w:w="90" w:type="dxa"/>
              <w:start w:w="120" w:type="dxa"/>
              <w:bottom w:w="90" w:type="dxa"/>
              <w:end w:w="120" w:type="dxa"/>
            </w:tcMar>
            <w:vAlign w:val="center"/>
          </w:tcPr>
          <w:p>
            <w:pPr>
              <w:spacing w:after="0"/>
            </w:pPr>
            <w:r>
              <w:rPr>
                <w:rFonts w:ascii="Arial" w:hAnsi="Arial"/>
                <w:color w:val="1B292A"/>
                <w:sz w:val="17"/>
              </w:rPr>
              <w:t>tCO₂/year</w:t>
            </w:r>
          </w:p>
        </w:tc>
        <w:tc>
          <w:tcPr>
            <w:tcW w:type="dxa" w:w="2658"/>
            <w:tcMar>
              <w:top w:w="90" w:type="dxa"/>
              <w:start w:w="120" w:type="dxa"/>
              <w:bottom w:w="90" w:type="dxa"/>
              <w:end w:w="120" w:type="dxa"/>
            </w:tcMar>
            <w:vAlign w:val="center"/>
          </w:tcPr>
          <w:p>
            <w:pPr>
              <w:spacing w:after="0"/>
            </w:pPr>
            <w:r>
              <w:rPr>
                <w:rFonts w:ascii="Arial" w:hAnsi="Arial"/>
                <w:color w:val="1B292A"/>
                <w:sz w:val="17"/>
              </w:rPr>
              <w:t>None</w:t>
            </w:r>
          </w:p>
        </w:tc>
        <w:tc>
          <w:tcPr>
            <w:tcW w:type="dxa" w:w="2659"/>
            <w:tcMar>
              <w:top w:w="90" w:type="dxa"/>
              <w:start w:w="120" w:type="dxa"/>
              <w:bottom w:w="90" w:type="dxa"/>
              <w:end w:w="120" w:type="dxa"/>
            </w:tcMar>
            <w:vAlign w:val="center"/>
          </w:tcPr>
          <w:p>
            <w:pPr>
              <w:spacing w:after="0"/>
            </w:pPr>
            <w:r>
              <w:rPr>
                <w:rFonts w:ascii="Arial" w:hAnsi="Arial"/>
                <w:color w:val="1B292A"/>
                <w:sz w:val="17"/>
              </w:rPr>
              <w:t>76,279.90</w:t>
            </w:r>
          </w:p>
        </w:tc>
      </w:tr>
    </w:tbl>
    <w:p>
      <w:pPr>
        <w:spacing w:after="0"/>
      </w:pPr>
    </w:p>
    <w:p>
      <w:r>
        <w:br w:type="page"/>
      </w:r>
    </w:p>
    <w:p>
      <w:pPr>
        <w:pStyle w:val="Heading1"/>
      </w:pPr>
      <w:r>
        <w:rPr>
          <w:rFonts w:ascii="Arial" w:hAnsi="Arial"/>
          <w:b/>
          <w:color w:val="173F45"/>
          <w:sz w:val="36"/>
        </w:rPr>
        <w:t>11. Coverage, failures and exclusions</w:t>
      </w:r>
    </w:p>
    <w:p>
      <w:r>
        <w:rPr>
          <w:rFonts w:ascii="Georgia" w:hAnsi="Georgia"/>
          <w:color w:val="1B292A"/>
          <w:sz w:val="21"/>
        </w:rPr>
        <w:t>Coverage is reported as successful result count divided by buildings in scope, together with failed, QA-rejected and excluded counts. A high percentage does not prove absence of bias. Missing buildings may differ systematically in size, cluster, geometry or use.</w:t>
      </w:r>
    </w:p>
    <w:p>
      <w:r>
        <w:rPr>
          <w:rFonts w:ascii="Georgia" w:hAnsi="Georgia"/>
          <w:color w:val="1B292A"/>
          <w:sz w:val="21"/>
        </w:rPr>
        <w:t>When a common cadastral-area basis exists for represented and missing records, the report may size potential truncation under the recorded convention. Otherwise the correct statement is that truncation is unquantified; it is never “no bias.”</w:t>
      </w:r>
    </w:p>
    <w:p>
      <w:pPr>
        <w:pStyle w:val="Caption"/>
        <w:keepNext/>
        <w:spacing w:before="80" w:after="80"/>
      </w:pPr>
      <w:r>
        <w:rPr>
          <w:rFonts w:ascii="Arial" w:hAnsi="Arial"/>
          <w:b/>
          <w:color w:val="5B696A"/>
          <w:sz w:val="17"/>
        </w:rPr>
        <w:t>Table 9. Coverage, failures and exclusions</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Scope accounting</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Final count</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Buildings in scope</w:t>
            </w:r>
          </w:p>
        </w:tc>
        <w:tc>
          <w:tcPr>
            <w:tcW w:type="dxa" w:w="7375"/>
            <w:tcMar>
              <w:top w:w="90" w:type="dxa"/>
              <w:start w:w="120" w:type="dxa"/>
              <w:bottom w:w="90" w:type="dxa"/>
              <w:end w:w="120" w:type="dxa"/>
            </w:tcMar>
            <w:vAlign w:val="center"/>
          </w:tcPr>
          <w:p>
            <w:pPr>
              <w:spacing w:after="0"/>
            </w:pPr>
            <w:r>
              <w:rPr>
                <w:rFonts w:ascii="Arial" w:hAnsi="Arial"/>
                <w:color w:val="1B292A"/>
                <w:sz w:val="18"/>
              </w:rPr>
              <w:t>26,445</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Runnable after preflight</w:t>
            </w:r>
          </w:p>
        </w:tc>
        <w:tc>
          <w:tcPr>
            <w:tcW w:type="dxa" w:w="7375"/>
            <w:tcMar>
              <w:top w:w="90" w:type="dxa"/>
              <w:start w:w="120" w:type="dxa"/>
              <w:bottom w:w="90" w:type="dxa"/>
              <w:end w:w="120" w:type="dxa"/>
            </w:tcMar>
            <w:vAlign w:val="center"/>
          </w:tcPr>
          <w:p>
            <w:pPr>
              <w:spacing w:after="0"/>
            </w:pPr>
            <w:r>
              <w:rPr>
                <w:rFonts w:ascii="Arial" w:hAnsi="Arial"/>
                <w:color w:val="1B292A"/>
                <w:sz w:val="18"/>
              </w:rPr>
              <w:t>26,407</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Successful latest records</w:t>
            </w:r>
          </w:p>
        </w:tc>
        <w:tc>
          <w:tcPr>
            <w:tcW w:type="dxa" w:w="7375"/>
            <w:tcMar>
              <w:top w:w="90" w:type="dxa"/>
              <w:start w:w="120" w:type="dxa"/>
              <w:bottom w:w="90" w:type="dxa"/>
              <w:end w:w="120" w:type="dxa"/>
            </w:tcMar>
            <w:vAlign w:val="center"/>
          </w:tcPr>
          <w:p>
            <w:pPr>
              <w:spacing w:after="0"/>
            </w:pPr>
            <w:r>
              <w:rPr>
                <w:rFonts w:ascii="Arial" w:hAnsi="Arial"/>
                <w:color w:val="1B292A"/>
                <w:sz w:val="18"/>
              </w:rPr>
              <w:t>26,406</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Runtime failed</w:t>
            </w:r>
          </w:p>
        </w:tc>
        <w:tc>
          <w:tcPr>
            <w:tcW w:type="dxa" w:w="7375"/>
            <w:tcMar>
              <w:top w:w="90" w:type="dxa"/>
              <w:start w:w="120" w:type="dxa"/>
              <w:bottom w:w="90" w:type="dxa"/>
              <w:end w:w="120" w:type="dxa"/>
            </w:tcMar>
            <w:vAlign w:val="center"/>
          </w:tcPr>
          <w:p>
            <w:pPr>
              <w:spacing w:after="0"/>
            </w:pPr>
            <w:r>
              <w:rPr>
                <w:rFonts w:ascii="Arial" w:hAnsi="Arial"/>
                <w:color w:val="1B292A"/>
                <w:sz w:val="18"/>
              </w:rPr>
              <w:t>1</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QA rejected</w:t>
            </w:r>
          </w:p>
        </w:tc>
        <w:tc>
          <w:tcPr>
            <w:tcW w:type="dxa" w:w="7375"/>
            <w:tcMar>
              <w:top w:w="90" w:type="dxa"/>
              <w:start w:w="120" w:type="dxa"/>
              <w:bottom w:w="90" w:type="dxa"/>
              <w:end w:w="120" w:type="dxa"/>
            </w:tcMar>
            <w:vAlign w:val="center"/>
          </w:tcPr>
          <w:p>
            <w:pPr>
              <w:spacing w:after="0"/>
            </w:pPr>
            <w:r>
              <w:rPr>
                <w:rFonts w:ascii="Arial" w:hAnsi="Arial"/>
                <w:color w:val="1B292A"/>
                <w:sz w:val="18"/>
              </w:rPr>
              <w:t>0</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Pre-simulation excluded</w:t>
            </w:r>
          </w:p>
        </w:tc>
        <w:tc>
          <w:tcPr>
            <w:tcW w:type="dxa" w:w="7375"/>
            <w:tcMar>
              <w:top w:w="90" w:type="dxa"/>
              <w:start w:w="120" w:type="dxa"/>
              <w:bottom w:w="90" w:type="dxa"/>
              <w:end w:w="120" w:type="dxa"/>
            </w:tcMar>
            <w:vAlign w:val="center"/>
          </w:tcPr>
          <w:p>
            <w:pPr>
              <w:spacing w:after="0"/>
            </w:pPr>
            <w:r>
              <w:rPr>
                <w:rFonts w:ascii="Arial" w:hAnsi="Arial"/>
                <w:color w:val="1B292A"/>
                <w:sz w:val="18"/>
              </w:rPr>
              <w:t>38</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Coverage percentage</w:t>
            </w:r>
          </w:p>
        </w:tc>
        <w:tc>
          <w:tcPr>
            <w:tcW w:type="dxa" w:w="7375"/>
            <w:tcMar>
              <w:top w:w="90" w:type="dxa"/>
              <w:start w:w="120" w:type="dxa"/>
              <w:bottom w:w="90" w:type="dxa"/>
              <w:end w:w="120" w:type="dxa"/>
            </w:tcMar>
            <w:vAlign w:val="center"/>
          </w:tcPr>
          <w:p>
            <w:pPr>
              <w:spacing w:after="0"/>
            </w:pPr>
            <w:r>
              <w:rPr>
                <w:rFonts w:ascii="Arial" w:hAnsi="Arial"/>
                <w:color w:val="1B292A"/>
                <w:sz w:val="18"/>
              </w:rPr>
              <w:t>99.85%</w:t>
            </w:r>
          </w:p>
        </w:tc>
      </w:tr>
    </w:tbl>
    <w:p>
      <w:pPr>
        <w:spacing w:after="0"/>
      </w:pPr>
    </w:p>
    <w:p>
      <w:r>
        <w:rPr>
          <w:rFonts w:ascii="Georgia" w:hAnsi="Georgia"/>
          <w:color w:val="1B292A"/>
          <w:sz w:val="21"/>
        </w:rPr>
        <w:t>Failure and exclusion reasons are grouped without erasing their references. Repeated attempts are resolved by latest-record semantics; attempts are not double-counted as buildings.</w:t>
      </w:r>
    </w:p>
    <w:p>
      <w:r>
        <w:br w:type="page"/>
      </w:r>
    </w:p>
    <w:p>
      <w:pPr>
        <w:pStyle w:val="Heading1"/>
      </w:pPr>
      <w:r>
        <w:rPr>
          <w:rFonts w:ascii="Arial" w:hAnsi="Arial"/>
          <w:b/>
          <w:color w:val="173F45"/>
          <w:sz w:val="36"/>
        </w:rPr>
        <w:t>12. Quality assurance and diagnostics</w:t>
      </w:r>
    </w:p>
    <w:p>
      <w:r>
        <w:rPr>
          <w:rFonts w:ascii="Georgia" w:hAnsi="Georgia"/>
          <w:color w:val="1B292A"/>
          <w:sz w:val="21"/>
        </w:rPr>
        <w:t xml:space="preserve">The building QA matrix compares expected model evidence, observed EnergyPlus evidence or accepted method interval, criterion and result. Stored ratio tolerances are reported in reader-facing units: </w:t>
      </w:r>
      <w:r>
        <w:rPr>
          <w:rFonts w:ascii="Courier New" w:hAnsi="Courier New"/>
          <w:color w:val="173F45"/>
          <w:sz w:val="19"/>
        </w:rPr>
        <w:t>0.005</w:t>
      </w:r>
      <w:r>
        <w:rPr>
          <w:rFonts w:ascii="Georgia" w:hAnsi="Georgia"/>
          <w:color w:val="1B292A"/>
          <w:sz w:val="21"/>
        </w:rPr>
        <w:t xml:space="preserve"> as ±0.5%, </w:t>
      </w:r>
      <w:r>
        <w:rPr>
          <w:rFonts w:ascii="Courier New" w:hAnsi="Courier New"/>
          <w:color w:val="173F45"/>
          <w:sz w:val="19"/>
        </w:rPr>
        <w:t>0.02</w:t>
      </w:r>
      <w:r>
        <w:rPr>
          <w:rFonts w:ascii="Georgia" w:hAnsi="Georgia"/>
          <w:color w:val="1B292A"/>
          <w:sz w:val="21"/>
        </w:rPr>
        <w:t xml:space="preserve"> as ±2%, and annual unmet hours as ≤500 h.</w:t>
      </w:r>
    </w:p>
    <w:p>
      <w:r>
        <w:rPr>
          <w:rFonts w:ascii="Georgia" w:hAnsi="Georgia"/>
          <w:color w:val="1B292A"/>
          <w:sz w:val="21"/>
        </w:rPr>
        <w:t>Some checks compare the built model with EnergyPlus output. A plausibility-band check evaluates the method against a research range and is not mislabelled as an EnergyPlus cross-check.</w:t>
      </w:r>
    </w:p>
    <w:p>
      <w:pPr>
        <w:pStyle w:val="Heading2"/>
      </w:pPr>
      <w:r>
        <w:rPr>
          <w:rFonts w:ascii="Arial" w:hAnsi="Arial"/>
          <w:b/>
          <w:color w:val="1F5F67"/>
          <w:sz w:val="28"/>
        </w:rPr>
        <w:t>12.1 Diagnostic classification</w:t>
      </w:r>
    </w:p>
    <w:p>
      <w:r>
        <w:rPr>
          <w:rFonts w:ascii="Georgia" w:hAnsi="Georgia"/>
          <w:color w:val="1B292A"/>
          <w:sz w:val="21"/>
        </w:rPr>
        <w:t xml:space="preserve">EnergyPlus Severe messages generally require correction [7]. BSEW can accept only a narrowly recorded project-classified benign pattern when all QA checks pass and no Fatal or unexplained Severe remains. Such a building is </w:t>
      </w:r>
      <w:r>
        <w:rPr>
          <w:rFonts w:ascii="Georgia" w:hAnsi="Georgia"/>
          <w:b/>
          <w:color w:val="1B292A"/>
          <w:sz w:val="21"/>
        </w:rPr>
        <w:t>ACCEPTED WITH CLASSIFIED DIAGNOSTICS</w:t>
      </w:r>
      <w:r>
        <w:rPr>
          <w:rFonts w:ascii="Georgia" w:hAnsi="Georgia"/>
          <w:color w:val="1B292A"/>
          <w:sz w:val="21"/>
        </w:rPr>
        <w:t>, not PASS. This edition discloses classified-message counts and the project-specific acceptance rule; row-level markers remain in preserved evidence.</w:t>
      </w:r>
    </w:p>
    <w:p>
      <w:pPr>
        <w:pStyle w:val="Caption"/>
        <w:keepNext/>
        <w:spacing w:before="80" w:after="80"/>
      </w:pPr>
      <w:r>
        <w:rPr>
          <w:rFonts w:ascii="Arial" w:hAnsi="Arial"/>
          <w:b/>
          <w:color w:val="5B696A"/>
          <w:sz w:val="17"/>
        </w:rPr>
        <w:t>Table 10. Diagnostic classification</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QA/diagnostic evidence</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Final result</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QA rejected buildings</w:t>
            </w:r>
          </w:p>
        </w:tc>
        <w:tc>
          <w:tcPr>
            <w:tcW w:type="dxa" w:w="7375"/>
            <w:tcMar>
              <w:top w:w="90" w:type="dxa"/>
              <w:start w:w="120" w:type="dxa"/>
              <w:bottom w:w="90" w:type="dxa"/>
              <w:end w:w="120" w:type="dxa"/>
            </w:tcMar>
            <w:vAlign w:val="center"/>
          </w:tcPr>
          <w:p>
            <w:pPr>
              <w:spacing w:after="0"/>
            </w:pPr>
            <w:r>
              <w:rPr>
                <w:rFonts w:ascii="Arial" w:hAnsi="Arial"/>
                <w:color w:val="1B292A"/>
                <w:sz w:val="18"/>
              </w:rPr>
              <w:t>0</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Accepted rows with classified benign Severe</w:t>
            </w:r>
          </w:p>
        </w:tc>
        <w:tc>
          <w:tcPr>
            <w:tcW w:type="dxa" w:w="7375"/>
            <w:tcMar>
              <w:top w:w="90" w:type="dxa"/>
              <w:start w:w="120" w:type="dxa"/>
              <w:bottom w:w="90" w:type="dxa"/>
              <w:end w:w="120" w:type="dxa"/>
            </w:tcMar>
            <w:vAlign w:val="center"/>
          </w:tcPr>
          <w:p>
            <w:pPr>
              <w:spacing w:after="0"/>
            </w:pPr>
            <w:r>
              <w:rPr>
                <w:rFonts w:ascii="Arial" w:hAnsi="Arial"/>
                <w:color w:val="1B292A"/>
                <w:sz w:val="18"/>
              </w:rPr>
              <w:t>26,294</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Project-classified benign Severe messages</w:t>
            </w:r>
          </w:p>
        </w:tc>
        <w:tc>
          <w:tcPr>
            <w:tcW w:type="dxa" w:w="7375"/>
            <w:tcMar>
              <w:top w:w="90" w:type="dxa"/>
              <w:start w:w="120" w:type="dxa"/>
              <w:bottom w:w="90" w:type="dxa"/>
              <w:end w:w="120" w:type="dxa"/>
            </w:tcMar>
            <w:vAlign w:val="center"/>
          </w:tcPr>
          <w:p>
            <w:pPr>
              <w:spacing w:after="0"/>
            </w:pPr>
            <w:r>
              <w:rPr>
                <w:rFonts w:ascii="Arial" w:hAnsi="Arial"/>
                <w:color w:val="1B292A"/>
                <w:sz w:val="18"/>
              </w:rPr>
              <w:t>1,042,465</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Unexplained Severe messages</w:t>
            </w:r>
          </w:p>
        </w:tc>
        <w:tc>
          <w:tcPr>
            <w:tcW w:type="dxa" w:w="7375"/>
            <w:tcMar>
              <w:top w:w="90" w:type="dxa"/>
              <w:start w:w="120" w:type="dxa"/>
              <w:bottom w:w="90" w:type="dxa"/>
              <w:end w:w="120" w:type="dxa"/>
            </w:tcMar>
            <w:vAlign w:val="center"/>
          </w:tcPr>
          <w:p>
            <w:pPr>
              <w:spacing w:after="0"/>
            </w:pPr>
            <w:r>
              <w:rPr>
                <w:rFonts w:ascii="Arial" w:hAnsi="Arial"/>
                <w:color w:val="1B292A"/>
                <w:sz w:val="18"/>
              </w:rPr>
              <w:t>0</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Fatal messages</w:t>
            </w:r>
          </w:p>
        </w:tc>
        <w:tc>
          <w:tcPr>
            <w:tcW w:type="dxa" w:w="7375"/>
            <w:tcMar>
              <w:top w:w="90" w:type="dxa"/>
              <w:start w:w="120" w:type="dxa"/>
              <w:bottom w:w="90" w:type="dxa"/>
              <w:end w:w="120" w:type="dxa"/>
            </w:tcMar>
            <w:vAlign w:val="center"/>
          </w:tcPr>
          <w:p>
            <w:pPr>
              <w:spacing w:after="0"/>
            </w:pPr>
            <w:r>
              <w:rPr>
                <w:rFonts w:ascii="Arial" w:hAnsi="Arial"/>
                <w:color w:val="1B292A"/>
                <w:sz w:val="18"/>
              </w:rPr>
              <w:t>0</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Occupancy plausibility flags</w:t>
            </w:r>
          </w:p>
        </w:tc>
        <w:tc>
          <w:tcPr>
            <w:tcW w:type="dxa" w:w="7375"/>
            <w:tcMar>
              <w:top w:w="90" w:type="dxa"/>
              <w:start w:w="120" w:type="dxa"/>
              <w:bottom w:w="90" w:type="dxa"/>
              <w:end w:w="120" w:type="dxa"/>
            </w:tcMar>
            <w:vAlign w:val="center"/>
          </w:tcPr>
          <w:p>
            <w:pPr>
              <w:spacing w:after="0"/>
            </w:pPr>
            <w:r>
              <w:rPr>
                <w:rFonts w:ascii="Arial" w:hAnsi="Arial"/>
                <w:color w:val="1B292A"/>
                <w:sz w:val="18"/>
              </w:rPr>
              <w:t>3,954</w:t>
            </w:r>
          </w:p>
        </w:tc>
      </w:tr>
    </w:tbl>
    <w:p>
      <w:pPr>
        <w:spacing w:after="0"/>
      </w:pPr>
    </w:p>
    <w:p>
      <w:r>
        <w:br w:type="page"/>
      </w:r>
    </w:p>
    <w:p>
      <w:pPr>
        <w:pStyle w:val="Heading1"/>
      </w:pPr>
      <w:r>
        <w:rPr>
          <w:rFonts w:ascii="Arial" w:hAnsi="Arial"/>
          <w:b/>
          <w:color w:val="173F45"/>
          <w:sz w:val="36"/>
        </w:rPr>
        <w:t>13. Aggregate results and cluster interpretation</w:t>
      </w:r>
    </w:p>
    <w:p>
      <w:r>
        <w:rPr>
          <w:rFonts w:ascii="Georgia" w:hAnsi="Georgia"/>
          <w:color w:val="1B292A"/>
          <w:sz w:val="21"/>
        </w:rPr>
        <w:t>The results table reports energy and operational carbon from settled evidence. Cluster rows include building count, residential area, total site energy and the available geometric/cadastral intensities. Rai comparison columns are shown only where the published comparison exists and the denominator is aligned.</w:t>
      </w:r>
    </w:p>
    <w:p>
      <w:r>
        <w:rPr>
          <w:rFonts w:ascii="Georgia" w:hAnsi="Georgia"/>
          <w:color w:val="1B292A"/>
          <w:sz w:val="21"/>
        </w:rPr>
        <w:t>Cluster intensity is energy divided by the corresponding total area. It is not the arithmetic mean of building intensity. A difference from the Rai reference is a method/reference comparison, not calibration against utility observations.</w:t>
      </w:r>
    </w:p>
    <w:p>
      <w:pPr>
        <w:pStyle w:val="Caption"/>
        <w:keepNext/>
        <w:spacing w:before="80" w:after="80"/>
      </w:pPr>
      <w:r>
        <w:rPr>
          <w:rFonts w:ascii="Arial" w:hAnsi="Arial"/>
          <w:b/>
          <w:color w:val="5B696A"/>
          <w:sz w:val="17"/>
        </w:rPr>
        <w:t>Table 11. Aggregate results and cluster interpretation</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Result</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 and basis</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Final value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Total site energy</w:t>
            </w:r>
          </w:p>
        </w:tc>
        <w:tc>
          <w:tcPr>
            <w:tcW w:type="dxa" w:w="3000"/>
            <w:tcMar>
              <w:top w:w="90" w:type="dxa"/>
              <w:start w:w="120" w:type="dxa"/>
              <w:bottom w:w="90" w:type="dxa"/>
              <w:end w:w="120" w:type="dxa"/>
            </w:tcMar>
            <w:vAlign w:val="center"/>
          </w:tcPr>
          <w:p>
            <w:pPr>
              <w:spacing w:after="0"/>
            </w:pPr>
            <w:r>
              <w:rPr>
                <w:rFonts w:ascii="Arial" w:hAnsi="Arial"/>
                <w:color w:val="1B292A"/>
                <w:sz w:val="18"/>
              </w:rPr>
              <w:t>GWh/year, represented stock</w:t>
            </w:r>
          </w:p>
        </w:tc>
        <w:tc>
          <w:tcPr>
            <w:tcW w:type="dxa" w:w="4575"/>
            <w:tcMar>
              <w:top w:w="90" w:type="dxa"/>
              <w:start w:w="120" w:type="dxa"/>
              <w:bottom w:w="90" w:type="dxa"/>
              <w:end w:w="120" w:type="dxa"/>
            </w:tcMar>
            <w:vAlign w:val="center"/>
          </w:tcPr>
          <w:p>
            <w:pPr>
              <w:spacing w:after="0"/>
            </w:pPr>
            <w:r>
              <w:rPr>
                <w:rFonts w:ascii="Arial" w:hAnsi="Arial"/>
                <w:color w:val="1B292A"/>
                <w:sz w:val="18"/>
              </w:rPr>
              <w:t>2,084.037</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Space heating</w:t>
            </w:r>
          </w:p>
        </w:tc>
        <w:tc>
          <w:tcPr>
            <w:tcW w:type="dxa" w:w="3000"/>
            <w:tcMar>
              <w:top w:w="90" w:type="dxa"/>
              <w:start w:w="120" w:type="dxa"/>
              <w:bottom w:w="90" w:type="dxa"/>
              <w:end w:w="120" w:type="dxa"/>
            </w:tcMar>
            <w:vAlign w:val="center"/>
          </w:tcPr>
          <w:p>
            <w:pPr>
              <w:spacing w:after="0"/>
            </w:pPr>
            <w:r>
              <w:rPr>
                <w:rFonts w:ascii="Arial" w:hAnsi="Arial"/>
                <w:color w:val="1B292A"/>
                <w:sz w:val="18"/>
              </w:rPr>
              <w:t>GWh/year</w:t>
            </w:r>
          </w:p>
        </w:tc>
        <w:tc>
          <w:tcPr>
            <w:tcW w:type="dxa" w:w="4575"/>
            <w:tcMar>
              <w:top w:w="90" w:type="dxa"/>
              <w:start w:w="120" w:type="dxa"/>
              <w:bottom w:w="90" w:type="dxa"/>
              <w:end w:w="120" w:type="dxa"/>
            </w:tcMar>
            <w:vAlign w:val="center"/>
          </w:tcPr>
          <w:p>
            <w:pPr>
              <w:spacing w:after="0"/>
            </w:pPr>
            <w:r>
              <w:rPr>
                <w:rFonts w:ascii="Arial" w:hAnsi="Arial"/>
                <w:color w:val="1B292A"/>
                <w:sz w:val="18"/>
              </w:rPr>
              <w:t>122.330</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Cooling</w:t>
            </w:r>
          </w:p>
        </w:tc>
        <w:tc>
          <w:tcPr>
            <w:tcW w:type="dxa" w:w="3000"/>
            <w:tcMar>
              <w:top w:w="90" w:type="dxa"/>
              <w:start w:w="120" w:type="dxa"/>
              <w:bottom w:w="90" w:type="dxa"/>
              <w:end w:w="120" w:type="dxa"/>
            </w:tcMar>
            <w:vAlign w:val="center"/>
          </w:tcPr>
          <w:p>
            <w:pPr>
              <w:spacing w:after="0"/>
            </w:pPr>
            <w:r>
              <w:rPr>
                <w:rFonts w:ascii="Arial" w:hAnsi="Arial"/>
                <w:color w:val="1B292A"/>
                <w:sz w:val="18"/>
              </w:rPr>
              <w:t>GWh/year</w:t>
            </w:r>
          </w:p>
        </w:tc>
        <w:tc>
          <w:tcPr>
            <w:tcW w:type="dxa" w:w="4575"/>
            <w:tcMar>
              <w:top w:w="90" w:type="dxa"/>
              <w:start w:w="120" w:type="dxa"/>
              <w:bottom w:w="90" w:type="dxa"/>
              <w:end w:w="120" w:type="dxa"/>
            </w:tcMar>
            <w:vAlign w:val="center"/>
          </w:tcPr>
          <w:p>
            <w:pPr>
              <w:spacing w:after="0"/>
            </w:pPr>
            <w:r>
              <w:rPr>
                <w:rFonts w:ascii="Arial" w:hAnsi="Arial"/>
                <w:color w:val="1B292A"/>
                <w:sz w:val="18"/>
              </w:rPr>
              <w:t>91.624</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Domestic hot water</w:t>
            </w:r>
          </w:p>
        </w:tc>
        <w:tc>
          <w:tcPr>
            <w:tcW w:type="dxa" w:w="3000"/>
            <w:tcMar>
              <w:top w:w="90" w:type="dxa"/>
              <w:start w:w="120" w:type="dxa"/>
              <w:bottom w:w="90" w:type="dxa"/>
              <w:end w:w="120" w:type="dxa"/>
            </w:tcMar>
            <w:vAlign w:val="center"/>
          </w:tcPr>
          <w:p>
            <w:pPr>
              <w:spacing w:after="0"/>
            </w:pPr>
            <w:r>
              <w:rPr>
                <w:rFonts w:ascii="Arial" w:hAnsi="Arial"/>
                <w:color w:val="1B292A"/>
                <w:sz w:val="18"/>
              </w:rPr>
              <w:t>GWh/year</w:t>
            </w:r>
          </w:p>
        </w:tc>
        <w:tc>
          <w:tcPr>
            <w:tcW w:type="dxa" w:w="4575"/>
            <w:tcMar>
              <w:top w:w="90" w:type="dxa"/>
              <w:start w:w="120" w:type="dxa"/>
              <w:bottom w:w="90" w:type="dxa"/>
              <w:end w:w="120" w:type="dxa"/>
            </w:tcMar>
            <w:vAlign w:val="center"/>
          </w:tcPr>
          <w:p>
            <w:pPr>
              <w:spacing w:after="0"/>
            </w:pPr>
            <w:r>
              <w:rPr>
                <w:rFonts w:ascii="Arial" w:hAnsi="Arial"/>
                <w:color w:val="1B292A"/>
                <w:sz w:val="18"/>
              </w:rPr>
              <w:t>360.792</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Whole-site / geometric residential area</w:t>
            </w:r>
          </w:p>
        </w:tc>
        <w:tc>
          <w:tcPr>
            <w:tcW w:type="dxa" w:w="3000"/>
            <w:tcMar>
              <w:top w:w="90" w:type="dxa"/>
              <w:start w:w="120" w:type="dxa"/>
              <w:bottom w:w="90" w:type="dxa"/>
              <w:end w:w="120" w:type="dxa"/>
            </w:tcMar>
            <w:vAlign w:val="center"/>
          </w:tcPr>
          <w:p>
            <w:pPr>
              <w:spacing w:after="0"/>
            </w:pPr>
            <w:r>
              <w:rPr>
                <w:rFonts w:ascii="Arial" w:hAnsi="Arial"/>
                <w:color w:val="1B292A"/>
                <w:sz w:val="18"/>
              </w:rPr>
              <w:t>kWh/m²·year</w:t>
            </w:r>
          </w:p>
        </w:tc>
        <w:tc>
          <w:tcPr>
            <w:tcW w:type="dxa" w:w="4575"/>
            <w:tcMar>
              <w:top w:w="90" w:type="dxa"/>
              <w:start w:w="120" w:type="dxa"/>
              <w:bottom w:w="90" w:type="dxa"/>
              <w:end w:w="120" w:type="dxa"/>
            </w:tcMar>
            <w:vAlign w:val="center"/>
          </w:tcPr>
          <w:p>
            <w:pPr>
              <w:spacing w:after="0"/>
            </w:pPr>
            <w:r>
              <w:rPr>
                <w:rFonts w:ascii="Arial" w:hAnsi="Arial"/>
                <w:color w:val="1B292A"/>
                <w:sz w:val="18"/>
              </w:rPr>
              <w:t>43.77</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Whole-site / cadastral residential area</w:t>
            </w:r>
          </w:p>
        </w:tc>
        <w:tc>
          <w:tcPr>
            <w:tcW w:type="dxa" w:w="3000"/>
            <w:tcMar>
              <w:top w:w="90" w:type="dxa"/>
              <w:start w:w="120" w:type="dxa"/>
              <w:bottom w:w="90" w:type="dxa"/>
              <w:end w:w="120" w:type="dxa"/>
            </w:tcMar>
            <w:vAlign w:val="center"/>
          </w:tcPr>
          <w:p>
            <w:pPr>
              <w:spacing w:after="0"/>
            </w:pPr>
            <w:r>
              <w:rPr>
                <w:rFonts w:ascii="Arial" w:hAnsi="Arial"/>
                <w:color w:val="1B292A"/>
                <w:sz w:val="18"/>
              </w:rPr>
              <w:t>kWh/m²·year</w:t>
            </w:r>
          </w:p>
        </w:tc>
        <w:tc>
          <w:tcPr>
            <w:tcW w:type="dxa" w:w="4575"/>
            <w:tcMar>
              <w:top w:w="90" w:type="dxa"/>
              <w:start w:w="120" w:type="dxa"/>
              <w:bottom w:w="90" w:type="dxa"/>
              <w:end w:w="120" w:type="dxa"/>
            </w:tcMar>
            <w:vAlign w:val="center"/>
          </w:tcPr>
          <w:p>
            <w:pPr>
              <w:spacing w:after="0"/>
            </w:pPr>
            <w:r>
              <w:rPr>
                <w:rFonts w:ascii="Arial" w:hAnsi="Arial"/>
                <w:color w:val="1B292A"/>
                <w:sz w:val="18"/>
              </w:rPr>
              <w:t>47.08</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Whole-site / conditioned area</w:t>
            </w:r>
          </w:p>
        </w:tc>
        <w:tc>
          <w:tcPr>
            <w:tcW w:type="dxa" w:w="3000"/>
            <w:tcMar>
              <w:top w:w="90" w:type="dxa"/>
              <w:start w:w="120" w:type="dxa"/>
              <w:bottom w:w="90" w:type="dxa"/>
              <w:end w:w="120" w:type="dxa"/>
            </w:tcMar>
            <w:vAlign w:val="center"/>
          </w:tcPr>
          <w:p>
            <w:pPr>
              <w:spacing w:after="0"/>
            </w:pPr>
            <w:r>
              <w:rPr>
                <w:rFonts w:ascii="Arial" w:hAnsi="Arial"/>
                <w:color w:val="1B292A"/>
                <w:sz w:val="18"/>
              </w:rPr>
              <w:t>kWh/m²·year</w:t>
            </w:r>
          </w:p>
        </w:tc>
        <w:tc>
          <w:tcPr>
            <w:tcW w:type="dxa" w:w="4575"/>
            <w:tcMar>
              <w:top w:w="90" w:type="dxa"/>
              <w:start w:w="120" w:type="dxa"/>
              <w:bottom w:w="90" w:type="dxa"/>
              <w:end w:w="120" w:type="dxa"/>
            </w:tcMar>
            <w:vAlign w:val="center"/>
          </w:tcPr>
          <w:p>
            <w:pPr>
              <w:spacing w:after="0"/>
            </w:pPr>
            <w:r>
              <w:rPr>
                <w:rFonts w:ascii="Arial" w:hAnsi="Arial"/>
                <w:color w:val="1B292A"/>
                <w:sz w:val="18"/>
              </w:rPr>
              <w:t>36.95</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Operational carbon</w:t>
            </w:r>
          </w:p>
        </w:tc>
        <w:tc>
          <w:tcPr>
            <w:tcW w:type="dxa" w:w="3000"/>
            <w:tcMar>
              <w:top w:w="90" w:type="dxa"/>
              <w:start w:w="120" w:type="dxa"/>
              <w:bottom w:w="90" w:type="dxa"/>
              <w:end w:w="120" w:type="dxa"/>
            </w:tcMar>
            <w:vAlign w:val="center"/>
          </w:tcPr>
          <w:p>
            <w:pPr>
              <w:spacing w:after="0"/>
            </w:pPr>
            <w:r>
              <w:rPr>
                <w:rFonts w:ascii="Arial" w:hAnsi="Arial"/>
                <w:color w:val="1B292A"/>
                <w:sz w:val="18"/>
              </w:rPr>
              <w:t>tCO₂/year</w:t>
            </w:r>
          </w:p>
        </w:tc>
        <w:tc>
          <w:tcPr>
            <w:tcW w:type="dxa" w:w="4575"/>
            <w:tcMar>
              <w:top w:w="90" w:type="dxa"/>
              <w:start w:w="120" w:type="dxa"/>
              <w:bottom w:w="90" w:type="dxa"/>
              <w:end w:w="120" w:type="dxa"/>
            </w:tcMar>
            <w:vAlign w:val="center"/>
          </w:tcPr>
          <w:p>
            <w:pPr>
              <w:spacing w:after="0"/>
            </w:pPr>
            <w:r>
              <w:rPr>
                <w:rFonts w:ascii="Arial" w:hAnsi="Arial"/>
                <w:color w:val="1B292A"/>
                <w:sz w:val="18"/>
              </w:rPr>
              <w:t>661,312.30</w:t>
            </w:r>
          </w:p>
        </w:tc>
      </w:tr>
    </w:tbl>
    <w:p>
      <w:pPr>
        <w:spacing w:after="0"/>
      </w:pPr>
    </w:p>
    <w:p>
      <w:r>
        <w:br w:type="page"/>
      </w:r>
    </w:p>
    <w:p>
      <w:pPr>
        <w:pStyle w:val="Heading2"/>
      </w:pPr>
      <w:r>
        <w:rPr>
          <w:rFonts w:ascii="Arial" w:hAnsi="Arial"/>
          <w:b/>
          <w:color w:val="1F5F67"/>
          <w:sz w:val="28"/>
        </w:rPr>
        <w:t>13.1 Cluster results</w:t>
      </w:r>
    </w:p>
    <w:p>
      <w:pPr>
        <w:pStyle w:val="Caption"/>
        <w:keepNext/>
        <w:spacing w:before="80" w:after="80"/>
      </w:pPr>
      <w:r>
        <w:rPr>
          <w:rFonts w:ascii="Arial" w:hAnsi="Arial"/>
          <w:b/>
          <w:color w:val="5B696A"/>
          <w:sz w:val="17"/>
        </w:rPr>
        <w:t>Table 12. Cluster results</w:t>
      </w:r>
    </w:p>
    <w:tbl>
      <w:tblPr>
        <w:tblStyle w:val="TableGrid"/>
        <w:tblW w:type="dxa" w:w="10175"/>
        <w:jc w:val="left"/>
        <w:tblLayout w:type="fixed"/>
        <w:tblLook w:firstColumn="1" w:firstRow="1" w:lastColumn="0" w:lastRow="0" w:noHBand="0" w:noVBand="1" w:val="04A0"/>
        <w:tblInd w:w="120" w:type="dxa"/>
      </w:tblPr>
      <w:tblGrid>
        <w:gridCol w:w="2200"/>
        <w:gridCol w:w="1595"/>
        <w:gridCol w:w="1595"/>
        <w:gridCol w:w="1595"/>
        <w:gridCol w:w="1595"/>
        <w:gridCol w:w="1595"/>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Cluster</w:t>
            </w:r>
          </w:p>
        </w:tc>
        <w:tc>
          <w:tcPr>
            <w:tcW w:type="dxa" w:w="1595"/>
            <w:tcMar>
              <w:top w:w="90" w:type="dxa"/>
              <w:start w:w="120" w:type="dxa"/>
              <w:bottom w:w="90" w:type="dxa"/>
              <w:end w:w="120" w:type="dxa"/>
            </w:tcMar>
            <w:vAlign w:val="center"/>
            <w:shd w:fill="E8F1F1"/>
          </w:tcPr>
          <w:p>
            <w:pPr>
              <w:spacing w:after="0"/>
            </w:pPr>
            <w:r>
              <w:rPr>
                <w:rFonts w:ascii="Arial" w:hAnsi="Arial"/>
                <w:b/>
                <w:color w:val="173F45"/>
                <w:sz w:val="17"/>
              </w:rPr>
              <w:t>Buildings</w:t>
            </w:r>
          </w:p>
        </w:tc>
        <w:tc>
          <w:tcPr>
            <w:tcW w:type="dxa" w:w="1595"/>
            <w:tcMar>
              <w:top w:w="90" w:type="dxa"/>
              <w:start w:w="120" w:type="dxa"/>
              <w:bottom w:w="90" w:type="dxa"/>
              <w:end w:w="120" w:type="dxa"/>
            </w:tcMar>
            <w:vAlign w:val="center"/>
            <w:shd w:fill="E8F1F1"/>
          </w:tcPr>
          <w:p>
            <w:pPr>
              <w:spacing w:after="0"/>
            </w:pPr>
            <w:r>
              <w:rPr>
                <w:rFonts w:ascii="Arial" w:hAnsi="Arial"/>
                <w:b/>
                <w:color w:val="173F45"/>
                <w:sz w:val="17"/>
              </w:rPr>
              <w:t>Residential area [m²]</w:t>
            </w:r>
          </w:p>
        </w:tc>
        <w:tc>
          <w:tcPr>
            <w:tcW w:type="dxa" w:w="1595"/>
            <w:tcMar>
              <w:top w:w="90" w:type="dxa"/>
              <w:start w:w="120" w:type="dxa"/>
              <w:bottom w:w="90" w:type="dxa"/>
              <w:end w:w="120" w:type="dxa"/>
            </w:tcMar>
            <w:vAlign w:val="center"/>
            <w:shd w:fill="E8F1F1"/>
          </w:tcPr>
          <w:p>
            <w:pPr>
              <w:spacing w:after="0"/>
            </w:pPr>
            <w:r>
              <w:rPr>
                <w:rFonts w:ascii="Arial" w:hAnsi="Arial"/>
                <w:b/>
                <w:color w:val="173F45"/>
                <w:sz w:val="17"/>
              </w:rPr>
              <w:t>Site energy [GWh/year]</w:t>
            </w:r>
          </w:p>
        </w:tc>
        <w:tc>
          <w:tcPr>
            <w:tcW w:type="dxa" w:w="1595"/>
            <w:tcMar>
              <w:top w:w="90" w:type="dxa"/>
              <w:start w:w="120" w:type="dxa"/>
              <w:bottom w:w="90" w:type="dxa"/>
              <w:end w:w="120" w:type="dxa"/>
            </w:tcMar>
            <w:vAlign w:val="center"/>
            <w:shd w:fill="E8F1F1"/>
          </w:tcPr>
          <w:p>
            <w:pPr>
              <w:spacing w:after="0"/>
            </w:pPr>
            <w:r>
              <w:rPr>
                <w:rFonts w:ascii="Arial" w:hAnsi="Arial"/>
                <w:b/>
                <w:color w:val="173F45"/>
                <w:sz w:val="17"/>
              </w:rPr>
              <w:t>Geometric [kWh/m²·year]</w:t>
            </w:r>
          </w:p>
        </w:tc>
        <w:tc>
          <w:tcPr>
            <w:tcW w:type="dxa" w:w="1595"/>
            <w:tcMar>
              <w:top w:w="90" w:type="dxa"/>
              <w:start w:w="120" w:type="dxa"/>
              <w:bottom w:w="90" w:type="dxa"/>
              <w:end w:w="120" w:type="dxa"/>
            </w:tcMar>
            <w:vAlign w:val="center"/>
            <w:shd w:fill="E8F1F1"/>
          </w:tcPr>
          <w:p>
            <w:pPr>
              <w:spacing w:after="0"/>
            </w:pPr>
            <w:r>
              <w:rPr>
                <w:rFonts w:ascii="Arial" w:hAnsi="Arial"/>
                <w:b/>
                <w:color w:val="173F45"/>
                <w:sz w:val="17"/>
              </w:rPr>
              <w:t>Cadastral [kWh/m²·year]</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BlocPluriP04</w:t>
            </w:r>
          </w:p>
        </w:tc>
        <w:tc>
          <w:tcPr>
            <w:tcW w:type="dxa" w:w="1595"/>
            <w:tcMar>
              <w:top w:w="90" w:type="dxa"/>
              <w:start w:w="120" w:type="dxa"/>
              <w:bottom w:w="90" w:type="dxa"/>
              <w:end w:w="120" w:type="dxa"/>
            </w:tcMar>
            <w:vAlign w:val="center"/>
          </w:tcPr>
          <w:p>
            <w:pPr>
              <w:spacing w:after="0"/>
            </w:pPr>
            <w:r>
              <w:rPr>
                <w:rFonts w:ascii="Arial" w:hAnsi="Arial"/>
                <w:color w:val="1B292A"/>
                <w:sz w:val="17"/>
              </w:rPr>
              <w:t>8,092</w:t>
            </w:r>
          </w:p>
        </w:tc>
        <w:tc>
          <w:tcPr>
            <w:tcW w:type="dxa" w:w="1595"/>
            <w:tcMar>
              <w:top w:w="90" w:type="dxa"/>
              <w:start w:w="120" w:type="dxa"/>
              <w:bottom w:w="90" w:type="dxa"/>
              <w:end w:w="120" w:type="dxa"/>
            </w:tcMar>
            <w:vAlign w:val="center"/>
          </w:tcPr>
          <w:p>
            <w:pPr>
              <w:spacing w:after="0"/>
            </w:pPr>
            <w:r>
              <w:rPr>
                <w:rFonts w:ascii="Arial" w:hAnsi="Arial"/>
                <w:color w:val="1B292A"/>
                <w:sz w:val="17"/>
              </w:rPr>
              <w:t>20,461,540.5</w:t>
            </w:r>
          </w:p>
        </w:tc>
        <w:tc>
          <w:tcPr>
            <w:tcW w:type="dxa" w:w="1595"/>
            <w:tcMar>
              <w:top w:w="90" w:type="dxa"/>
              <w:start w:w="120" w:type="dxa"/>
              <w:bottom w:w="90" w:type="dxa"/>
              <w:end w:w="120" w:type="dxa"/>
            </w:tcMar>
            <w:vAlign w:val="center"/>
          </w:tcPr>
          <w:p>
            <w:pPr>
              <w:spacing w:after="0"/>
            </w:pPr>
            <w:r>
              <w:rPr>
                <w:rFonts w:ascii="Arial" w:hAnsi="Arial"/>
                <w:color w:val="1B292A"/>
                <w:sz w:val="17"/>
              </w:rPr>
              <w:t>933.805</w:t>
            </w:r>
          </w:p>
        </w:tc>
        <w:tc>
          <w:tcPr>
            <w:tcW w:type="dxa" w:w="1595"/>
            <w:tcMar>
              <w:top w:w="90" w:type="dxa"/>
              <w:start w:w="120" w:type="dxa"/>
              <w:bottom w:w="90" w:type="dxa"/>
              <w:end w:w="120" w:type="dxa"/>
            </w:tcMar>
            <w:vAlign w:val="center"/>
          </w:tcPr>
          <w:p>
            <w:pPr>
              <w:spacing w:after="0"/>
            </w:pPr>
            <w:r>
              <w:rPr>
                <w:rFonts w:ascii="Arial" w:hAnsi="Arial"/>
                <w:color w:val="1B292A"/>
                <w:sz w:val="17"/>
              </w:rPr>
              <w:t>45.64</w:t>
            </w:r>
          </w:p>
        </w:tc>
        <w:tc>
          <w:tcPr>
            <w:tcW w:type="dxa" w:w="1595"/>
            <w:tcMar>
              <w:top w:w="90" w:type="dxa"/>
              <w:start w:w="120" w:type="dxa"/>
              <w:bottom w:w="90" w:type="dxa"/>
              <w:end w:w="120" w:type="dxa"/>
            </w:tcMar>
            <w:vAlign w:val="center"/>
          </w:tcPr>
          <w:p>
            <w:pPr>
              <w:spacing w:after="0"/>
            </w:pPr>
            <w:r>
              <w:rPr>
                <w:rFonts w:ascii="Arial" w:hAnsi="Arial"/>
                <w:color w:val="1B292A"/>
                <w:sz w:val="17"/>
              </w:rPr>
              <w:t>48.16</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BlocPluriP05</w:t>
            </w:r>
          </w:p>
        </w:tc>
        <w:tc>
          <w:tcPr>
            <w:tcW w:type="dxa" w:w="1595"/>
            <w:tcMar>
              <w:top w:w="90" w:type="dxa"/>
              <w:start w:w="120" w:type="dxa"/>
              <w:bottom w:w="90" w:type="dxa"/>
              <w:end w:w="120" w:type="dxa"/>
            </w:tcMar>
            <w:vAlign w:val="center"/>
          </w:tcPr>
          <w:p>
            <w:pPr>
              <w:spacing w:after="0"/>
            </w:pPr>
            <w:r>
              <w:rPr>
                <w:rFonts w:ascii="Arial" w:hAnsi="Arial"/>
                <w:color w:val="1B292A"/>
                <w:sz w:val="17"/>
              </w:rPr>
              <w:t>3,759</w:t>
            </w:r>
          </w:p>
        </w:tc>
        <w:tc>
          <w:tcPr>
            <w:tcW w:type="dxa" w:w="1595"/>
            <w:tcMar>
              <w:top w:w="90" w:type="dxa"/>
              <w:start w:w="120" w:type="dxa"/>
              <w:bottom w:w="90" w:type="dxa"/>
              <w:end w:w="120" w:type="dxa"/>
            </w:tcMar>
            <w:vAlign w:val="center"/>
          </w:tcPr>
          <w:p>
            <w:pPr>
              <w:spacing w:after="0"/>
            </w:pPr>
            <w:r>
              <w:rPr>
                <w:rFonts w:ascii="Arial" w:hAnsi="Arial"/>
                <w:color w:val="1B292A"/>
                <w:sz w:val="17"/>
              </w:rPr>
              <w:t>14,125,743.2</w:t>
            </w:r>
          </w:p>
        </w:tc>
        <w:tc>
          <w:tcPr>
            <w:tcW w:type="dxa" w:w="1595"/>
            <w:tcMar>
              <w:top w:w="90" w:type="dxa"/>
              <w:start w:w="120" w:type="dxa"/>
              <w:bottom w:w="90" w:type="dxa"/>
              <w:end w:w="120" w:type="dxa"/>
            </w:tcMar>
            <w:vAlign w:val="center"/>
          </w:tcPr>
          <w:p>
            <w:pPr>
              <w:spacing w:after="0"/>
            </w:pPr>
            <w:r>
              <w:rPr>
                <w:rFonts w:ascii="Arial" w:hAnsi="Arial"/>
                <w:color w:val="1B292A"/>
                <w:sz w:val="17"/>
              </w:rPr>
              <w:t>593.298</w:t>
            </w:r>
          </w:p>
        </w:tc>
        <w:tc>
          <w:tcPr>
            <w:tcW w:type="dxa" w:w="1595"/>
            <w:tcMar>
              <w:top w:w="90" w:type="dxa"/>
              <w:start w:w="120" w:type="dxa"/>
              <w:bottom w:w="90" w:type="dxa"/>
              <w:end w:w="120" w:type="dxa"/>
            </w:tcMar>
            <w:vAlign w:val="center"/>
          </w:tcPr>
          <w:p>
            <w:pPr>
              <w:spacing w:after="0"/>
            </w:pPr>
            <w:r>
              <w:rPr>
                <w:rFonts w:ascii="Arial" w:hAnsi="Arial"/>
                <w:color w:val="1B292A"/>
                <w:sz w:val="17"/>
              </w:rPr>
              <w:t>42.00</w:t>
            </w:r>
          </w:p>
        </w:tc>
        <w:tc>
          <w:tcPr>
            <w:tcW w:type="dxa" w:w="1595"/>
            <w:tcMar>
              <w:top w:w="90" w:type="dxa"/>
              <w:start w:w="120" w:type="dxa"/>
              <w:bottom w:w="90" w:type="dxa"/>
              <w:end w:w="120" w:type="dxa"/>
            </w:tcMar>
            <w:vAlign w:val="center"/>
          </w:tcPr>
          <w:p>
            <w:pPr>
              <w:spacing w:after="0"/>
            </w:pPr>
            <w:r>
              <w:rPr>
                <w:rFonts w:ascii="Arial" w:hAnsi="Arial"/>
                <w:color w:val="1B292A"/>
                <w:sz w:val="17"/>
              </w:rPr>
              <w:t>43.91</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BlocPluriP03</w:t>
            </w:r>
          </w:p>
        </w:tc>
        <w:tc>
          <w:tcPr>
            <w:tcW w:type="dxa" w:w="1595"/>
            <w:tcMar>
              <w:top w:w="90" w:type="dxa"/>
              <w:start w:w="120" w:type="dxa"/>
              <w:bottom w:w="90" w:type="dxa"/>
              <w:end w:w="120" w:type="dxa"/>
            </w:tcMar>
            <w:vAlign w:val="center"/>
          </w:tcPr>
          <w:p>
            <w:pPr>
              <w:spacing w:after="0"/>
            </w:pPr>
            <w:r>
              <w:rPr>
                <w:rFonts w:ascii="Arial" w:hAnsi="Arial"/>
                <w:color w:val="1B292A"/>
                <w:sz w:val="17"/>
              </w:rPr>
              <w:t>3,124</w:t>
            </w:r>
          </w:p>
        </w:tc>
        <w:tc>
          <w:tcPr>
            <w:tcW w:type="dxa" w:w="1595"/>
            <w:tcMar>
              <w:top w:w="90" w:type="dxa"/>
              <w:start w:w="120" w:type="dxa"/>
              <w:bottom w:w="90" w:type="dxa"/>
              <w:end w:w="120" w:type="dxa"/>
            </w:tcMar>
            <w:vAlign w:val="center"/>
          </w:tcPr>
          <w:p>
            <w:pPr>
              <w:spacing w:after="0"/>
            </w:pPr>
            <w:r>
              <w:rPr>
                <w:rFonts w:ascii="Arial" w:hAnsi="Arial"/>
                <w:color w:val="1B292A"/>
                <w:sz w:val="17"/>
              </w:rPr>
              <w:t>5,023,841.7</w:t>
            </w:r>
          </w:p>
        </w:tc>
        <w:tc>
          <w:tcPr>
            <w:tcW w:type="dxa" w:w="1595"/>
            <w:tcMar>
              <w:top w:w="90" w:type="dxa"/>
              <w:start w:w="120" w:type="dxa"/>
              <w:bottom w:w="90" w:type="dxa"/>
              <w:end w:w="120" w:type="dxa"/>
            </w:tcMar>
            <w:vAlign w:val="center"/>
          </w:tcPr>
          <w:p>
            <w:pPr>
              <w:spacing w:after="0"/>
            </w:pPr>
            <w:r>
              <w:rPr>
                <w:rFonts w:ascii="Arial" w:hAnsi="Arial"/>
                <w:color w:val="1B292A"/>
                <w:sz w:val="17"/>
              </w:rPr>
              <w:t>230.041</w:t>
            </w:r>
          </w:p>
        </w:tc>
        <w:tc>
          <w:tcPr>
            <w:tcW w:type="dxa" w:w="1595"/>
            <w:tcMar>
              <w:top w:w="90" w:type="dxa"/>
              <w:start w:w="120" w:type="dxa"/>
              <w:bottom w:w="90" w:type="dxa"/>
              <w:end w:w="120" w:type="dxa"/>
            </w:tcMar>
            <w:vAlign w:val="center"/>
          </w:tcPr>
          <w:p>
            <w:pPr>
              <w:spacing w:after="0"/>
            </w:pPr>
            <w:r>
              <w:rPr>
                <w:rFonts w:ascii="Arial" w:hAnsi="Arial"/>
                <w:color w:val="1B292A"/>
                <w:sz w:val="17"/>
              </w:rPr>
              <w:t>45.79</w:t>
            </w:r>
          </w:p>
        </w:tc>
        <w:tc>
          <w:tcPr>
            <w:tcW w:type="dxa" w:w="1595"/>
            <w:tcMar>
              <w:top w:w="90" w:type="dxa"/>
              <w:start w:w="120" w:type="dxa"/>
              <w:bottom w:w="90" w:type="dxa"/>
              <w:end w:w="120" w:type="dxa"/>
            </w:tcMar>
            <w:vAlign w:val="center"/>
          </w:tcPr>
          <w:p>
            <w:pPr>
              <w:spacing w:after="0"/>
            </w:pPr>
            <w:r>
              <w:rPr>
                <w:rFonts w:ascii="Arial" w:hAnsi="Arial"/>
                <w:color w:val="1B292A"/>
                <w:sz w:val="17"/>
              </w:rPr>
              <w:t>49.59</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BlocPluriP02</w:t>
            </w:r>
          </w:p>
        </w:tc>
        <w:tc>
          <w:tcPr>
            <w:tcW w:type="dxa" w:w="1595"/>
            <w:tcMar>
              <w:top w:w="90" w:type="dxa"/>
              <w:start w:w="120" w:type="dxa"/>
              <w:bottom w:w="90" w:type="dxa"/>
              <w:end w:w="120" w:type="dxa"/>
            </w:tcMar>
            <w:vAlign w:val="center"/>
          </w:tcPr>
          <w:p>
            <w:pPr>
              <w:spacing w:after="0"/>
            </w:pPr>
            <w:r>
              <w:rPr>
                <w:rFonts w:ascii="Arial" w:hAnsi="Arial"/>
                <w:color w:val="1B292A"/>
                <w:sz w:val="17"/>
              </w:rPr>
              <w:t>2,048</w:t>
            </w:r>
          </w:p>
        </w:tc>
        <w:tc>
          <w:tcPr>
            <w:tcW w:type="dxa" w:w="1595"/>
            <w:tcMar>
              <w:top w:w="90" w:type="dxa"/>
              <w:start w:w="120" w:type="dxa"/>
              <w:bottom w:w="90" w:type="dxa"/>
              <w:end w:w="120" w:type="dxa"/>
            </w:tcMar>
            <w:vAlign w:val="center"/>
          </w:tcPr>
          <w:p>
            <w:pPr>
              <w:spacing w:after="0"/>
            </w:pPr>
            <w:r>
              <w:rPr>
                <w:rFonts w:ascii="Arial" w:hAnsi="Arial"/>
                <w:color w:val="1B292A"/>
                <w:sz w:val="17"/>
              </w:rPr>
              <w:t>2,479,648.1</w:t>
            </w:r>
          </w:p>
        </w:tc>
        <w:tc>
          <w:tcPr>
            <w:tcW w:type="dxa" w:w="1595"/>
            <w:tcMar>
              <w:top w:w="90" w:type="dxa"/>
              <w:start w:w="120" w:type="dxa"/>
              <w:bottom w:w="90" w:type="dxa"/>
              <w:end w:w="120" w:type="dxa"/>
            </w:tcMar>
            <w:vAlign w:val="center"/>
          </w:tcPr>
          <w:p>
            <w:pPr>
              <w:spacing w:after="0"/>
            </w:pPr>
            <w:r>
              <w:rPr>
                <w:rFonts w:ascii="Arial" w:hAnsi="Arial"/>
                <w:color w:val="1B292A"/>
                <w:sz w:val="17"/>
              </w:rPr>
              <w:t>109.694</w:t>
            </w:r>
          </w:p>
        </w:tc>
        <w:tc>
          <w:tcPr>
            <w:tcW w:type="dxa" w:w="1595"/>
            <w:tcMar>
              <w:top w:w="90" w:type="dxa"/>
              <w:start w:w="120" w:type="dxa"/>
              <w:bottom w:w="90" w:type="dxa"/>
              <w:end w:w="120" w:type="dxa"/>
            </w:tcMar>
            <w:vAlign w:val="center"/>
          </w:tcPr>
          <w:p>
            <w:pPr>
              <w:spacing w:after="0"/>
            </w:pPr>
            <w:r>
              <w:rPr>
                <w:rFonts w:ascii="Arial" w:hAnsi="Arial"/>
                <w:color w:val="1B292A"/>
                <w:sz w:val="17"/>
              </w:rPr>
              <w:t>44.24</w:t>
            </w:r>
          </w:p>
        </w:tc>
        <w:tc>
          <w:tcPr>
            <w:tcW w:type="dxa" w:w="1595"/>
            <w:tcMar>
              <w:top w:w="90" w:type="dxa"/>
              <w:start w:w="120" w:type="dxa"/>
              <w:bottom w:w="90" w:type="dxa"/>
              <w:end w:w="120" w:type="dxa"/>
            </w:tcMar>
            <w:vAlign w:val="center"/>
          </w:tcPr>
          <w:p>
            <w:pPr>
              <w:spacing w:after="0"/>
            </w:pPr>
            <w:r>
              <w:rPr>
                <w:rFonts w:ascii="Arial" w:hAnsi="Arial"/>
                <w:color w:val="1B292A"/>
                <w:sz w:val="17"/>
              </w:rPr>
              <w:t>49.49</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BlocPluriP06</w:t>
            </w:r>
          </w:p>
        </w:tc>
        <w:tc>
          <w:tcPr>
            <w:tcW w:type="dxa" w:w="1595"/>
            <w:tcMar>
              <w:top w:w="90" w:type="dxa"/>
              <w:start w:w="120" w:type="dxa"/>
              <w:bottom w:w="90" w:type="dxa"/>
              <w:end w:w="120" w:type="dxa"/>
            </w:tcMar>
            <w:vAlign w:val="center"/>
          </w:tcPr>
          <w:p>
            <w:pPr>
              <w:spacing w:after="0"/>
            </w:pPr>
            <w:r>
              <w:rPr>
                <w:rFonts w:ascii="Arial" w:hAnsi="Arial"/>
                <w:color w:val="1B292A"/>
                <w:sz w:val="17"/>
              </w:rPr>
              <w:t>537</w:t>
            </w:r>
          </w:p>
        </w:tc>
        <w:tc>
          <w:tcPr>
            <w:tcW w:type="dxa" w:w="1595"/>
            <w:tcMar>
              <w:top w:w="90" w:type="dxa"/>
              <w:start w:w="120" w:type="dxa"/>
              <w:bottom w:w="90" w:type="dxa"/>
              <w:end w:w="120" w:type="dxa"/>
            </w:tcMar>
            <w:vAlign w:val="center"/>
          </w:tcPr>
          <w:p>
            <w:pPr>
              <w:spacing w:after="0"/>
            </w:pPr>
            <w:r>
              <w:rPr>
                <w:rFonts w:ascii="Arial" w:hAnsi="Arial"/>
                <w:color w:val="1B292A"/>
                <w:sz w:val="17"/>
              </w:rPr>
              <w:t>1,729,270.3</w:t>
            </w:r>
          </w:p>
        </w:tc>
        <w:tc>
          <w:tcPr>
            <w:tcW w:type="dxa" w:w="1595"/>
            <w:tcMar>
              <w:top w:w="90" w:type="dxa"/>
              <w:start w:w="120" w:type="dxa"/>
              <w:bottom w:w="90" w:type="dxa"/>
              <w:end w:w="120" w:type="dxa"/>
            </w:tcMar>
            <w:vAlign w:val="center"/>
          </w:tcPr>
          <w:p>
            <w:pPr>
              <w:spacing w:after="0"/>
            </w:pPr>
            <w:r>
              <w:rPr>
                <w:rFonts w:ascii="Arial" w:hAnsi="Arial"/>
                <w:color w:val="1B292A"/>
                <w:sz w:val="17"/>
              </w:rPr>
              <w:t>62.551</w:t>
            </w:r>
          </w:p>
        </w:tc>
        <w:tc>
          <w:tcPr>
            <w:tcW w:type="dxa" w:w="1595"/>
            <w:tcMar>
              <w:top w:w="90" w:type="dxa"/>
              <w:start w:w="120" w:type="dxa"/>
              <w:bottom w:w="90" w:type="dxa"/>
              <w:end w:w="120" w:type="dxa"/>
            </w:tcMar>
            <w:vAlign w:val="center"/>
          </w:tcPr>
          <w:p>
            <w:pPr>
              <w:spacing w:after="0"/>
            </w:pPr>
            <w:r>
              <w:rPr>
                <w:rFonts w:ascii="Arial" w:hAnsi="Arial"/>
                <w:color w:val="1B292A"/>
                <w:sz w:val="17"/>
              </w:rPr>
              <w:t>36.17</w:t>
            </w:r>
          </w:p>
        </w:tc>
        <w:tc>
          <w:tcPr>
            <w:tcW w:type="dxa" w:w="1595"/>
            <w:tcMar>
              <w:top w:w="90" w:type="dxa"/>
              <w:start w:w="120" w:type="dxa"/>
              <w:bottom w:w="90" w:type="dxa"/>
              <w:end w:w="120" w:type="dxa"/>
            </w:tcMar>
            <w:vAlign w:val="center"/>
          </w:tcPr>
          <w:p>
            <w:pPr>
              <w:spacing w:after="0"/>
            </w:pPr>
            <w:r>
              <w:rPr>
                <w:rFonts w:ascii="Arial" w:hAnsi="Arial"/>
                <w:color w:val="1B292A"/>
                <w:sz w:val="17"/>
              </w:rPr>
              <w:t>39.89</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EdiPluriP05</w:t>
            </w:r>
          </w:p>
        </w:tc>
        <w:tc>
          <w:tcPr>
            <w:tcW w:type="dxa" w:w="1595"/>
            <w:tcMar>
              <w:top w:w="90" w:type="dxa"/>
              <w:start w:w="120" w:type="dxa"/>
              <w:bottom w:w="90" w:type="dxa"/>
              <w:end w:w="120" w:type="dxa"/>
            </w:tcMar>
            <w:vAlign w:val="center"/>
          </w:tcPr>
          <w:p>
            <w:pPr>
              <w:spacing w:after="0"/>
            </w:pPr>
            <w:r>
              <w:rPr>
                <w:rFonts w:ascii="Arial" w:hAnsi="Arial"/>
                <w:color w:val="1B292A"/>
                <w:sz w:val="17"/>
              </w:rPr>
              <w:t>363</w:t>
            </w:r>
          </w:p>
        </w:tc>
        <w:tc>
          <w:tcPr>
            <w:tcW w:type="dxa" w:w="1595"/>
            <w:tcMar>
              <w:top w:w="90" w:type="dxa"/>
              <w:start w:w="120" w:type="dxa"/>
              <w:bottom w:w="90" w:type="dxa"/>
              <w:end w:w="120" w:type="dxa"/>
            </w:tcMar>
            <w:vAlign w:val="center"/>
          </w:tcPr>
          <w:p>
            <w:pPr>
              <w:spacing w:after="0"/>
            </w:pPr>
            <w:r>
              <w:rPr>
                <w:rFonts w:ascii="Arial" w:hAnsi="Arial"/>
                <w:color w:val="1B292A"/>
                <w:sz w:val="17"/>
              </w:rPr>
              <w:t>631,992.4</w:t>
            </w:r>
          </w:p>
        </w:tc>
        <w:tc>
          <w:tcPr>
            <w:tcW w:type="dxa" w:w="1595"/>
            <w:tcMar>
              <w:top w:w="90" w:type="dxa"/>
              <w:start w:w="120" w:type="dxa"/>
              <w:bottom w:w="90" w:type="dxa"/>
              <w:end w:w="120" w:type="dxa"/>
            </w:tcMar>
            <w:vAlign w:val="center"/>
          </w:tcPr>
          <w:p>
            <w:pPr>
              <w:spacing w:after="0"/>
            </w:pPr>
            <w:r>
              <w:rPr>
                <w:rFonts w:ascii="Arial" w:hAnsi="Arial"/>
                <w:color w:val="1B292A"/>
                <w:sz w:val="17"/>
              </w:rPr>
              <w:t>25.817</w:t>
            </w:r>
          </w:p>
        </w:tc>
        <w:tc>
          <w:tcPr>
            <w:tcW w:type="dxa" w:w="1595"/>
            <w:tcMar>
              <w:top w:w="90" w:type="dxa"/>
              <w:start w:w="120" w:type="dxa"/>
              <w:bottom w:w="90" w:type="dxa"/>
              <w:end w:w="120" w:type="dxa"/>
            </w:tcMar>
            <w:vAlign w:val="center"/>
          </w:tcPr>
          <w:p>
            <w:pPr>
              <w:spacing w:after="0"/>
            </w:pPr>
            <w:r>
              <w:rPr>
                <w:rFonts w:ascii="Arial" w:hAnsi="Arial"/>
                <w:color w:val="1B292A"/>
                <w:sz w:val="17"/>
              </w:rPr>
              <w:t>40.85</w:t>
            </w:r>
          </w:p>
        </w:tc>
        <w:tc>
          <w:tcPr>
            <w:tcW w:type="dxa" w:w="1595"/>
            <w:tcMar>
              <w:top w:w="90" w:type="dxa"/>
              <w:start w:w="120" w:type="dxa"/>
              <w:bottom w:w="90" w:type="dxa"/>
              <w:end w:w="120" w:type="dxa"/>
            </w:tcMar>
            <w:vAlign w:val="center"/>
          </w:tcPr>
          <w:p>
            <w:pPr>
              <w:spacing w:after="0"/>
            </w:pPr>
            <w:r>
              <w:rPr>
                <w:rFonts w:ascii="Arial" w:hAnsi="Arial"/>
                <w:color w:val="1B292A"/>
                <w:sz w:val="17"/>
              </w:rPr>
              <w:t>50.02</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BlocPluriP01</w:t>
            </w:r>
          </w:p>
        </w:tc>
        <w:tc>
          <w:tcPr>
            <w:tcW w:type="dxa" w:w="1595"/>
            <w:tcMar>
              <w:top w:w="90" w:type="dxa"/>
              <w:start w:w="120" w:type="dxa"/>
              <w:bottom w:w="90" w:type="dxa"/>
              <w:end w:w="120" w:type="dxa"/>
            </w:tcMar>
            <w:vAlign w:val="center"/>
          </w:tcPr>
          <w:p>
            <w:pPr>
              <w:spacing w:after="0"/>
            </w:pPr>
            <w:r>
              <w:rPr>
                <w:rFonts w:ascii="Arial" w:hAnsi="Arial"/>
                <w:color w:val="1B292A"/>
                <w:sz w:val="17"/>
              </w:rPr>
              <w:t>664</w:t>
            </w:r>
          </w:p>
        </w:tc>
        <w:tc>
          <w:tcPr>
            <w:tcW w:type="dxa" w:w="1595"/>
            <w:tcMar>
              <w:top w:w="90" w:type="dxa"/>
              <w:start w:w="120" w:type="dxa"/>
              <w:bottom w:w="90" w:type="dxa"/>
              <w:end w:w="120" w:type="dxa"/>
            </w:tcMar>
            <w:vAlign w:val="center"/>
          </w:tcPr>
          <w:p>
            <w:pPr>
              <w:spacing w:after="0"/>
            </w:pPr>
            <w:r>
              <w:rPr>
                <w:rFonts w:ascii="Arial" w:hAnsi="Arial"/>
                <w:color w:val="1B292A"/>
                <w:sz w:val="17"/>
              </w:rPr>
              <w:t>457,992.9</w:t>
            </w:r>
          </w:p>
        </w:tc>
        <w:tc>
          <w:tcPr>
            <w:tcW w:type="dxa" w:w="1595"/>
            <w:tcMar>
              <w:top w:w="90" w:type="dxa"/>
              <w:start w:w="120" w:type="dxa"/>
              <w:bottom w:w="90" w:type="dxa"/>
              <w:end w:w="120" w:type="dxa"/>
            </w:tcMar>
            <w:vAlign w:val="center"/>
          </w:tcPr>
          <w:p>
            <w:pPr>
              <w:spacing w:after="0"/>
            </w:pPr>
            <w:r>
              <w:rPr>
                <w:rFonts w:ascii="Arial" w:hAnsi="Arial"/>
                <w:color w:val="1B292A"/>
                <w:sz w:val="17"/>
              </w:rPr>
              <w:t>19.990</w:t>
            </w:r>
          </w:p>
        </w:tc>
        <w:tc>
          <w:tcPr>
            <w:tcW w:type="dxa" w:w="1595"/>
            <w:tcMar>
              <w:top w:w="90" w:type="dxa"/>
              <w:start w:w="120" w:type="dxa"/>
              <w:bottom w:w="90" w:type="dxa"/>
              <w:end w:w="120" w:type="dxa"/>
            </w:tcMar>
            <w:vAlign w:val="center"/>
          </w:tcPr>
          <w:p>
            <w:pPr>
              <w:spacing w:after="0"/>
            </w:pPr>
            <w:r>
              <w:rPr>
                <w:rFonts w:ascii="Arial" w:hAnsi="Arial"/>
                <w:color w:val="1B292A"/>
                <w:sz w:val="17"/>
              </w:rPr>
              <w:t>43.65</w:t>
            </w:r>
          </w:p>
        </w:tc>
        <w:tc>
          <w:tcPr>
            <w:tcW w:type="dxa" w:w="1595"/>
            <w:tcMar>
              <w:top w:w="90" w:type="dxa"/>
              <w:start w:w="120" w:type="dxa"/>
              <w:bottom w:w="90" w:type="dxa"/>
              <w:end w:w="120" w:type="dxa"/>
            </w:tcMar>
            <w:vAlign w:val="center"/>
          </w:tcPr>
          <w:p>
            <w:pPr>
              <w:spacing w:after="0"/>
            </w:pPr>
            <w:r>
              <w:rPr>
                <w:rFonts w:ascii="Arial" w:hAnsi="Arial"/>
                <w:color w:val="1B292A"/>
                <w:sz w:val="17"/>
              </w:rPr>
              <w:t>49.09</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EdiPluriP02</w:t>
            </w:r>
          </w:p>
        </w:tc>
        <w:tc>
          <w:tcPr>
            <w:tcW w:type="dxa" w:w="1595"/>
            <w:tcMar>
              <w:top w:w="90" w:type="dxa"/>
              <w:start w:w="120" w:type="dxa"/>
              <w:bottom w:w="90" w:type="dxa"/>
              <w:end w:w="120" w:type="dxa"/>
            </w:tcMar>
            <w:vAlign w:val="center"/>
          </w:tcPr>
          <w:p>
            <w:pPr>
              <w:spacing w:after="0"/>
            </w:pPr>
            <w:r>
              <w:rPr>
                <w:rFonts w:ascii="Arial" w:hAnsi="Arial"/>
                <w:color w:val="1B292A"/>
                <w:sz w:val="17"/>
              </w:rPr>
              <w:t>1,404</w:t>
            </w:r>
          </w:p>
        </w:tc>
        <w:tc>
          <w:tcPr>
            <w:tcW w:type="dxa" w:w="1595"/>
            <w:tcMar>
              <w:top w:w="90" w:type="dxa"/>
              <w:start w:w="120" w:type="dxa"/>
              <w:bottom w:w="90" w:type="dxa"/>
              <w:end w:w="120" w:type="dxa"/>
            </w:tcMar>
            <w:vAlign w:val="center"/>
          </w:tcPr>
          <w:p>
            <w:pPr>
              <w:spacing w:after="0"/>
            </w:pPr>
            <w:r>
              <w:rPr>
                <w:rFonts w:ascii="Arial" w:hAnsi="Arial"/>
                <w:color w:val="1B292A"/>
                <w:sz w:val="17"/>
              </w:rPr>
              <w:t>427,119.7</w:t>
            </w:r>
          </w:p>
        </w:tc>
        <w:tc>
          <w:tcPr>
            <w:tcW w:type="dxa" w:w="1595"/>
            <w:tcMar>
              <w:top w:w="90" w:type="dxa"/>
              <w:start w:w="120" w:type="dxa"/>
              <w:bottom w:w="90" w:type="dxa"/>
              <w:end w:w="120" w:type="dxa"/>
            </w:tcMar>
            <w:vAlign w:val="center"/>
          </w:tcPr>
          <w:p>
            <w:pPr>
              <w:spacing w:after="0"/>
            </w:pPr>
            <w:r>
              <w:rPr>
                <w:rFonts w:ascii="Arial" w:hAnsi="Arial"/>
                <w:color w:val="1B292A"/>
                <w:sz w:val="17"/>
              </w:rPr>
              <w:t>18.124</w:t>
            </w:r>
          </w:p>
        </w:tc>
        <w:tc>
          <w:tcPr>
            <w:tcW w:type="dxa" w:w="1595"/>
            <w:tcMar>
              <w:top w:w="90" w:type="dxa"/>
              <w:start w:w="120" w:type="dxa"/>
              <w:bottom w:w="90" w:type="dxa"/>
              <w:end w:w="120" w:type="dxa"/>
            </w:tcMar>
            <w:vAlign w:val="center"/>
          </w:tcPr>
          <w:p>
            <w:pPr>
              <w:spacing w:after="0"/>
            </w:pPr>
            <w:r>
              <w:rPr>
                <w:rFonts w:ascii="Arial" w:hAnsi="Arial"/>
                <w:color w:val="1B292A"/>
                <w:sz w:val="17"/>
              </w:rPr>
              <w:t>42.43</w:t>
            </w:r>
          </w:p>
        </w:tc>
        <w:tc>
          <w:tcPr>
            <w:tcW w:type="dxa" w:w="1595"/>
            <w:tcMar>
              <w:top w:w="90" w:type="dxa"/>
              <w:start w:w="120" w:type="dxa"/>
              <w:bottom w:w="90" w:type="dxa"/>
              <w:end w:w="120" w:type="dxa"/>
            </w:tcMar>
            <w:vAlign w:val="center"/>
          </w:tcPr>
          <w:p>
            <w:pPr>
              <w:spacing w:after="0"/>
            </w:pPr>
            <w:r>
              <w:rPr>
                <w:rFonts w:ascii="Arial" w:hAnsi="Arial"/>
                <w:color w:val="1B292A"/>
                <w:sz w:val="17"/>
              </w:rPr>
              <w:t>52.15</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VivUniP02</w:t>
            </w:r>
          </w:p>
        </w:tc>
        <w:tc>
          <w:tcPr>
            <w:tcW w:type="dxa" w:w="1595"/>
            <w:tcMar>
              <w:top w:w="90" w:type="dxa"/>
              <w:start w:w="120" w:type="dxa"/>
              <w:bottom w:w="90" w:type="dxa"/>
              <w:end w:w="120" w:type="dxa"/>
            </w:tcMar>
            <w:vAlign w:val="center"/>
          </w:tcPr>
          <w:p>
            <w:pPr>
              <w:spacing w:after="0"/>
            </w:pPr>
            <w:r>
              <w:rPr>
                <w:rFonts w:ascii="Arial" w:hAnsi="Arial"/>
                <w:color w:val="1B292A"/>
                <w:sz w:val="17"/>
              </w:rPr>
              <w:t>1,697</w:t>
            </w:r>
          </w:p>
        </w:tc>
        <w:tc>
          <w:tcPr>
            <w:tcW w:type="dxa" w:w="1595"/>
            <w:tcMar>
              <w:top w:w="90" w:type="dxa"/>
              <w:start w:w="120" w:type="dxa"/>
              <w:bottom w:w="90" w:type="dxa"/>
              <w:end w:w="120" w:type="dxa"/>
            </w:tcMar>
            <w:vAlign w:val="center"/>
          </w:tcPr>
          <w:p>
            <w:pPr>
              <w:spacing w:after="0"/>
            </w:pPr>
            <w:r>
              <w:rPr>
                <w:rFonts w:ascii="Arial" w:hAnsi="Arial"/>
                <w:color w:val="1B292A"/>
                <w:sz w:val="17"/>
              </w:rPr>
              <w:t>392,508.8</w:t>
            </w:r>
          </w:p>
        </w:tc>
        <w:tc>
          <w:tcPr>
            <w:tcW w:type="dxa" w:w="1595"/>
            <w:tcMar>
              <w:top w:w="90" w:type="dxa"/>
              <w:start w:w="120" w:type="dxa"/>
              <w:bottom w:w="90" w:type="dxa"/>
              <w:end w:w="120" w:type="dxa"/>
            </w:tcMar>
            <w:vAlign w:val="center"/>
          </w:tcPr>
          <w:p>
            <w:pPr>
              <w:spacing w:after="0"/>
            </w:pPr>
            <w:r>
              <w:rPr>
                <w:rFonts w:ascii="Arial" w:hAnsi="Arial"/>
                <w:color w:val="1B292A"/>
                <w:sz w:val="17"/>
              </w:rPr>
              <w:t>17.133</w:t>
            </w:r>
          </w:p>
        </w:tc>
        <w:tc>
          <w:tcPr>
            <w:tcW w:type="dxa" w:w="1595"/>
            <w:tcMar>
              <w:top w:w="90" w:type="dxa"/>
              <w:start w:w="120" w:type="dxa"/>
              <w:bottom w:w="90" w:type="dxa"/>
              <w:end w:w="120" w:type="dxa"/>
            </w:tcMar>
            <w:vAlign w:val="center"/>
          </w:tcPr>
          <w:p>
            <w:pPr>
              <w:spacing w:after="0"/>
            </w:pPr>
            <w:r>
              <w:rPr>
                <w:rFonts w:ascii="Arial" w:hAnsi="Arial"/>
                <w:color w:val="1B292A"/>
                <w:sz w:val="17"/>
              </w:rPr>
              <w:t>43.65</w:t>
            </w:r>
          </w:p>
        </w:tc>
        <w:tc>
          <w:tcPr>
            <w:tcW w:type="dxa" w:w="1595"/>
            <w:tcMar>
              <w:top w:w="90" w:type="dxa"/>
              <w:start w:w="120" w:type="dxa"/>
              <w:bottom w:w="90" w:type="dxa"/>
              <w:end w:w="120" w:type="dxa"/>
            </w:tcMar>
            <w:vAlign w:val="center"/>
          </w:tcPr>
          <w:p>
            <w:pPr>
              <w:spacing w:after="0"/>
            </w:pPr>
            <w:r>
              <w:rPr>
                <w:rFonts w:ascii="Arial" w:hAnsi="Arial"/>
                <w:color w:val="1B292A"/>
                <w:sz w:val="17"/>
              </w:rPr>
              <w:t>65.95</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VivUniP04</w:t>
            </w:r>
          </w:p>
        </w:tc>
        <w:tc>
          <w:tcPr>
            <w:tcW w:type="dxa" w:w="1595"/>
            <w:tcMar>
              <w:top w:w="90" w:type="dxa"/>
              <w:start w:w="120" w:type="dxa"/>
              <w:bottom w:w="90" w:type="dxa"/>
              <w:end w:w="120" w:type="dxa"/>
            </w:tcMar>
            <w:vAlign w:val="center"/>
          </w:tcPr>
          <w:p>
            <w:pPr>
              <w:spacing w:after="0"/>
            </w:pPr>
            <w:r>
              <w:rPr>
                <w:rFonts w:ascii="Arial" w:hAnsi="Arial"/>
                <w:color w:val="1B292A"/>
                <w:sz w:val="17"/>
              </w:rPr>
              <w:t>1,085</w:t>
            </w:r>
          </w:p>
        </w:tc>
        <w:tc>
          <w:tcPr>
            <w:tcW w:type="dxa" w:w="1595"/>
            <w:tcMar>
              <w:top w:w="90" w:type="dxa"/>
              <w:start w:w="120" w:type="dxa"/>
              <w:bottom w:w="90" w:type="dxa"/>
              <w:end w:w="120" w:type="dxa"/>
            </w:tcMar>
            <w:vAlign w:val="center"/>
          </w:tcPr>
          <w:p>
            <w:pPr>
              <w:spacing w:after="0"/>
            </w:pPr>
            <w:r>
              <w:rPr>
                <w:rFonts w:ascii="Arial" w:hAnsi="Arial"/>
                <w:color w:val="1B292A"/>
                <w:sz w:val="17"/>
              </w:rPr>
              <w:t>358,854.7</w:t>
            </w:r>
          </w:p>
        </w:tc>
        <w:tc>
          <w:tcPr>
            <w:tcW w:type="dxa" w:w="1595"/>
            <w:tcMar>
              <w:top w:w="90" w:type="dxa"/>
              <w:start w:w="120" w:type="dxa"/>
              <w:bottom w:w="90" w:type="dxa"/>
              <w:end w:w="120" w:type="dxa"/>
            </w:tcMar>
            <w:vAlign w:val="center"/>
          </w:tcPr>
          <w:p>
            <w:pPr>
              <w:spacing w:after="0"/>
            </w:pPr>
            <w:r>
              <w:rPr>
                <w:rFonts w:ascii="Arial" w:hAnsi="Arial"/>
                <w:color w:val="1B292A"/>
                <w:sz w:val="17"/>
              </w:rPr>
              <w:t>14.854</w:t>
            </w:r>
          </w:p>
        </w:tc>
        <w:tc>
          <w:tcPr>
            <w:tcW w:type="dxa" w:w="1595"/>
            <w:tcMar>
              <w:top w:w="90" w:type="dxa"/>
              <w:start w:w="120" w:type="dxa"/>
              <w:bottom w:w="90" w:type="dxa"/>
              <w:end w:w="120" w:type="dxa"/>
            </w:tcMar>
            <w:vAlign w:val="center"/>
          </w:tcPr>
          <w:p>
            <w:pPr>
              <w:spacing w:after="0"/>
            </w:pPr>
            <w:r>
              <w:rPr>
                <w:rFonts w:ascii="Arial" w:hAnsi="Arial"/>
                <w:color w:val="1B292A"/>
                <w:sz w:val="17"/>
              </w:rPr>
              <w:t>41.39</w:t>
            </w:r>
          </w:p>
        </w:tc>
        <w:tc>
          <w:tcPr>
            <w:tcW w:type="dxa" w:w="1595"/>
            <w:tcMar>
              <w:top w:w="90" w:type="dxa"/>
              <w:start w:w="120" w:type="dxa"/>
              <w:bottom w:w="90" w:type="dxa"/>
              <w:end w:w="120" w:type="dxa"/>
            </w:tcMar>
            <w:vAlign w:val="center"/>
          </w:tcPr>
          <w:p>
            <w:pPr>
              <w:spacing w:after="0"/>
            </w:pPr>
            <w:r>
              <w:rPr>
                <w:rFonts w:ascii="Arial" w:hAnsi="Arial"/>
                <w:color w:val="1B292A"/>
                <w:sz w:val="17"/>
              </w:rPr>
              <w:t>70.22</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VivUniP05</w:t>
            </w:r>
          </w:p>
        </w:tc>
        <w:tc>
          <w:tcPr>
            <w:tcW w:type="dxa" w:w="1595"/>
            <w:tcMar>
              <w:top w:w="90" w:type="dxa"/>
              <w:start w:w="120" w:type="dxa"/>
              <w:bottom w:w="90" w:type="dxa"/>
              <w:end w:w="120" w:type="dxa"/>
            </w:tcMar>
            <w:vAlign w:val="center"/>
          </w:tcPr>
          <w:p>
            <w:pPr>
              <w:spacing w:after="0"/>
            </w:pPr>
            <w:r>
              <w:rPr>
                <w:rFonts w:ascii="Arial" w:hAnsi="Arial"/>
                <w:color w:val="1B292A"/>
                <w:sz w:val="17"/>
              </w:rPr>
              <w:t>940</w:t>
            </w:r>
          </w:p>
        </w:tc>
        <w:tc>
          <w:tcPr>
            <w:tcW w:type="dxa" w:w="1595"/>
            <w:tcMar>
              <w:top w:w="90" w:type="dxa"/>
              <w:start w:w="120" w:type="dxa"/>
              <w:bottom w:w="90" w:type="dxa"/>
              <w:end w:w="120" w:type="dxa"/>
            </w:tcMar>
            <w:vAlign w:val="center"/>
          </w:tcPr>
          <w:p>
            <w:pPr>
              <w:spacing w:after="0"/>
            </w:pPr>
            <w:r>
              <w:rPr>
                <w:rFonts w:ascii="Arial" w:hAnsi="Arial"/>
                <w:color w:val="1B292A"/>
                <w:sz w:val="17"/>
              </w:rPr>
              <w:t>383,970.1</w:t>
            </w:r>
          </w:p>
        </w:tc>
        <w:tc>
          <w:tcPr>
            <w:tcW w:type="dxa" w:w="1595"/>
            <w:tcMar>
              <w:top w:w="90" w:type="dxa"/>
              <w:start w:w="120" w:type="dxa"/>
              <w:bottom w:w="90" w:type="dxa"/>
              <w:end w:w="120" w:type="dxa"/>
            </w:tcMar>
            <w:vAlign w:val="center"/>
          </w:tcPr>
          <w:p>
            <w:pPr>
              <w:spacing w:after="0"/>
            </w:pPr>
            <w:r>
              <w:rPr>
                <w:rFonts w:ascii="Arial" w:hAnsi="Arial"/>
                <w:color w:val="1B292A"/>
                <w:sz w:val="17"/>
              </w:rPr>
              <w:t>13.684</w:t>
            </w:r>
          </w:p>
        </w:tc>
        <w:tc>
          <w:tcPr>
            <w:tcW w:type="dxa" w:w="1595"/>
            <w:tcMar>
              <w:top w:w="90" w:type="dxa"/>
              <w:start w:w="120" w:type="dxa"/>
              <w:bottom w:w="90" w:type="dxa"/>
              <w:end w:w="120" w:type="dxa"/>
            </w:tcMar>
            <w:vAlign w:val="center"/>
          </w:tcPr>
          <w:p>
            <w:pPr>
              <w:spacing w:after="0"/>
            </w:pPr>
            <w:r>
              <w:rPr>
                <w:rFonts w:ascii="Arial" w:hAnsi="Arial"/>
                <w:color w:val="1B292A"/>
                <w:sz w:val="17"/>
              </w:rPr>
              <w:t>35.64</w:t>
            </w:r>
          </w:p>
        </w:tc>
        <w:tc>
          <w:tcPr>
            <w:tcW w:type="dxa" w:w="1595"/>
            <w:tcMar>
              <w:top w:w="90" w:type="dxa"/>
              <w:start w:w="120" w:type="dxa"/>
              <w:bottom w:w="90" w:type="dxa"/>
              <w:end w:w="120" w:type="dxa"/>
            </w:tcMar>
            <w:vAlign w:val="center"/>
          </w:tcPr>
          <w:p>
            <w:pPr>
              <w:spacing w:after="0"/>
            </w:pPr>
            <w:r>
              <w:rPr>
                <w:rFonts w:ascii="Arial" w:hAnsi="Arial"/>
                <w:color w:val="1B292A"/>
                <w:sz w:val="17"/>
              </w:rPr>
              <w:t>48.61</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VivUniP03</w:t>
            </w:r>
          </w:p>
        </w:tc>
        <w:tc>
          <w:tcPr>
            <w:tcW w:type="dxa" w:w="1595"/>
            <w:tcMar>
              <w:top w:w="90" w:type="dxa"/>
              <w:start w:w="120" w:type="dxa"/>
              <w:bottom w:w="90" w:type="dxa"/>
              <w:end w:w="120" w:type="dxa"/>
            </w:tcMar>
            <w:vAlign w:val="center"/>
          </w:tcPr>
          <w:p>
            <w:pPr>
              <w:spacing w:after="0"/>
            </w:pPr>
            <w:r>
              <w:rPr>
                <w:rFonts w:ascii="Arial" w:hAnsi="Arial"/>
                <w:color w:val="1B292A"/>
                <w:sz w:val="17"/>
              </w:rPr>
              <w:t>949</w:t>
            </w:r>
          </w:p>
        </w:tc>
        <w:tc>
          <w:tcPr>
            <w:tcW w:type="dxa" w:w="1595"/>
            <w:tcMar>
              <w:top w:w="90" w:type="dxa"/>
              <w:start w:w="120" w:type="dxa"/>
              <w:bottom w:w="90" w:type="dxa"/>
              <w:end w:w="120" w:type="dxa"/>
            </w:tcMar>
            <w:vAlign w:val="center"/>
          </w:tcPr>
          <w:p>
            <w:pPr>
              <w:spacing w:after="0"/>
            </w:pPr>
            <w:r>
              <w:rPr>
                <w:rFonts w:ascii="Arial" w:hAnsi="Arial"/>
                <w:color w:val="1B292A"/>
                <w:sz w:val="17"/>
              </w:rPr>
              <w:t>255,594.2</w:t>
            </w:r>
          </w:p>
        </w:tc>
        <w:tc>
          <w:tcPr>
            <w:tcW w:type="dxa" w:w="1595"/>
            <w:tcMar>
              <w:top w:w="90" w:type="dxa"/>
              <w:start w:w="120" w:type="dxa"/>
              <w:bottom w:w="90" w:type="dxa"/>
              <w:end w:w="120" w:type="dxa"/>
            </w:tcMar>
            <w:vAlign w:val="center"/>
          </w:tcPr>
          <w:p>
            <w:pPr>
              <w:spacing w:after="0"/>
            </w:pPr>
            <w:r>
              <w:rPr>
                <w:rFonts w:ascii="Arial" w:hAnsi="Arial"/>
                <w:color w:val="1B292A"/>
                <w:sz w:val="17"/>
              </w:rPr>
              <w:t>10.756</w:t>
            </w:r>
          </w:p>
        </w:tc>
        <w:tc>
          <w:tcPr>
            <w:tcW w:type="dxa" w:w="1595"/>
            <w:tcMar>
              <w:top w:w="90" w:type="dxa"/>
              <w:start w:w="120" w:type="dxa"/>
              <w:bottom w:w="90" w:type="dxa"/>
              <w:end w:w="120" w:type="dxa"/>
            </w:tcMar>
            <w:vAlign w:val="center"/>
          </w:tcPr>
          <w:p>
            <w:pPr>
              <w:spacing w:after="0"/>
            </w:pPr>
            <w:r>
              <w:rPr>
                <w:rFonts w:ascii="Arial" w:hAnsi="Arial"/>
                <w:color w:val="1B292A"/>
                <w:sz w:val="17"/>
              </w:rPr>
              <w:t>42.08</w:t>
            </w:r>
          </w:p>
        </w:tc>
        <w:tc>
          <w:tcPr>
            <w:tcW w:type="dxa" w:w="1595"/>
            <w:tcMar>
              <w:top w:w="90" w:type="dxa"/>
              <w:start w:w="120" w:type="dxa"/>
              <w:bottom w:w="90" w:type="dxa"/>
              <w:end w:w="120" w:type="dxa"/>
            </w:tcMar>
            <w:vAlign w:val="center"/>
          </w:tcPr>
          <w:p>
            <w:pPr>
              <w:spacing w:after="0"/>
            </w:pPr>
            <w:r>
              <w:rPr>
                <w:rFonts w:ascii="Arial" w:hAnsi="Arial"/>
                <w:color w:val="1B292A"/>
                <w:sz w:val="17"/>
              </w:rPr>
              <w:t>61.71</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EdiPluriP03</w:t>
            </w:r>
          </w:p>
        </w:tc>
        <w:tc>
          <w:tcPr>
            <w:tcW w:type="dxa" w:w="1595"/>
            <w:tcMar>
              <w:top w:w="90" w:type="dxa"/>
              <w:start w:w="120" w:type="dxa"/>
              <w:bottom w:w="90" w:type="dxa"/>
              <w:end w:w="120" w:type="dxa"/>
            </w:tcMar>
            <w:vAlign w:val="center"/>
          </w:tcPr>
          <w:p>
            <w:pPr>
              <w:spacing w:after="0"/>
            </w:pPr>
            <w:r>
              <w:rPr>
                <w:rFonts w:ascii="Arial" w:hAnsi="Arial"/>
                <w:color w:val="1B292A"/>
                <w:sz w:val="17"/>
              </w:rPr>
              <w:t>656</w:t>
            </w:r>
          </w:p>
        </w:tc>
        <w:tc>
          <w:tcPr>
            <w:tcW w:type="dxa" w:w="1595"/>
            <w:tcMar>
              <w:top w:w="90" w:type="dxa"/>
              <w:start w:w="120" w:type="dxa"/>
              <w:bottom w:w="90" w:type="dxa"/>
              <w:end w:w="120" w:type="dxa"/>
            </w:tcMar>
            <w:vAlign w:val="center"/>
          </w:tcPr>
          <w:p>
            <w:pPr>
              <w:spacing w:after="0"/>
            </w:pPr>
            <w:r>
              <w:rPr>
                <w:rFonts w:ascii="Arial" w:hAnsi="Arial"/>
                <w:color w:val="1B292A"/>
                <w:sz w:val="17"/>
              </w:rPr>
              <w:t>241,656.7</w:t>
            </w:r>
          </w:p>
        </w:tc>
        <w:tc>
          <w:tcPr>
            <w:tcW w:type="dxa" w:w="1595"/>
            <w:tcMar>
              <w:top w:w="90" w:type="dxa"/>
              <w:start w:w="120" w:type="dxa"/>
              <w:bottom w:w="90" w:type="dxa"/>
              <w:end w:w="120" w:type="dxa"/>
            </w:tcMar>
            <w:vAlign w:val="center"/>
          </w:tcPr>
          <w:p>
            <w:pPr>
              <w:spacing w:after="0"/>
            </w:pPr>
            <w:r>
              <w:rPr>
                <w:rFonts w:ascii="Arial" w:hAnsi="Arial"/>
                <w:color w:val="1B292A"/>
                <w:sz w:val="17"/>
              </w:rPr>
              <w:t>10.314</w:t>
            </w:r>
          </w:p>
        </w:tc>
        <w:tc>
          <w:tcPr>
            <w:tcW w:type="dxa" w:w="1595"/>
            <w:tcMar>
              <w:top w:w="90" w:type="dxa"/>
              <w:start w:w="120" w:type="dxa"/>
              <w:bottom w:w="90" w:type="dxa"/>
              <w:end w:w="120" w:type="dxa"/>
            </w:tcMar>
            <w:vAlign w:val="center"/>
          </w:tcPr>
          <w:p>
            <w:pPr>
              <w:spacing w:after="0"/>
            </w:pPr>
            <w:r>
              <w:rPr>
                <w:rFonts w:ascii="Arial" w:hAnsi="Arial"/>
                <w:color w:val="1B292A"/>
                <w:sz w:val="17"/>
              </w:rPr>
              <w:t>42.68</w:t>
            </w:r>
          </w:p>
        </w:tc>
        <w:tc>
          <w:tcPr>
            <w:tcW w:type="dxa" w:w="1595"/>
            <w:tcMar>
              <w:top w:w="90" w:type="dxa"/>
              <w:start w:w="120" w:type="dxa"/>
              <w:bottom w:w="90" w:type="dxa"/>
              <w:end w:w="120" w:type="dxa"/>
            </w:tcMar>
            <w:vAlign w:val="center"/>
          </w:tcPr>
          <w:p>
            <w:pPr>
              <w:spacing w:after="0"/>
            </w:pPr>
            <w:r>
              <w:rPr>
                <w:rFonts w:ascii="Arial" w:hAnsi="Arial"/>
                <w:color w:val="1B292A"/>
                <w:sz w:val="17"/>
              </w:rPr>
              <w:t>53.15</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VivUniP06</w:t>
            </w:r>
          </w:p>
        </w:tc>
        <w:tc>
          <w:tcPr>
            <w:tcW w:type="dxa" w:w="1595"/>
            <w:tcMar>
              <w:top w:w="90" w:type="dxa"/>
              <w:start w:w="120" w:type="dxa"/>
              <w:bottom w:w="90" w:type="dxa"/>
              <w:end w:w="120" w:type="dxa"/>
            </w:tcMar>
            <w:vAlign w:val="center"/>
          </w:tcPr>
          <w:p>
            <w:pPr>
              <w:spacing w:after="0"/>
            </w:pPr>
            <w:r>
              <w:rPr>
                <w:rFonts w:ascii="Arial" w:hAnsi="Arial"/>
                <w:color w:val="1B292A"/>
                <w:sz w:val="17"/>
              </w:rPr>
              <w:t>373</w:t>
            </w:r>
          </w:p>
        </w:tc>
        <w:tc>
          <w:tcPr>
            <w:tcW w:type="dxa" w:w="1595"/>
            <w:tcMar>
              <w:top w:w="90" w:type="dxa"/>
              <w:start w:w="120" w:type="dxa"/>
              <w:bottom w:w="90" w:type="dxa"/>
              <w:end w:w="120" w:type="dxa"/>
            </w:tcMar>
            <w:vAlign w:val="center"/>
          </w:tcPr>
          <w:p>
            <w:pPr>
              <w:spacing w:after="0"/>
            </w:pPr>
            <w:r>
              <w:rPr>
                <w:rFonts w:ascii="Arial" w:hAnsi="Arial"/>
                <w:color w:val="1B292A"/>
                <w:sz w:val="17"/>
              </w:rPr>
              <w:t>225,566.6</w:t>
            </w:r>
          </w:p>
        </w:tc>
        <w:tc>
          <w:tcPr>
            <w:tcW w:type="dxa" w:w="1595"/>
            <w:tcMar>
              <w:top w:w="90" w:type="dxa"/>
              <w:start w:w="120" w:type="dxa"/>
              <w:bottom w:w="90" w:type="dxa"/>
              <w:end w:w="120" w:type="dxa"/>
            </w:tcMar>
            <w:vAlign w:val="center"/>
          </w:tcPr>
          <w:p>
            <w:pPr>
              <w:spacing w:after="0"/>
            </w:pPr>
            <w:r>
              <w:rPr>
                <w:rFonts w:ascii="Arial" w:hAnsi="Arial"/>
                <w:color w:val="1B292A"/>
                <w:sz w:val="17"/>
              </w:rPr>
              <w:t>6.971</w:t>
            </w:r>
          </w:p>
        </w:tc>
        <w:tc>
          <w:tcPr>
            <w:tcW w:type="dxa" w:w="1595"/>
            <w:tcMar>
              <w:top w:w="90" w:type="dxa"/>
              <w:start w:w="120" w:type="dxa"/>
              <w:bottom w:w="90" w:type="dxa"/>
              <w:end w:w="120" w:type="dxa"/>
            </w:tcMar>
            <w:vAlign w:val="center"/>
          </w:tcPr>
          <w:p>
            <w:pPr>
              <w:spacing w:after="0"/>
            </w:pPr>
            <w:r>
              <w:rPr>
                <w:rFonts w:ascii="Arial" w:hAnsi="Arial"/>
                <w:color w:val="1B292A"/>
                <w:sz w:val="17"/>
              </w:rPr>
              <w:t>30.91</w:t>
            </w:r>
          </w:p>
        </w:tc>
        <w:tc>
          <w:tcPr>
            <w:tcW w:type="dxa" w:w="1595"/>
            <w:tcMar>
              <w:top w:w="90" w:type="dxa"/>
              <w:start w:w="120" w:type="dxa"/>
              <w:bottom w:w="90" w:type="dxa"/>
              <w:end w:w="120" w:type="dxa"/>
            </w:tcMar>
            <w:vAlign w:val="center"/>
          </w:tcPr>
          <w:p>
            <w:pPr>
              <w:spacing w:after="0"/>
            </w:pPr>
            <w:r>
              <w:rPr>
                <w:rFonts w:ascii="Arial" w:hAnsi="Arial"/>
                <w:color w:val="1B292A"/>
                <w:sz w:val="17"/>
              </w:rPr>
              <w:t>36.53</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EdiPluriP04</w:t>
            </w:r>
          </w:p>
        </w:tc>
        <w:tc>
          <w:tcPr>
            <w:tcW w:type="dxa" w:w="1595"/>
            <w:tcMar>
              <w:top w:w="90" w:type="dxa"/>
              <w:start w:w="120" w:type="dxa"/>
              <w:bottom w:w="90" w:type="dxa"/>
              <w:end w:w="120" w:type="dxa"/>
            </w:tcMar>
            <w:vAlign w:val="center"/>
          </w:tcPr>
          <w:p>
            <w:pPr>
              <w:spacing w:after="0"/>
            </w:pPr>
            <w:r>
              <w:rPr>
                <w:rFonts w:ascii="Arial" w:hAnsi="Arial"/>
                <w:color w:val="1B292A"/>
                <w:sz w:val="17"/>
              </w:rPr>
              <w:t>298</w:t>
            </w:r>
          </w:p>
        </w:tc>
        <w:tc>
          <w:tcPr>
            <w:tcW w:type="dxa" w:w="1595"/>
            <w:tcMar>
              <w:top w:w="90" w:type="dxa"/>
              <w:start w:w="120" w:type="dxa"/>
              <w:bottom w:w="90" w:type="dxa"/>
              <w:end w:w="120" w:type="dxa"/>
            </w:tcMar>
            <w:vAlign w:val="center"/>
          </w:tcPr>
          <w:p>
            <w:pPr>
              <w:spacing w:after="0"/>
            </w:pPr>
            <w:r>
              <w:rPr>
                <w:rFonts w:ascii="Arial" w:hAnsi="Arial"/>
                <w:color w:val="1B292A"/>
                <w:sz w:val="17"/>
              </w:rPr>
              <w:t>136,012.0</w:t>
            </w:r>
          </w:p>
        </w:tc>
        <w:tc>
          <w:tcPr>
            <w:tcW w:type="dxa" w:w="1595"/>
            <w:tcMar>
              <w:top w:w="90" w:type="dxa"/>
              <w:start w:w="120" w:type="dxa"/>
              <w:bottom w:w="90" w:type="dxa"/>
              <w:end w:w="120" w:type="dxa"/>
            </w:tcMar>
            <w:vAlign w:val="center"/>
          </w:tcPr>
          <w:p>
            <w:pPr>
              <w:spacing w:after="0"/>
            </w:pPr>
            <w:r>
              <w:rPr>
                <w:rFonts w:ascii="Arial" w:hAnsi="Arial"/>
                <w:color w:val="1B292A"/>
                <w:sz w:val="17"/>
              </w:rPr>
              <w:t>6.624</w:t>
            </w:r>
          </w:p>
        </w:tc>
        <w:tc>
          <w:tcPr>
            <w:tcW w:type="dxa" w:w="1595"/>
            <w:tcMar>
              <w:top w:w="90" w:type="dxa"/>
              <w:start w:w="120" w:type="dxa"/>
              <w:bottom w:w="90" w:type="dxa"/>
              <w:end w:w="120" w:type="dxa"/>
            </w:tcMar>
            <w:vAlign w:val="center"/>
          </w:tcPr>
          <w:p>
            <w:pPr>
              <w:spacing w:after="0"/>
            </w:pPr>
            <w:r>
              <w:rPr>
                <w:rFonts w:ascii="Arial" w:hAnsi="Arial"/>
                <w:color w:val="1B292A"/>
                <w:sz w:val="17"/>
              </w:rPr>
              <w:t>48.70</w:t>
            </w:r>
          </w:p>
        </w:tc>
        <w:tc>
          <w:tcPr>
            <w:tcW w:type="dxa" w:w="1595"/>
            <w:tcMar>
              <w:top w:w="90" w:type="dxa"/>
              <w:start w:w="120" w:type="dxa"/>
              <w:bottom w:w="90" w:type="dxa"/>
              <w:end w:w="120" w:type="dxa"/>
            </w:tcMar>
            <w:vAlign w:val="center"/>
          </w:tcPr>
          <w:p>
            <w:pPr>
              <w:spacing w:after="0"/>
            </w:pPr>
            <w:r>
              <w:rPr>
                <w:rFonts w:ascii="Arial" w:hAnsi="Arial"/>
                <w:color w:val="1B292A"/>
                <w:sz w:val="17"/>
              </w:rPr>
              <w:t>54.81</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VivUniP01</w:t>
            </w:r>
          </w:p>
        </w:tc>
        <w:tc>
          <w:tcPr>
            <w:tcW w:type="dxa" w:w="1595"/>
            <w:tcMar>
              <w:top w:w="90" w:type="dxa"/>
              <w:start w:w="120" w:type="dxa"/>
              <w:bottom w:w="90" w:type="dxa"/>
              <w:end w:w="120" w:type="dxa"/>
            </w:tcMar>
            <w:vAlign w:val="center"/>
          </w:tcPr>
          <w:p>
            <w:pPr>
              <w:spacing w:after="0"/>
            </w:pPr>
            <w:r>
              <w:rPr>
                <w:rFonts w:ascii="Arial" w:hAnsi="Arial"/>
                <w:color w:val="1B292A"/>
                <w:sz w:val="17"/>
              </w:rPr>
              <w:t>183</w:t>
            </w:r>
          </w:p>
        </w:tc>
        <w:tc>
          <w:tcPr>
            <w:tcW w:type="dxa" w:w="1595"/>
            <w:tcMar>
              <w:top w:w="90" w:type="dxa"/>
              <w:start w:w="120" w:type="dxa"/>
              <w:bottom w:w="90" w:type="dxa"/>
              <w:end w:w="120" w:type="dxa"/>
            </w:tcMar>
            <w:vAlign w:val="center"/>
          </w:tcPr>
          <w:p>
            <w:pPr>
              <w:spacing w:after="0"/>
            </w:pPr>
            <w:r>
              <w:rPr>
                <w:rFonts w:ascii="Arial" w:hAnsi="Arial"/>
                <w:color w:val="1B292A"/>
                <w:sz w:val="17"/>
              </w:rPr>
              <w:t>65,279.6</w:t>
            </w:r>
          </w:p>
        </w:tc>
        <w:tc>
          <w:tcPr>
            <w:tcW w:type="dxa" w:w="1595"/>
            <w:tcMar>
              <w:top w:w="90" w:type="dxa"/>
              <w:start w:w="120" w:type="dxa"/>
              <w:bottom w:w="90" w:type="dxa"/>
              <w:end w:w="120" w:type="dxa"/>
            </w:tcMar>
            <w:vAlign w:val="center"/>
          </w:tcPr>
          <w:p>
            <w:pPr>
              <w:spacing w:after="0"/>
            </w:pPr>
            <w:r>
              <w:rPr>
                <w:rFonts w:ascii="Arial" w:hAnsi="Arial"/>
                <w:color w:val="1B292A"/>
                <w:sz w:val="17"/>
              </w:rPr>
              <w:t>2.774</w:t>
            </w:r>
          </w:p>
        </w:tc>
        <w:tc>
          <w:tcPr>
            <w:tcW w:type="dxa" w:w="1595"/>
            <w:tcMar>
              <w:top w:w="90" w:type="dxa"/>
              <w:start w:w="120" w:type="dxa"/>
              <w:bottom w:w="90" w:type="dxa"/>
              <w:end w:w="120" w:type="dxa"/>
            </w:tcMar>
            <w:vAlign w:val="center"/>
          </w:tcPr>
          <w:p>
            <w:pPr>
              <w:spacing w:after="0"/>
            </w:pPr>
            <w:r>
              <w:rPr>
                <w:rFonts w:ascii="Arial" w:hAnsi="Arial"/>
                <w:color w:val="1B292A"/>
                <w:sz w:val="17"/>
              </w:rPr>
              <w:t>42.50</w:t>
            </w:r>
          </w:p>
        </w:tc>
        <w:tc>
          <w:tcPr>
            <w:tcW w:type="dxa" w:w="1595"/>
            <w:tcMar>
              <w:top w:w="90" w:type="dxa"/>
              <w:start w:w="120" w:type="dxa"/>
              <w:bottom w:w="90" w:type="dxa"/>
              <w:end w:w="120" w:type="dxa"/>
            </w:tcMar>
            <w:vAlign w:val="center"/>
          </w:tcPr>
          <w:p>
            <w:pPr>
              <w:spacing w:after="0"/>
            </w:pPr>
            <w:r>
              <w:rPr>
                <w:rFonts w:ascii="Arial" w:hAnsi="Arial"/>
                <w:color w:val="1B292A"/>
                <w:sz w:val="17"/>
              </w:rPr>
              <w:t>43.91</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BlocPluriP07</w:t>
            </w:r>
          </w:p>
        </w:tc>
        <w:tc>
          <w:tcPr>
            <w:tcW w:type="dxa" w:w="1595"/>
            <w:tcMar>
              <w:top w:w="90" w:type="dxa"/>
              <w:start w:w="120" w:type="dxa"/>
              <w:bottom w:w="90" w:type="dxa"/>
              <w:end w:w="120" w:type="dxa"/>
            </w:tcMar>
            <w:vAlign w:val="center"/>
          </w:tcPr>
          <w:p>
            <w:pPr>
              <w:spacing w:after="0"/>
            </w:pPr>
            <w:r>
              <w:rPr>
                <w:rFonts w:ascii="Arial" w:hAnsi="Arial"/>
                <w:color w:val="1B292A"/>
                <w:sz w:val="17"/>
              </w:rPr>
              <w:t>14</w:t>
            </w:r>
          </w:p>
        </w:tc>
        <w:tc>
          <w:tcPr>
            <w:tcW w:type="dxa" w:w="1595"/>
            <w:tcMar>
              <w:top w:w="90" w:type="dxa"/>
              <w:start w:w="120" w:type="dxa"/>
              <w:bottom w:w="90" w:type="dxa"/>
              <w:end w:w="120" w:type="dxa"/>
            </w:tcMar>
            <w:vAlign w:val="center"/>
          </w:tcPr>
          <w:p>
            <w:pPr>
              <w:spacing w:after="0"/>
            </w:pPr>
            <w:r>
              <w:rPr>
                <w:rFonts w:ascii="Arial" w:hAnsi="Arial"/>
                <w:color w:val="1B292A"/>
                <w:sz w:val="17"/>
              </w:rPr>
              <w:t>86,453.9</w:t>
            </w:r>
          </w:p>
        </w:tc>
        <w:tc>
          <w:tcPr>
            <w:tcW w:type="dxa" w:w="1595"/>
            <w:tcMar>
              <w:top w:w="90" w:type="dxa"/>
              <w:start w:w="120" w:type="dxa"/>
              <w:bottom w:w="90" w:type="dxa"/>
              <w:end w:w="120" w:type="dxa"/>
            </w:tcMar>
            <w:vAlign w:val="center"/>
          </w:tcPr>
          <w:p>
            <w:pPr>
              <w:spacing w:after="0"/>
            </w:pPr>
            <w:r>
              <w:rPr>
                <w:rFonts w:ascii="Arial" w:hAnsi="Arial"/>
                <w:color w:val="1B292A"/>
                <w:sz w:val="17"/>
              </w:rPr>
              <w:t>2.736</w:t>
            </w:r>
          </w:p>
        </w:tc>
        <w:tc>
          <w:tcPr>
            <w:tcW w:type="dxa" w:w="1595"/>
            <w:tcMar>
              <w:top w:w="90" w:type="dxa"/>
              <w:start w:w="120" w:type="dxa"/>
              <w:bottom w:w="90" w:type="dxa"/>
              <w:end w:w="120" w:type="dxa"/>
            </w:tcMar>
            <w:vAlign w:val="center"/>
          </w:tcPr>
          <w:p>
            <w:pPr>
              <w:spacing w:after="0"/>
            </w:pPr>
            <w:r>
              <w:rPr>
                <w:rFonts w:ascii="Arial" w:hAnsi="Arial"/>
                <w:color w:val="1B292A"/>
                <w:sz w:val="17"/>
              </w:rPr>
              <w:t>31.64</w:t>
            </w:r>
          </w:p>
        </w:tc>
        <w:tc>
          <w:tcPr>
            <w:tcW w:type="dxa" w:w="1595"/>
            <w:tcMar>
              <w:top w:w="90" w:type="dxa"/>
              <w:start w:w="120" w:type="dxa"/>
              <w:bottom w:w="90" w:type="dxa"/>
              <w:end w:w="120" w:type="dxa"/>
            </w:tcMar>
            <w:vAlign w:val="center"/>
          </w:tcPr>
          <w:p>
            <w:pPr>
              <w:spacing w:after="0"/>
            </w:pPr>
            <w:r>
              <w:rPr>
                <w:rFonts w:ascii="Arial" w:hAnsi="Arial"/>
                <w:color w:val="1B292A"/>
                <w:sz w:val="17"/>
              </w:rPr>
              <w:t>37.02</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EdiPluriP01</w:t>
            </w:r>
          </w:p>
        </w:tc>
        <w:tc>
          <w:tcPr>
            <w:tcW w:type="dxa" w:w="1595"/>
            <w:tcMar>
              <w:top w:w="90" w:type="dxa"/>
              <w:start w:w="120" w:type="dxa"/>
              <w:bottom w:w="90" w:type="dxa"/>
              <w:end w:w="120" w:type="dxa"/>
            </w:tcMar>
            <w:vAlign w:val="center"/>
          </w:tcPr>
          <w:p>
            <w:pPr>
              <w:spacing w:after="0"/>
            </w:pPr>
            <w:r>
              <w:rPr>
                <w:rFonts w:ascii="Arial" w:hAnsi="Arial"/>
                <w:color w:val="1B292A"/>
                <w:sz w:val="17"/>
              </w:rPr>
              <w:t>139</w:t>
            </w:r>
          </w:p>
        </w:tc>
        <w:tc>
          <w:tcPr>
            <w:tcW w:type="dxa" w:w="1595"/>
            <w:tcMar>
              <w:top w:w="90" w:type="dxa"/>
              <w:start w:w="120" w:type="dxa"/>
              <w:bottom w:w="90" w:type="dxa"/>
              <w:end w:w="120" w:type="dxa"/>
            </w:tcMar>
            <w:vAlign w:val="center"/>
          </w:tcPr>
          <w:p>
            <w:pPr>
              <w:spacing w:after="0"/>
            </w:pPr>
            <w:r>
              <w:rPr>
                <w:rFonts w:ascii="Arial" w:hAnsi="Arial"/>
                <w:color w:val="1B292A"/>
                <w:sz w:val="17"/>
              </w:rPr>
              <w:t>55,018.7</w:t>
            </w:r>
          </w:p>
        </w:tc>
        <w:tc>
          <w:tcPr>
            <w:tcW w:type="dxa" w:w="1595"/>
            <w:tcMar>
              <w:top w:w="90" w:type="dxa"/>
              <w:start w:w="120" w:type="dxa"/>
              <w:bottom w:w="90" w:type="dxa"/>
              <w:end w:w="120" w:type="dxa"/>
            </w:tcMar>
            <w:vAlign w:val="center"/>
          </w:tcPr>
          <w:p>
            <w:pPr>
              <w:spacing w:after="0"/>
            </w:pPr>
            <w:r>
              <w:rPr>
                <w:rFonts w:ascii="Arial" w:hAnsi="Arial"/>
                <w:color w:val="1B292A"/>
                <w:sz w:val="17"/>
              </w:rPr>
              <w:t>2.450</w:t>
            </w:r>
          </w:p>
        </w:tc>
        <w:tc>
          <w:tcPr>
            <w:tcW w:type="dxa" w:w="1595"/>
            <w:tcMar>
              <w:top w:w="90" w:type="dxa"/>
              <w:start w:w="120" w:type="dxa"/>
              <w:bottom w:w="90" w:type="dxa"/>
              <w:end w:w="120" w:type="dxa"/>
            </w:tcMar>
            <w:vAlign w:val="center"/>
          </w:tcPr>
          <w:p>
            <w:pPr>
              <w:spacing w:after="0"/>
            </w:pPr>
            <w:r>
              <w:rPr>
                <w:rFonts w:ascii="Arial" w:hAnsi="Arial"/>
                <w:color w:val="1B292A"/>
                <w:sz w:val="17"/>
              </w:rPr>
              <w:t>44.53</w:t>
            </w:r>
          </w:p>
        </w:tc>
        <w:tc>
          <w:tcPr>
            <w:tcW w:type="dxa" w:w="1595"/>
            <w:tcMar>
              <w:top w:w="90" w:type="dxa"/>
              <w:start w:w="120" w:type="dxa"/>
              <w:bottom w:w="90" w:type="dxa"/>
              <w:end w:w="120" w:type="dxa"/>
            </w:tcMar>
            <w:vAlign w:val="center"/>
          </w:tcPr>
          <w:p>
            <w:pPr>
              <w:spacing w:after="0"/>
            </w:pPr>
            <w:r>
              <w:rPr>
                <w:rFonts w:ascii="Arial" w:hAnsi="Arial"/>
                <w:color w:val="1B292A"/>
                <w:sz w:val="17"/>
              </w:rPr>
              <w:t>59.06</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EdiPluriP06</w:t>
            </w:r>
          </w:p>
        </w:tc>
        <w:tc>
          <w:tcPr>
            <w:tcW w:type="dxa" w:w="1595"/>
            <w:tcMar>
              <w:top w:w="90" w:type="dxa"/>
              <w:start w:w="120" w:type="dxa"/>
              <w:bottom w:w="90" w:type="dxa"/>
              <w:end w:w="120" w:type="dxa"/>
            </w:tcMar>
            <w:vAlign w:val="center"/>
          </w:tcPr>
          <w:p>
            <w:pPr>
              <w:spacing w:after="0"/>
            </w:pPr>
            <w:r>
              <w:rPr>
                <w:rFonts w:ascii="Arial" w:hAnsi="Arial"/>
                <w:color w:val="1B292A"/>
                <w:sz w:val="17"/>
              </w:rPr>
              <w:t>71</w:t>
            </w:r>
          </w:p>
        </w:tc>
        <w:tc>
          <w:tcPr>
            <w:tcW w:type="dxa" w:w="1595"/>
            <w:tcMar>
              <w:top w:w="90" w:type="dxa"/>
              <w:start w:w="120" w:type="dxa"/>
              <w:bottom w:w="90" w:type="dxa"/>
              <w:end w:w="120" w:type="dxa"/>
            </w:tcMar>
            <w:vAlign w:val="center"/>
          </w:tcPr>
          <w:p>
            <w:pPr>
              <w:spacing w:after="0"/>
            </w:pPr>
            <w:r>
              <w:rPr>
                <w:rFonts w:ascii="Arial" w:hAnsi="Arial"/>
                <w:color w:val="1B292A"/>
                <w:sz w:val="17"/>
              </w:rPr>
              <w:t>65,882.4</w:t>
            </w:r>
          </w:p>
        </w:tc>
        <w:tc>
          <w:tcPr>
            <w:tcW w:type="dxa" w:w="1595"/>
            <w:tcMar>
              <w:top w:w="90" w:type="dxa"/>
              <w:start w:w="120" w:type="dxa"/>
              <w:bottom w:w="90" w:type="dxa"/>
              <w:end w:w="120" w:type="dxa"/>
            </w:tcMar>
            <w:vAlign w:val="center"/>
          </w:tcPr>
          <w:p>
            <w:pPr>
              <w:spacing w:after="0"/>
            </w:pPr>
            <w:r>
              <w:rPr>
                <w:rFonts w:ascii="Arial" w:hAnsi="Arial"/>
                <w:color w:val="1B292A"/>
                <w:sz w:val="17"/>
              </w:rPr>
              <w:t>2.300</w:t>
            </w:r>
          </w:p>
        </w:tc>
        <w:tc>
          <w:tcPr>
            <w:tcW w:type="dxa" w:w="1595"/>
            <w:tcMar>
              <w:top w:w="90" w:type="dxa"/>
              <w:start w:w="120" w:type="dxa"/>
              <w:bottom w:w="90" w:type="dxa"/>
              <w:end w:w="120" w:type="dxa"/>
            </w:tcMar>
            <w:vAlign w:val="center"/>
          </w:tcPr>
          <w:p>
            <w:pPr>
              <w:spacing w:after="0"/>
            </w:pPr>
            <w:r>
              <w:rPr>
                <w:rFonts w:ascii="Arial" w:hAnsi="Arial"/>
                <w:color w:val="1B292A"/>
                <w:sz w:val="17"/>
              </w:rPr>
              <w:t>34.91</w:t>
            </w:r>
          </w:p>
        </w:tc>
        <w:tc>
          <w:tcPr>
            <w:tcW w:type="dxa" w:w="1595"/>
            <w:tcMar>
              <w:top w:w="90" w:type="dxa"/>
              <w:start w:w="120" w:type="dxa"/>
              <w:bottom w:w="90" w:type="dxa"/>
              <w:end w:w="120" w:type="dxa"/>
            </w:tcMar>
            <w:vAlign w:val="center"/>
          </w:tcPr>
          <w:p>
            <w:pPr>
              <w:spacing w:after="0"/>
            </w:pPr>
            <w:r>
              <w:rPr>
                <w:rFonts w:ascii="Arial" w:hAnsi="Arial"/>
                <w:color w:val="1B292A"/>
                <w:sz w:val="17"/>
              </w:rPr>
              <w:t>42.48</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VivUniP07</w:t>
            </w:r>
          </w:p>
        </w:tc>
        <w:tc>
          <w:tcPr>
            <w:tcW w:type="dxa" w:w="1595"/>
            <w:tcMar>
              <w:top w:w="90" w:type="dxa"/>
              <w:start w:w="120" w:type="dxa"/>
              <w:bottom w:w="90" w:type="dxa"/>
              <w:end w:w="120" w:type="dxa"/>
            </w:tcMar>
            <w:vAlign w:val="center"/>
          </w:tcPr>
          <w:p>
            <w:pPr>
              <w:spacing w:after="0"/>
            </w:pPr>
            <w:r>
              <w:rPr>
                <w:rFonts w:ascii="Arial" w:hAnsi="Arial"/>
                <w:color w:val="1B292A"/>
                <w:sz w:val="17"/>
              </w:rPr>
              <w:t>9</w:t>
            </w:r>
          </w:p>
        </w:tc>
        <w:tc>
          <w:tcPr>
            <w:tcW w:type="dxa" w:w="1595"/>
            <w:tcMar>
              <w:top w:w="90" w:type="dxa"/>
              <w:start w:w="120" w:type="dxa"/>
              <w:bottom w:w="90" w:type="dxa"/>
              <w:end w:w="120" w:type="dxa"/>
            </w:tcMar>
            <w:vAlign w:val="center"/>
          </w:tcPr>
          <w:p>
            <w:pPr>
              <w:spacing w:after="0"/>
            </w:pPr>
            <w:r>
              <w:rPr>
                <w:rFonts w:ascii="Arial" w:hAnsi="Arial"/>
                <w:color w:val="1B292A"/>
                <w:sz w:val="17"/>
              </w:rPr>
              <w:t>5,108.3</w:t>
            </w:r>
          </w:p>
        </w:tc>
        <w:tc>
          <w:tcPr>
            <w:tcW w:type="dxa" w:w="1595"/>
            <w:tcMar>
              <w:top w:w="90" w:type="dxa"/>
              <w:start w:w="120" w:type="dxa"/>
              <w:bottom w:w="90" w:type="dxa"/>
              <w:end w:w="120" w:type="dxa"/>
            </w:tcMar>
            <w:vAlign w:val="center"/>
          </w:tcPr>
          <w:p>
            <w:pPr>
              <w:spacing w:after="0"/>
            </w:pPr>
            <w:r>
              <w:rPr>
                <w:rFonts w:ascii="Arial" w:hAnsi="Arial"/>
                <w:color w:val="1B292A"/>
                <w:sz w:val="17"/>
              </w:rPr>
              <w:t>0.112</w:t>
            </w:r>
          </w:p>
        </w:tc>
        <w:tc>
          <w:tcPr>
            <w:tcW w:type="dxa" w:w="1595"/>
            <w:tcMar>
              <w:top w:w="90" w:type="dxa"/>
              <w:start w:w="120" w:type="dxa"/>
              <w:bottom w:w="90" w:type="dxa"/>
              <w:end w:w="120" w:type="dxa"/>
            </w:tcMar>
            <w:vAlign w:val="center"/>
          </w:tcPr>
          <w:p>
            <w:pPr>
              <w:spacing w:after="0"/>
            </w:pPr>
            <w:r>
              <w:rPr>
                <w:rFonts w:ascii="Arial" w:hAnsi="Arial"/>
                <w:color w:val="1B292A"/>
                <w:sz w:val="17"/>
              </w:rPr>
              <w:t>21.87</w:t>
            </w:r>
          </w:p>
        </w:tc>
        <w:tc>
          <w:tcPr>
            <w:tcW w:type="dxa" w:w="1595"/>
            <w:tcMar>
              <w:top w:w="90" w:type="dxa"/>
              <w:start w:w="120" w:type="dxa"/>
              <w:bottom w:w="90" w:type="dxa"/>
              <w:end w:w="120" w:type="dxa"/>
            </w:tcMar>
            <w:vAlign w:val="center"/>
          </w:tcPr>
          <w:p>
            <w:pPr>
              <w:spacing w:after="0"/>
            </w:pPr>
            <w:r>
              <w:rPr>
                <w:rFonts w:ascii="Arial" w:hAnsi="Arial"/>
                <w:color w:val="1B292A"/>
                <w:sz w:val="17"/>
              </w:rPr>
              <w:t>43.95</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EdiPluriP07</w:t>
            </w:r>
          </w:p>
        </w:tc>
        <w:tc>
          <w:tcPr>
            <w:tcW w:type="dxa" w:w="1595"/>
            <w:tcMar>
              <w:top w:w="90" w:type="dxa"/>
              <w:start w:w="120" w:type="dxa"/>
              <w:bottom w:w="90" w:type="dxa"/>
              <w:end w:w="120" w:type="dxa"/>
            </w:tcMar>
            <w:vAlign w:val="center"/>
          </w:tcPr>
          <w:p>
            <w:pPr>
              <w:spacing w:after="0"/>
            </w:pPr>
            <w:r>
              <w:rPr>
                <w:rFonts w:ascii="Arial" w:hAnsi="Arial"/>
                <w:color w:val="1B292A"/>
                <w:sz w:val="17"/>
              </w:rPr>
              <w:t>1</w:t>
            </w:r>
          </w:p>
        </w:tc>
        <w:tc>
          <w:tcPr>
            <w:tcW w:type="dxa" w:w="1595"/>
            <w:tcMar>
              <w:top w:w="90" w:type="dxa"/>
              <w:start w:w="120" w:type="dxa"/>
              <w:bottom w:w="90" w:type="dxa"/>
              <w:end w:w="120" w:type="dxa"/>
            </w:tcMar>
            <w:vAlign w:val="center"/>
          </w:tcPr>
          <w:p>
            <w:pPr>
              <w:spacing w:after="0"/>
            </w:pPr>
            <w:r>
              <w:rPr>
                <w:rFonts w:ascii="Arial" w:hAnsi="Arial"/>
                <w:color w:val="1B292A"/>
                <w:sz w:val="17"/>
              </w:rPr>
              <w:t>351.0</w:t>
            </w:r>
          </w:p>
        </w:tc>
        <w:tc>
          <w:tcPr>
            <w:tcW w:type="dxa" w:w="1595"/>
            <w:tcMar>
              <w:top w:w="90" w:type="dxa"/>
              <w:start w:w="120" w:type="dxa"/>
              <w:bottom w:w="90" w:type="dxa"/>
              <w:end w:w="120" w:type="dxa"/>
            </w:tcMar>
            <w:vAlign w:val="center"/>
          </w:tcPr>
          <w:p>
            <w:pPr>
              <w:spacing w:after="0"/>
            </w:pPr>
            <w:r>
              <w:rPr>
                <w:rFonts w:ascii="Arial" w:hAnsi="Arial"/>
                <w:color w:val="1B292A"/>
                <w:sz w:val="17"/>
              </w:rPr>
              <w:t>0.009</w:t>
            </w:r>
          </w:p>
        </w:tc>
        <w:tc>
          <w:tcPr>
            <w:tcW w:type="dxa" w:w="1595"/>
            <w:tcMar>
              <w:top w:w="90" w:type="dxa"/>
              <w:start w:w="120" w:type="dxa"/>
              <w:bottom w:w="90" w:type="dxa"/>
              <w:end w:w="120" w:type="dxa"/>
            </w:tcMar>
            <w:vAlign w:val="center"/>
          </w:tcPr>
          <w:p>
            <w:pPr>
              <w:spacing w:after="0"/>
            </w:pPr>
            <w:r>
              <w:rPr>
                <w:rFonts w:ascii="Arial" w:hAnsi="Arial"/>
                <w:color w:val="1B292A"/>
                <w:sz w:val="17"/>
              </w:rPr>
              <w:t>25.80</w:t>
            </w:r>
          </w:p>
        </w:tc>
        <w:tc>
          <w:tcPr>
            <w:tcW w:type="dxa" w:w="1595"/>
            <w:tcMar>
              <w:top w:w="90" w:type="dxa"/>
              <w:start w:w="120" w:type="dxa"/>
              <w:bottom w:w="90" w:type="dxa"/>
              <w:end w:w="120" w:type="dxa"/>
            </w:tcMar>
            <w:vAlign w:val="center"/>
          </w:tcPr>
          <w:p>
            <w:pPr>
              <w:spacing w:after="0"/>
            </w:pPr>
            <w:r>
              <w:rPr>
                <w:rFonts w:ascii="Arial" w:hAnsi="Arial"/>
                <w:color w:val="1B292A"/>
                <w:sz w:val="17"/>
              </w:rPr>
              <w:t>35.10</w:t>
            </w:r>
          </w:p>
        </w:tc>
      </w:tr>
    </w:tbl>
    <w:p>
      <w:pPr>
        <w:spacing w:after="0"/>
      </w:pPr>
    </w:p>
    <w:p>
      <w:pPr>
        <w:pStyle w:val="Heading2"/>
      </w:pPr>
      <w:r>
        <w:rPr>
          <w:rFonts w:ascii="Arial" w:hAnsi="Arial"/>
          <w:b/>
          <w:color w:val="1F5F67"/>
          <w:sz w:val="28"/>
        </w:rPr>
        <w:t>13.2 District results</w:t>
      </w:r>
    </w:p>
    <w:p>
      <w:pPr>
        <w:pStyle w:val="Caption"/>
        <w:keepNext/>
        <w:spacing w:before="80" w:after="80"/>
      </w:pPr>
      <w:r>
        <w:rPr>
          <w:rFonts w:ascii="Arial" w:hAnsi="Arial"/>
          <w:b/>
          <w:color w:val="5B696A"/>
          <w:sz w:val="17"/>
        </w:rPr>
        <w:t>Table 13. District results</w:t>
      </w:r>
    </w:p>
    <w:tbl>
      <w:tblPr>
        <w:tblStyle w:val="TableGrid"/>
        <w:tblW w:type="dxa" w:w="10175"/>
        <w:jc w:val="left"/>
        <w:tblLayout w:type="fixed"/>
        <w:tblLook w:firstColumn="1" w:firstRow="1" w:lastColumn="0" w:lastRow="0" w:noHBand="0" w:noVBand="1" w:val="04A0"/>
        <w:tblInd w:w="120" w:type="dxa"/>
      </w:tblPr>
      <w:tblGrid>
        <w:gridCol w:w="2200"/>
        <w:gridCol w:w="1993"/>
        <w:gridCol w:w="1993"/>
        <w:gridCol w:w="1993"/>
        <w:gridCol w:w="1996"/>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District</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Buildings</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Residential area [m²]</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Site energy [GWh/year]</w:t>
            </w:r>
          </w:p>
        </w:tc>
        <w:tc>
          <w:tcPr>
            <w:tcW w:type="dxa" w:w="1996"/>
            <w:tcMar>
              <w:top w:w="90" w:type="dxa"/>
              <w:start w:w="120" w:type="dxa"/>
              <w:bottom w:w="90" w:type="dxa"/>
              <w:end w:w="120" w:type="dxa"/>
            </w:tcMar>
            <w:vAlign w:val="center"/>
            <w:shd w:fill="E8F1F1"/>
          </w:tcPr>
          <w:p>
            <w:pPr>
              <w:spacing w:after="0"/>
            </w:pPr>
            <w:r>
              <w:rPr>
                <w:rFonts w:ascii="Arial" w:hAnsi="Arial"/>
                <w:b/>
                <w:color w:val="173F45"/>
                <w:sz w:val="17"/>
              </w:rPr>
              <w:t>Geometric [kWh/m²·year]</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QUATRE CARRERES</w:t>
            </w:r>
          </w:p>
        </w:tc>
        <w:tc>
          <w:tcPr>
            <w:tcW w:type="dxa" w:w="1993"/>
            <w:tcMar>
              <w:top w:w="90" w:type="dxa"/>
              <w:start w:w="120" w:type="dxa"/>
              <w:bottom w:w="90" w:type="dxa"/>
              <w:end w:w="120" w:type="dxa"/>
            </w:tcMar>
            <w:vAlign w:val="center"/>
          </w:tcPr>
          <w:p>
            <w:pPr>
              <w:spacing w:after="0"/>
            </w:pPr>
            <w:r>
              <w:rPr>
                <w:rFonts w:ascii="Arial" w:hAnsi="Arial"/>
                <w:color w:val="1B292A"/>
                <w:sz w:val="17"/>
              </w:rPr>
              <w:t>1,699</w:t>
            </w:r>
          </w:p>
        </w:tc>
        <w:tc>
          <w:tcPr>
            <w:tcW w:type="dxa" w:w="1993"/>
            <w:tcMar>
              <w:top w:w="90" w:type="dxa"/>
              <w:start w:w="120" w:type="dxa"/>
              <w:bottom w:w="90" w:type="dxa"/>
              <w:end w:w="120" w:type="dxa"/>
            </w:tcMar>
            <w:vAlign w:val="center"/>
          </w:tcPr>
          <w:p>
            <w:pPr>
              <w:spacing w:after="0"/>
            </w:pPr>
            <w:r>
              <w:rPr>
                <w:rFonts w:ascii="Arial" w:hAnsi="Arial"/>
                <w:color w:val="1B292A"/>
                <w:sz w:val="17"/>
              </w:rPr>
              <w:t>3,797,972.0</w:t>
            </w:r>
          </w:p>
        </w:tc>
        <w:tc>
          <w:tcPr>
            <w:tcW w:type="dxa" w:w="1993"/>
            <w:tcMar>
              <w:top w:w="90" w:type="dxa"/>
              <w:start w:w="120" w:type="dxa"/>
              <w:bottom w:w="90" w:type="dxa"/>
              <w:end w:w="120" w:type="dxa"/>
            </w:tcMar>
            <w:vAlign w:val="center"/>
          </w:tcPr>
          <w:p>
            <w:pPr>
              <w:spacing w:after="0"/>
            </w:pPr>
            <w:r>
              <w:rPr>
                <w:rFonts w:ascii="Arial" w:hAnsi="Arial"/>
                <w:color w:val="1B292A"/>
                <w:sz w:val="17"/>
              </w:rPr>
              <w:t>171.352</w:t>
            </w:r>
          </w:p>
        </w:tc>
        <w:tc>
          <w:tcPr>
            <w:tcW w:type="dxa" w:w="1996"/>
            <w:tcMar>
              <w:top w:w="90" w:type="dxa"/>
              <w:start w:w="120" w:type="dxa"/>
              <w:bottom w:w="90" w:type="dxa"/>
              <w:end w:w="120" w:type="dxa"/>
            </w:tcMar>
            <w:vAlign w:val="center"/>
          </w:tcPr>
          <w:p>
            <w:pPr>
              <w:spacing w:after="0"/>
            </w:pPr>
            <w:r>
              <w:rPr>
                <w:rFonts w:ascii="Arial" w:hAnsi="Arial"/>
                <w:color w:val="1B292A"/>
                <w:sz w:val="17"/>
              </w:rPr>
              <w:t>45.12</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CAMINS AL GRAU</w:t>
            </w:r>
          </w:p>
        </w:tc>
        <w:tc>
          <w:tcPr>
            <w:tcW w:type="dxa" w:w="1993"/>
            <w:tcMar>
              <w:top w:w="90" w:type="dxa"/>
              <w:start w:w="120" w:type="dxa"/>
              <w:bottom w:w="90" w:type="dxa"/>
              <w:end w:w="120" w:type="dxa"/>
            </w:tcMar>
            <w:vAlign w:val="center"/>
          </w:tcPr>
          <w:p>
            <w:pPr>
              <w:spacing w:after="0"/>
            </w:pPr>
            <w:r>
              <w:rPr>
                <w:rFonts w:ascii="Arial" w:hAnsi="Arial"/>
                <w:color w:val="1B292A"/>
                <w:sz w:val="17"/>
              </w:rPr>
              <w:t>1,288</w:t>
            </w:r>
          </w:p>
        </w:tc>
        <w:tc>
          <w:tcPr>
            <w:tcW w:type="dxa" w:w="1993"/>
            <w:tcMar>
              <w:top w:w="90" w:type="dxa"/>
              <w:start w:w="120" w:type="dxa"/>
              <w:bottom w:w="90" w:type="dxa"/>
              <w:end w:w="120" w:type="dxa"/>
            </w:tcMar>
            <w:vAlign w:val="center"/>
          </w:tcPr>
          <w:p>
            <w:pPr>
              <w:spacing w:after="0"/>
            </w:pPr>
            <w:r>
              <w:rPr>
                <w:rFonts w:ascii="Arial" w:hAnsi="Arial"/>
                <w:color w:val="1B292A"/>
                <w:sz w:val="17"/>
              </w:rPr>
              <w:t>3,637,549.5</w:t>
            </w:r>
          </w:p>
        </w:tc>
        <w:tc>
          <w:tcPr>
            <w:tcW w:type="dxa" w:w="1993"/>
            <w:tcMar>
              <w:top w:w="90" w:type="dxa"/>
              <w:start w:w="120" w:type="dxa"/>
              <w:bottom w:w="90" w:type="dxa"/>
              <w:end w:w="120" w:type="dxa"/>
            </w:tcMar>
            <w:vAlign w:val="center"/>
          </w:tcPr>
          <w:p>
            <w:pPr>
              <w:spacing w:after="0"/>
            </w:pPr>
            <w:r>
              <w:rPr>
                <w:rFonts w:ascii="Arial" w:hAnsi="Arial"/>
                <w:color w:val="1B292A"/>
                <w:sz w:val="17"/>
              </w:rPr>
              <w:t>157.793</w:t>
            </w:r>
          </w:p>
        </w:tc>
        <w:tc>
          <w:tcPr>
            <w:tcW w:type="dxa" w:w="1996"/>
            <w:tcMar>
              <w:top w:w="90" w:type="dxa"/>
              <w:start w:w="120" w:type="dxa"/>
              <w:bottom w:w="90" w:type="dxa"/>
              <w:end w:w="120" w:type="dxa"/>
            </w:tcMar>
            <w:vAlign w:val="center"/>
          </w:tcPr>
          <w:p>
            <w:pPr>
              <w:spacing w:after="0"/>
            </w:pPr>
            <w:r>
              <w:rPr>
                <w:rFonts w:ascii="Arial" w:hAnsi="Arial"/>
                <w:color w:val="1B292A"/>
                <w:sz w:val="17"/>
              </w:rPr>
              <w:t>43.38</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L'EIXAMPLE</w:t>
            </w:r>
          </w:p>
        </w:tc>
        <w:tc>
          <w:tcPr>
            <w:tcW w:type="dxa" w:w="1993"/>
            <w:tcMar>
              <w:top w:w="90" w:type="dxa"/>
              <w:start w:w="120" w:type="dxa"/>
              <w:bottom w:w="90" w:type="dxa"/>
              <w:end w:w="120" w:type="dxa"/>
            </w:tcMar>
            <w:vAlign w:val="center"/>
          </w:tcPr>
          <w:p>
            <w:pPr>
              <w:spacing w:after="0"/>
            </w:pPr>
            <w:r>
              <w:rPr>
                <w:rFonts w:ascii="Arial" w:hAnsi="Arial"/>
                <w:color w:val="1B292A"/>
                <w:sz w:val="17"/>
              </w:rPr>
              <w:t>1,969</w:t>
            </w:r>
          </w:p>
        </w:tc>
        <w:tc>
          <w:tcPr>
            <w:tcW w:type="dxa" w:w="1993"/>
            <w:tcMar>
              <w:top w:w="90" w:type="dxa"/>
              <w:start w:w="120" w:type="dxa"/>
              <w:bottom w:w="90" w:type="dxa"/>
              <w:end w:w="120" w:type="dxa"/>
            </w:tcMar>
            <w:vAlign w:val="center"/>
          </w:tcPr>
          <w:p>
            <w:pPr>
              <w:spacing w:after="0"/>
            </w:pPr>
            <w:r>
              <w:rPr>
                <w:rFonts w:ascii="Arial" w:hAnsi="Arial"/>
                <w:color w:val="1B292A"/>
                <w:sz w:val="17"/>
              </w:rPr>
              <w:t>3,464,625.2</w:t>
            </w:r>
          </w:p>
        </w:tc>
        <w:tc>
          <w:tcPr>
            <w:tcW w:type="dxa" w:w="1993"/>
            <w:tcMar>
              <w:top w:w="90" w:type="dxa"/>
              <w:start w:w="120" w:type="dxa"/>
              <w:bottom w:w="90" w:type="dxa"/>
              <w:end w:w="120" w:type="dxa"/>
            </w:tcMar>
            <w:vAlign w:val="center"/>
          </w:tcPr>
          <w:p>
            <w:pPr>
              <w:spacing w:after="0"/>
            </w:pPr>
            <w:r>
              <w:rPr>
                <w:rFonts w:ascii="Arial" w:hAnsi="Arial"/>
                <w:color w:val="1B292A"/>
                <w:sz w:val="17"/>
              </w:rPr>
              <w:t>148.206</w:t>
            </w:r>
          </w:p>
        </w:tc>
        <w:tc>
          <w:tcPr>
            <w:tcW w:type="dxa" w:w="1996"/>
            <w:tcMar>
              <w:top w:w="90" w:type="dxa"/>
              <w:start w:w="120" w:type="dxa"/>
              <w:bottom w:w="90" w:type="dxa"/>
              <w:end w:w="120" w:type="dxa"/>
            </w:tcMar>
            <w:vAlign w:val="center"/>
          </w:tcPr>
          <w:p>
            <w:pPr>
              <w:spacing w:after="0"/>
            </w:pPr>
            <w:r>
              <w:rPr>
                <w:rFonts w:ascii="Arial" w:hAnsi="Arial"/>
                <w:color w:val="1B292A"/>
                <w:sz w:val="17"/>
              </w:rPr>
              <w:t>42.78</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EXTRAMURS</w:t>
            </w:r>
          </w:p>
        </w:tc>
        <w:tc>
          <w:tcPr>
            <w:tcW w:type="dxa" w:w="1993"/>
            <w:tcMar>
              <w:top w:w="90" w:type="dxa"/>
              <w:start w:w="120" w:type="dxa"/>
              <w:bottom w:w="90" w:type="dxa"/>
              <w:end w:w="120" w:type="dxa"/>
            </w:tcMar>
            <w:vAlign w:val="center"/>
          </w:tcPr>
          <w:p>
            <w:pPr>
              <w:spacing w:after="0"/>
            </w:pPr>
            <w:r>
              <w:rPr>
                <w:rFonts w:ascii="Arial" w:hAnsi="Arial"/>
                <w:color w:val="1B292A"/>
                <w:sz w:val="17"/>
              </w:rPr>
              <w:t>1,844</w:t>
            </w:r>
          </w:p>
        </w:tc>
        <w:tc>
          <w:tcPr>
            <w:tcW w:type="dxa" w:w="1993"/>
            <w:tcMar>
              <w:top w:w="90" w:type="dxa"/>
              <w:start w:w="120" w:type="dxa"/>
              <w:bottom w:w="90" w:type="dxa"/>
              <w:end w:w="120" w:type="dxa"/>
            </w:tcMar>
            <w:vAlign w:val="center"/>
          </w:tcPr>
          <w:p>
            <w:pPr>
              <w:spacing w:after="0"/>
            </w:pPr>
            <w:r>
              <w:rPr>
                <w:rFonts w:ascii="Arial" w:hAnsi="Arial"/>
                <w:color w:val="1B292A"/>
                <w:sz w:val="17"/>
              </w:rPr>
              <w:t>3,449,296.1</w:t>
            </w:r>
          </w:p>
        </w:tc>
        <w:tc>
          <w:tcPr>
            <w:tcW w:type="dxa" w:w="1993"/>
            <w:tcMar>
              <w:top w:w="90" w:type="dxa"/>
              <w:start w:w="120" w:type="dxa"/>
              <w:bottom w:w="90" w:type="dxa"/>
              <w:end w:w="120" w:type="dxa"/>
            </w:tcMar>
            <w:vAlign w:val="center"/>
          </w:tcPr>
          <w:p>
            <w:pPr>
              <w:spacing w:after="0"/>
            </w:pPr>
            <w:r>
              <w:rPr>
                <w:rFonts w:ascii="Arial" w:hAnsi="Arial"/>
                <w:color w:val="1B292A"/>
                <w:sz w:val="17"/>
              </w:rPr>
              <w:t>148.200</w:t>
            </w:r>
          </w:p>
        </w:tc>
        <w:tc>
          <w:tcPr>
            <w:tcW w:type="dxa" w:w="1996"/>
            <w:tcMar>
              <w:top w:w="90" w:type="dxa"/>
              <w:start w:w="120" w:type="dxa"/>
              <w:bottom w:w="90" w:type="dxa"/>
              <w:end w:w="120" w:type="dxa"/>
            </w:tcMar>
            <w:vAlign w:val="center"/>
          </w:tcPr>
          <w:p>
            <w:pPr>
              <w:spacing w:after="0"/>
            </w:pPr>
            <w:r>
              <w:rPr>
                <w:rFonts w:ascii="Arial" w:hAnsi="Arial"/>
                <w:color w:val="1B292A"/>
                <w:sz w:val="17"/>
              </w:rPr>
              <w:t>42.97</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POBLATS MARITIMS</w:t>
            </w:r>
          </w:p>
        </w:tc>
        <w:tc>
          <w:tcPr>
            <w:tcW w:type="dxa" w:w="1993"/>
            <w:tcMar>
              <w:top w:w="90" w:type="dxa"/>
              <w:start w:w="120" w:type="dxa"/>
              <w:bottom w:w="90" w:type="dxa"/>
              <w:end w:w="120" w:type="dxa"/>
            </w:tcMar>
            <w:vAlign w:val="center"/>
          </w:tcPr>
          <w:p>
            <w:pPr>
              <w:spacing w:after="0"/>
            </w:pPr>
            <w:r>
              <w:rPr>
                <w:rFonts w:ascii="Arial" w:hAnsi="Arial"/>
                <w:color w:val="1B292A"/>
                <w:sz w:val="17"/>
              </w:rPr>
              <w:t>4,057</w:t>
            </w:r>
          </w:p>
        </w:tc>
        <w:tc>
          <w:tcPr>
            <w:tcW w:type="dxa" w:w="1993"/>
            <w:tcMar>
              <w:top w:w="90" w:type="dxa"/>
              <w:start w:w="120" w:type="dxa"/>
              <w:bottom w:w="90" w:type="dxa"/>
              <w:end w:w="120" w:type="dxa"/>
            </w:tcMar>
            <w:vAlign w:val="center"/>
          </w:tcPr>
          <w:p>
            <w:pPr>
              <w:spacing w:after="0"/>
            </w:pPr>
            <w:r>
              <w:rPr>
                <w:rFonts w:ascii="Arial" w:hAnsi="Arial"/>
                <w:color w:val="1B292A"/>
                <w:sz w:val="17"/>
              </w:rPr>
              <w:t>3,120,382.5</w:t>
            </w:r>
          </w:p>
        </w:tc>
        <w:tc>
          <w:tcPr>
            <w:tcW w:type="dxa" w:w="1993"/>
            <w:tcMar>
              <w:top w:w="90" w:type="dxa"/>
              <w:start w:w="120" w:type="dxa"/>
              <w:bottom w:w="90" w:type="dxa"/>
              <w:end w:w="120" w:type="dxa"/>
            </w:tcMar>
            <w:vAlign w:val="center"/>
          </w:tcPr>
          <w:p>
            <w:pPr>
              <w:spacing w:after="0"/>
            </w:pPr>
            <w:r>
              <w:rPr>
                <w:rFonts w:ascii="Arial" w:hAnsi="Arial"/>
                <w:color w:val="1B292A"/>
                <w:sz w:val="17"/>
              </w:rPr>
              <w:t>140.266</w:t>
            </w:r>
          </w:p>
        </w:tc>
        <w:tc>
          <w:tcPr>
            <w:tcW w:type="dxa" w:w="1996"/>
            <w:tcMar>
              <w:top w:w="90" w:type="dxa"/>
              <w:start w:w="120" w:type="dxa"/>
              <w:bottom w:w="90" w:type="dxa"/>
              <w:end w:w="120" w:type="dxa"/>
            </w:tcMar>
            <w:vAlign w:val="center"/>
          </w:tcPr>
          <w:p>
            <w:pPr>
              <w:spacing w:after="0"/>
            </w:pPr>
            <w:r>
              <w:rPr>
                <w:rFonts w:ascii="Arial" w:hAnsi="Arial"/>
                <w:color w:val="1B292A"/>
                <w:sz w:val="17"/>
              </w:rPr>
              <w:t>44.95</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PATRAIX</w:t>
            </w:r>
          </w:p>
        </w:tc>
        <w:tc>
          <w:tcPr>
            <w:tcW w:type="dxa" w:w="1993"/>
            <w:tcMar>
              <w:top w:w="90" w:type="dxa"/>
              <w:start w:w="120" w:type="dxa"/>
              <w:bottom w:w="90" w:type="dxa"/>
              <w:end w:w="120" w:type="dxa"/>
            </w:tcMar>
            <w:vAlign w:val="center"/>
          </w:tcPr>
          <w:p>
            <w:pPr>
              <w:spacing w:after="0"/>
            </w:pPr>
            <w:r>
              <w:rPr>
                <w:rFonts w:ascii="Arial" w:hAnsi="Arial"/>
                <w:color w:val="1B292A"/>
                <w:sz w:val="17"/>
              </w:rPr>
              <w:t>1,014</w:t>
            </w:r>
          </w:p>
        </w:tc>
        <w:tc>
          <w:tcPr>
            <w:tcW w:type="dxa" w:w="1993"/>
            <w:tcMar>
              <w:top w:w="90" w:type="dxa"/>
              <w:start w:w="120" w:type="dxa"/>
              <w:bottom w:w="90" w:type="dxa"/>
              <w:end w:w="120" w:type="dxa"/>
            </w:tcMar>
            <w:vAlign w:val="center"/>
          </w:tcPr>
          <w:p>
            <w:pPr>
              <w:spacing w:after="0"/>
            </w:pPr>
            <w:r>
              <w:rPr>
                <w:rFonts w:ascii="Arial" w:hAnsi="Arial"/>
                <w:color w:val="1B292A"/>
                <w:sz w:val="17"/>
              </w:rPr>
              <w:t>3,125,435.7</w:t>
            </w:r>
          </w:p>
        </w:tc>
        <w:tc>
          <w:tcPr>
            <w:tcW w:type="dxa" w:w="1993"/>
            <w:tcMar>
              <w:top w:w="90" w:type="dxa"/>
              <w:start w:w="120" w:type="dxa"/>
              <w:bottom w:w="90" w:type="dxa"/>
              <w:end w:w="120" w:type="dxa"/>
            </w:tcMar>
            <w:vAlign w:val="center"/>
          </w:tcPr>
          <w:p>
            <w:pPr>
              <w:spacing w:after="0"/>
            </w:pPr>
            <w:r>
              <w:rPr>
                <w:rFonts w:ascii="Arial" w:hAnsi="Arial"/>
                <w:color w:val="1B292A"/>
                <w:sz w:val="17"/>
              </w:rPr>
              <w:t>137.320</w:t>
            </w:r>
          </w:p>
        </w:tc>
        <w:tc>
          <w:tcPr>
            <w:tcW w:type="dxa" w:w="1996"/>
            <w:tcMar>
              <w:top w:w="90" w:type="dxa"/>
              <w:start w:w="120" w:type="dxa"/>
              <w:bottom w:w="90" w:type="dxa"/>
              <w:end w:w="120" w:type="dxa"/>
            </w:tcMar>
            <w:vAlign w:val="center"/>
          </w:tcPr>
          <w:p>
            <w:pPr>
              <w:spacing w:after="0"/>
            </w:pPr>
            <w:r>
              <w:rPr>
                <w:rFonts w:ascii="Arial" w:hAnsi="Arial"/>
                <w:color w:val="1B292A"/>
                <w:sz w:val="17"/>
              </w:rPr>
              <w:t>43.94</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JESUS</w:t>
            </w:r>
          </w:p>
        </w:tc>
        <w:tc>
          <w:tcPr>
            <w:tcW w:type="dxa" w:w="1993"/>
            <w:tcMar>
              <w:top w:w="90" w:type="dxa"/>
              <w:start w:w="120" w:type="dxa"/>
              <w:bottom w:w="90" w:type="dxa"/>
              <w:end w:w="120" w:type="dxa"/>
            </w:tcMar>
            <w:vAlign w:val="center"/>
          </w:tcPr>
          <w:p>
            <w:pPr>
              <w:spacing w:after="0"/>
            </w:pPr>
            <w:r>
              <w:rPr>
                <w:rFonts w:ascii="Arial" w:hAnsi="Arial"/>
                <w:color w:val="1B292A"/>
                <w:sz w:val="17"/>
              </w:rPr>
              <w:t>1,132</w:t>
            </w:r>
          </w:p>
        </w:tc>
        <w:tc>
          <w:tcPr>
            <w:tcW w:type="dxa" w:w="1993"/>
            <w:tcMar>
              <w:top w:w="90" w:type="dxa"/>
              <w:start w:w="120" w:type="dxa"/>
              <w:bottom w:w="90" w:type="dxa"/>
              <w:end w:w="120" w:type="dxa"/>
            </w:tcMar>
            <w:vAlign w:val="center"/>
          </w:tcPr>
          <w:p>
            <w:pPr>
              <w:spacing w:after="0"/>
            </w:pPr>
            <w:r>
              <w:rPr>
                <w:rFonts w:ascii="Arial" w:hAnsi="Arial"/>
                <w:color w:val="1B292A"/>
                <w:sz w:val="17"/>
              </w:rPr>
              <w:t>2,640,860.9</w:t>
            </w:r>
          </w:p>
        </w:tc>
        <w:tc>
          <w:tcPr>
            <w:tcW w:type="dxa" w:w="1993"/>
            <w:tcMar>
              <w:top w:w="90" w:type="dxa"/>
              <w:start w:w="120" w:type="dxa"/>
              <w:bottom w:w="90" w:type="dxa"/>
              <w:end w:w="120" w:type="dxa"/>
            </w:tcMar>
            <w:vAlign w:val="center"/>
          </w:tcPr>
          <w:p>
            <w:pPr>
              <w:spacing w:after="0"/>
            </w:pPr>
            <w:r>
              <w:rPr>
                <w:rFonts w:ascii="Arial" w:hAnsi="Arial"/>
                <w:color w:val="1B292A"/>
                <w:sz w:val="17"/>
              </w:rPr>
              <w:t>118.673</w:t>
            </w:r>
          </w:p>
        </w:tc>
        <w:tc>
          <w:tcPr>
            <w:tcW w:type="dxa" w:w="1996"/>
            <w:tcMar>
              <w:top w:w="90" w:type="dxa"/>
              <w:start w:w="120" w:type="dxa"/>
              <w:bottom w:w="90" w:type="dxa"/>
              <w:end w:w="120" w:type="dxa"/>
            </w:tcMar>
            <w:vAlign w:val="center"/>
          </w:tcPr>
          <w:p>
            <w:pPr>
              <w:spacing w:after="0"/>
            </w:pPr>
            <w:r>
              <w:rPr>
                <w:rFonts w:ascii="Arial" w:hAnsi="Arial"/>
                <w:color w:val="1B292A"/>
                <w:sz w:val="17"/>
              </w:rPr>
              <w:t>44.94</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RASCANYA</w:t>
            </w:r>
          </w:p>
        </w:tc>
        <w:tc>
          <w:tcPr>
            <w:tcW w:type="dxa" w:w="1993"/>
            <w:tcMar>
              <w:top w:w="90" w:type="dxa"/>
              <w:start w:w="120" w:type="dxa"/>
              <w:bottom w:w="90" w:type="dxa"/>
              <w:end w:w="120" w:type="dxa"/>
            </w:tcMar>
            <w:vAlign w:val="center"/>
          </w:tcPr>
          <w:p>
            <w:pPr>
              <w:spacing w:after="0"/>
            </w:pPr>
            <w:r>
              <w:rPr>
                <w:rFonts w:ascii="Arial" w:hAnsi="Arial"/>
                <w:color w:val="1B292A"/>
                <w:sz w:val="17"/>
              </w:rPr>
              <w:t>1,166</w:t>
            </w:r>
          </w:p>
        </w:tc>
        <w:tc>
          <w:tcPr>
            <w:tcW w:type="dxa" w:w="1993"/>
            <w:tcMar>
              <w:top w:w="90" w:type="dxa"/>
              <w:start w:w="120" w:type="dxa"/>
              <w:bottom w:w="90" w:type="dxa"/>
              <w:end w:w="120" w:type="dxa"/>
            </w:tcMar>
            <w:vAlign w:val="center"/>
          </w:tcPr>
          <w:p>
            <w:pPr>
              <w:spacing w:after="0"/>
            </w:pPr>
            <w:r>
              <w:rPr>
                <w:rFonts w:ascii="Arial" w:hAnsi="Arial"/>
                <w:color w:val="1B292A"/>
                <w:sz w:val="17"/>
              </w:rPr>
              <w:t>2,548,294.7</w:t>
            </w:r>
          </w:p>
        </w:tc>
        <w:tc>
          <w:tcPr>
            <w:tcW w:type="dxa" w:w="1993"/>
            <w:tcMar>
              <w:top w:w="90" w:type="dxa"/>
              <w:start w:w="120" w:type="dxa"/>
              <w:bottom w:w="90" w:type="dxa"/>
              <w:end w:w="120" w:type="dxa"/>
            </w:tcMar>
            <w:vAlign w:val="center"/>
          </w:tcPr>
          <w:p>
            <w:pPr>
              <w:spacing w:after="0"/>
            </w:pPr>
            <w:r>
              <w:rPr>
                <w:rFonts w:ascii="Arial" w:hAnsi="Arial"/>
                <w:color w:val="1B292A"/>
                <w:sz w:val="17"/>
              </w:rPr>
              <w:t>115.772</w:t>
            </w:r>
          </w:p>
        </w:tc>
        <w:tc>
          <w:tcPr>
            <w:tcW w:type="dxa" w:w="1996"/>
            <w:tcMar>
              <w:top w:w="90" w:type="dxa"/>
              <w:start w:w="120" w:type="dxa"/>
              <w:bottom w:w="90" w:type="dxa"/>
              <w:end w:w="120" w:type="dxa"/>
            </w:tcMar>
            <w:vAlign w:val="center"/>
          </w:tcPr>
          <w:p>
            <w:pPr>
              <w:spacing w:after="0"/>
            </w:pPr>
            <w:r>
              <w:rPr>
                <w:rFonts w:ascii="Arial" w:hAnsi="Arial"/>
                <w:color w:val="1B292A"/>
                <w:sz w:val="17"/>
              </w:rPr>
              <w:t>45.43</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LA SAIDIA</w:t>
            </w:r>
          </w:p>
        </w:tc>
        <w:tc>
          <w:tcPr>
            <w:tcW w:type="dxa" w:w="1993"/>
            <w:tcMar>
              <w:top w:w="90" w:type="dxa"/>
              <w:start w:w="120" w:type="dxa"/>
              <w:bottom w:w="90" w:type="dxa"/>
              <w:end w:w="120" w:type="dxa"/>
            </w:tcMar>
            <w:vAlign w:val="center"/>
          </w:tcPr>
          <w:p>
            <w:pPr>
              <w:spacing w:after="0"/>
            </w:pPr>
            <w:r>
              <w:rPr>
                <w:rFonts w:ascii="Arial" w:hAnsi="Arial"/>
                <w:color w:val="1B292A"/>
                <w:sz w:val="17"/>
              </w:rPr>
              <w:t>1,225</w:t>
            </w:r>
          </w:p>
        </w:tc>
        <w:tc>
          <w:tcPr>
            <w:tcW w:type="dxa" w:w="1993"/>
            <w:tcMar>
              <w:top w:w="90" w:type="dxa"/>
              <w:start w:w="120" w:type="dxa"/>
              <w:bottom w:w="90" w:type="dxa"/>
              <w:end w:w="120" w:type="dxa"/>
            </w:tcMar>
            <w:vAlign w:val="center"/>
          </w:tcPr>
          <w:p>
            <w:pPr>
              <w:spacing w:after="0"/>
            </w:pPr>
            <w:r>
              <w:rPr>
                <w:rFonts w:ascii="Arial" w:hAnsi="Arial"/>
                <w:color w:val="1B292A"/>
                <w:sz w:val="17"/>
              </w:rPr>
              <w:t>2,549,779.0</w:t>
            </w:r>
          </w:p>
        </w:tc>
        <w:tc>
          <w:tcPr>
            <w:tcW w:type="dxa" w:w="1993"/>
            <w:tcMar>
              <w:top w:w="90" w:type="dxa"/>
              <w:start w:w="120" w:type="dxa"/>
              <w:bottom w:w="90" w:type="dxa"/>
              <w:end w:w="120" w:type="dxa"/>
            </w:tcMar>
            <w:vAlign w:val="center"/>
          </w:tcPr>
          <w:p>
            <w:pPr>
              <w:spacing w:after="0"/>
            </w:pPr>
            <w:r>
              <w:rPr>
                <w:rFonts w:ascii="Arial" w:hAnsi="Arial"/>
                <w:color w:val="1B292A"/>
                <w:sz w:val="17"/>
              </w:rPr>
              <w:t>114.220</w:t>
            </w:r>
          </w:p>
        </w:tc>
        <w:tc>
          <w:tcPr>
            <w:tcW w:type="dxa" w:w="1996"/>
            <w:tcMar>
              <w:top w:w="90" w:type="dxa"/>
              <w:start w:w="120" w:type="dxa"/>
              <w:bottom w:w="90" w:type="dxa"/>
              <w:end w:w="120" w:type="dxa"/>
            </w:tcMar>
            <w:vAlign w:val="center"/>
          </w:tcPr>
          <w:p>
            <w:pPr>
              <w:spacing w:after="0"/>
            </w:pPr>
            <w:r>
              <w:rPr>
                <w:rFonts w:ascii="Arial" w:hAnsi="Arial"/>
                <w:color w:val="1B292A"/>
                <w:sz w:val="17"/>
              </w:rPr>
              <w:t>44.80</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L'OLIVERETA</w:t>
            </w:r>
          </w:p>
        </w:tc>
        <w:tc>
          <w:tcPr>
            <w:tcW w:type="dxa" w:w="1993"/>
            <w:tcMar>
              <w:top w:w="90" w:type="dxa"/>
              <w:start w:w="120" w:type="dxa"/>
              <w:bottom w:w="90" w:type="dxa"/>
              <w:end w:w="120" w:type="dxa"/>
            </w:tcMar>
            <w:vAlign w:val="center"/>
          </w:tcPr>
          <w:p>
            <w:pPr>
              <w:spacing w:after="0"/>
            </w:pPr>
            <w:r>
              <w:rPr>
                <w:rFonts w:ascii="Arial" w:hAnsi="Arial"/>
                <w:color w:val="1B292A"/>
                <w:sz w:val="17"/>
              </w:rPr>
              <w:t>1,238</w:t>
            </w:r>
          </w:p>
        </w:tc>
        <w:tc>
          <w:tcPr>
            <w:tcW w:type="dxa" w:w="1993"/>
            <w:tcMar>
              <w:top w:w="90" w:type="dxa"/>
              <w:start w:w="120" w:type="dxa"/>
              <w:bottom w:w="90" w:type="dxa"/>
              <w:end w:w="120" w:type="dxa"/>
            </w:tcMar>
            <w:vAlign w:val="center"/>
          </w:tcPr>
          <w:p>
            <w:pPr>
              <w:spacing w:after="0"/>
            </w:pPr>
            <w:r>
              <w:rPr>
                <w:rFonts w:ascii="Arial" w:hAnsi="Arial"/>
                <w:color w:val="1B292A"/>
                <w:sz w:val="17"/>
              </w:rPr>
              <w:t>2,364,385.2</w:t>
            </w:r>
          </w:p>
        </w:tc>
        <w:tc>
          <w:tcPr>
            <w:tcW w:type="dxa" w:w="1993"/>
            <w:tcMar>
              <w:top w:w="90" w:type="dxa"/>
              <w:start w:w="120" w:type="dxa"/>
              <w:bottom w:w="90" w:type="dxa"/>
              <w:end w:w="120" w:type="dxa"/>
            </w:tcMar>
            <w:vAlign w:val="center"/>
          </w:tcPr>
          <w:p>
            <w:pPr>
              <w:spacing w:after="0"/>
            </w:pPr>
            <w:r>
              <w:rPr>
                <w:rFonts w:ascii="Arial" w:hAnsi="Arial"/>
                <w:color w:val="1B292A"/>
                <w:sz w:val="17"/>
              </w:rPr>
              <w:t>109.391</w:t>
            </w:r>
          </w:p>
        </w:tc>
        <w:tc>
          <w:tcPr>
            <w:tcW w:type="dxa" w:w="1996"/>
            <w:tcMar>
              <w:top w:w="90" w:type="dxa"/>
              <w:start w:w="120" w:type="dxa"/>
              <w:bottom w:w="90" w:type="dxa"/>
              <w:end w:w="120" w:type="dxa"/>
            </w:tcMar>
            <w:vAlign w:val="center"/>
          </w:tcPr>
          <w:p>
            <w:pPr>
              <w:spacing w:after="0"/>
            </w:pPr>
            <w:r>
              <w:rPr>
                <w:rFonts w:ascii="Arial" w:hAnsi="Arial"/>
                <w:color w:val="1B292A"/>
                <w:sz w:val="17"/>
              </w:rPr>
              <w:t>46.27</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CIUTAT VELLA</w:t>
            </w:r>
          </w:p>
        </w:tc>
        <w:tc>
          <w:tcPr>
            <w:tcW w:type="dxa" w:w="1993"/>
            <w:tcMar>
              <w:top w:w="90" w:type="dxa"/>
              <w:start w:w="120" w:type="dxa"/>
              <w:bottom w:w="90" w:type="dxa"/>
              <w:end w:w="120" w:type="dxa"/>
            </w:tcMar>
            <w:vAlign w:val="center"/>
          </w:tcPr>
          <w:p>
            <w:pPr>
              <w:spacing w:after="0"/>
            </w:pPr>
            <w:r>
              <w:rPr>
                <w:rFonts w:ascii="Arial" w:hAnsi="Arial"/>
                <w:color w:val="1B292A"/>
                <w:sz w:val="17"/>
              </w:rPr>
              <w:t>2,329</w:t>
            </w:r>
          </w:p>
        </w:tc>
        <w:tc>
          <w:tcPr>
            <w:tcW w:type="dxa" w:w="1993"/>
            <w:tcMar>
              <w:top w:w="90" w:type="dxa"/>
              <w:start w:w="120" w:type="dxa"/>
              <w:bottom w:w="90" w:type="dxa"/>
              <w:end w:w="120" w:type="dxa"/>
            </w:tcMar>
            <w:vAlign w:val="center"/>
          </w:tcPr>
          <w:p>
            <w:pPr>
              <w:spacing w:after="0"/>
            </w:pPr>
            <w:r>
              <w:rPr>
                <w:rFonts w:ascii="Arial" w:hAnsi="Arial"/>
                <w:color w:val="1B292A"/>
                <w:sz w:val="17"/>
              </w:rPr>
              <w:t>2,561,117.6</w:t>
            </w:r>
          </w:p>
        </w:tc>
        <w:tc>
          <w:tcPr>
            <w:tcW w:type="dxa" w:w="1993"/>
            <w:tcMar>
              <w:top w:w="90" w:type="dxa"/>
              <w:start w:w="120" w:type="dxa"/>
              <w:bottom w:w="90" w:type="dxa"/>
              <w:end w:w="120" w:type="dxa"/>
            </w:tcMar>
            <w:vAlign w:val="center"/>
          </w:tcPr>
          <w:p>
            <w:pPr>
              <w:spacing w:after="0"/>
            </w:pPr>
            <w:r>
              <w:rPr>
                <w:rFonts w:ascii="Arial" w:hAnsi="Arial"/>
                <w:color w:val="1B292A"/>
                <w:sz w:val="17"/>
              </w:rPr>
              <w:t>107.964</w:t>
            </w:r>
          </w:p>
        </w:tc>
        <w:tc>
          <w:tcPr>
            <w:tcW w:type="dxa" w:w="1996"/>
            <w:tcMar>
              <w:top w:w="90" w:type="dxa"/>
              <w:start w:w="120" w:type="dxa"/>
              <w:bottom w:w="90" w:type="dxa"/>
              <w:end w:w="120" w:type="dxa"/>
            </w:tcMar>
            <w:vAlign w:val="center"/>
          </w:tcPr>
          <w:p>
            <w:pPr>
              <w:spacing w:after="0"/>
            </w:pPr>
            <w:r>
              <w:rPr>
                <w:rFonts w:ascii="Arial" w:hAnsi="Arial"/>
                <w:color w:val="1B292A"/>
                <w:sz w:val="17"/>
              </w:rPr>
              <w:t>42.16</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BENICALAP</w:t>
            </w:r>
          </w:p>
        </w:tc>
        <w:tc>
          <w:tcPr>
            <w:tcW w:type="dxa" w:w="1993"/>
            <w:tcMar>
              <w:top w:w="90" w:type="dxa"/>
              <w:start w:w="120" w:type="dxa"/>
              <w:bottom w:w="90" w:type="dxa"/>
              <w:end w:w="120" w:type="dxa"/>
            </w:tcMar>
            <w:vAlign w:val="center"/>
          </w:tcPr>
          <w:p>
            <w:pPr>
              <w:spacing w:after="0"/>
            </w:pPr>
            <w:r>
              <w:rPr>
                <w:rFonts w:ascii="Arial" w:hAnsi="Arial"/>
                <w:color w:val="1B292A"/>
                <w:sz w:val="17"/>
              </w:rPr>
              <w:t>1,009</w:t>
            </w:r>
          </w:p>
        </w:tc>
        <w:tc>
          <w:tcPr>
            <w:tcW w:type="dxa" w:w="1993"/>
            <w:tcMar>
              <w:top w:w="90" w:type="dxa"/>
              <w:start w:w="120" w:type="dxa"/>
              <w:bottom w:w="90" w:type="dxa"/>
              <w:end w:w="120" w:type="dxa"/>
            </w:tcMar>
            <w:vAlign w:val="center"/>
          </w:tcPr>
          <w:p>
            <w:pPr>
              <w:spacing w:after="0"/>
            </w:pPr>
            <w:r>
              <w:rPr>
                <w:rFonts w:ascii="Arial" w:hAnsi="Arial"/>
                <w:color w:val="1B292A"/>
                <w:sz w:val="17"/>
              </w:rPr>
              <w:t>2,354,263.0</w:t>
            </w:r>
          </w:p>
        </w:tc>
        <w:tc>
          <w:tcPr>
            <w:tcW w:type="dxa" w:w="1993"/>
            <w:tcMar>
              <w:top w:w="90" w:type="dxa"/>
              <w:start w:w="120" w:type="dxa"/>
              <w:bottom w:w="90" w:type="dxa"/>
              <w:end w:w="120" w:type="dxa"/>
            </w:tcMar>
            <w:vAlign w:val="center"/>
          </w:tcPr>
          <w:p>
            <w:pPr>
              <w:spacing w:after="0"/>
            </w:pPr>
            <w:r>
              <w:rPr>
                <w:rFonts w:ascii="Arial" w:hAnsi="Arial"/>
                <w:color w:val="1B292A"/>
                <w:sz w:val="17"/>
              </w:rPr>
              <w:t>103.998</w:t>
            </w:r>
          </w:p>
        </w:tc>
        <w:tc>
          <w:tcPr>
            <w:tcW w:type="dxa" w:w="1996"/>
            <w:tcMar>
              <w:top w:w="90" w:type="dxa"/>
              <w:start w:w="120" w:type="dxa"/>
              <w:bottom w:w="90" w:type="dxa"/>
              <w:end w:w="120" w:type="dxa"/>
            </w:tcMar>
            <w:vAlign w:val="center"/>
          </w:tcPr>
          <w:p>
            <w:pPr>
              <w:spacing w:after="0"/>
            </w:pPr>
            <w:r>
              <w:rPr>
                <w:rFonts w:ascii="Arial" w:hAnsi="Arial"/>
                <w:color w:val="1B292A"/>
                <w:sz w:val="17"/>
              </w:rPr>
              <w:t>44.17</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ALGIROS</w:t>
            </w:r>
          </w:p>
        </w:tc>
        <w:tc>
          <w:tcPr>
            <w:tcW w:type="dxa" w:w="1993"/>
            <w:tcMar>
              <w:top w:w="90" w:type="dxa"/>
              <w:start w:w="120" w:type="dxa"/>
              <w:bottom w:w="90" w:type="dxa"/>
              <w:end w:w="120" w:type="dxa"/>
            </w:tcMar>
            <w:vAlign w:val="center"/>
          </w:tcPr>
          <w:p>
            <w:pPr>
              <w:spacing w:after="0"/>
            </w:pPr>
            <w:r>
              <w:rPr>
                <w:rFonts w:ascii="Arial" w:hAnsi="Arial"/>
                <w:color w:val="1B292A"/>
                <w:sz w:val="17"/>
              </w:rPr>
              <w:t>630</w:t>
            </w:r>
          </w:p>
        </w:tc>
        <w:tc>
          <w:tcPr>
            <w:tcW w:type="dxa" w:w="1993"/>
            <w:tcMar>
              <w:top w:w="90" w:type="dxa"/>
              <w:start w:w="120" w:type="dxa"/>
              <w:bottom w:w="90" w:type="dxa"/>
              <w:end w:w="120" w:type="dxa"/>
            </w:tcMar>
            <w:vAlign w:val="center"/>
          </w:tcPr>
          <w:p>
            <w:pPr>
              <w:spacing w:after="0"/>
            </w:pPr>
            <w:r>
              <w:rPr>
                <w:rFonts w:ascii="Arial" w:hAnsi="Arial"/>
                <w:color w:val="1B292A"/>
                <w:sz w:val="17"/>
              </w:rPr>
              <w:t>2,246,242.0</w:t>
            </w:r>
          </w:p>
        </w:tc>
        <w:tc>
          <w:tcPr>
            <w:tcW w:type="dxa" w:w="1993"/>
            <w:tcMar>
              <w:top w:w="90" w:type="dxa"/>
              <w:start w:w="120" w:type="dxa"/>
              <w:bottom w:w="90" w:type="dxa"/>
              <w:end w:w="120" w:type="dxa"/>
            </w:tcMar>
            <w:vAlign w:val="center"/>
          </w:tcPr>
          <w:p>
            <w:pPr>
              <w:spacing w:after="0"/>
            </w:pPr>
            <w:r>
              <w:rPr>
                <w:rFonts w:ascii="Arial" w:hAnsi="Arial"/>
                <w:color w:val="1B292A"/>
                <w:sz w:val="17"/>
              </w:rPr>
              <w:t>97.308</w:t>
            </w:r>
          </w:p>
        </w:tc>
        <w:tc>
          <w:tcPr>
            <w:tcW w:type="dxa" w:w="1996"/>
            <w:tcMar>
              <w:top w:w="90" w:type="dxa"/>
              <w:start w:w="120" w:type="dxa"/>
              <w:bottom w:w="90" w:type="dxa"/>
              <w:end w:w="120" w:type="dxa"/>
            </w:tcMar>
            <w:vAlign w:val="center"/>
          </w:tcPr>
          <w:p>
            <w:pPr>
              <w:spacing w:after="0"/>
            </w:pPr>
            <w:r>
              <w:rPr>
                <w:rFonts w:ascii="Arial" w:hAnsi="Arial"/>
                <w:color w:val="1B292A"/>
                <w:sz w:val="17"/>
              </w:rPr>
              <w:t>43.32</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CAMPANAR</w:t>
            </w:r>
          </w:p>
        </w:tc>
        <w:tc>
          <w:tcPr>
            <w:tcW w:type="dxa" w:w="1993"/>
            <w:tcMar>
              <w:top w:w="90" w:type="dxa"/>
              <w:start w:w="120" w:type="dxa"/>
              <w:bottom w:w="90" w:type="dxa"/>
              <w:end w:w="120" w:type="dxa"/>
            </w:tcMar>
            <w:vAlign w:val="center"/>
          </w:tcPr>
          <w:p>
            <w:pPr>
              <w:spacing w:after="0"/>
            </w:pPr>
            <w:r>
              <w:rPr>
                <w:rFonts w:ascii="Arial" w:hAnsi="Arial"/>
                <w:color w:val="1B292A"/>
                <w:sz w:val="17"/>
              </w:rPr>
              <w:t>688</w:t>
            </w:r>
          </w:p>
        </w:tc>
        <w:tc>
          <w:tcPr>
            <w:tcW w:type="dxa" w:w="1993"/>
            <w:tcMar>
              <w:top w:w="90" w:type="dxa"/>
              <w:start w:w="120" w:type="dxa"/>
              <w:bottom w:w="90" w:type="dxa"/>
              <w:end w:w="120" w:type="dxa"/>
            </w:tcMar>
            <w:vAlign w:val="center"/>
          </w:tcPr>
          <w:p>
            <w:pPr>
              <w:spacing w:after="0"/>
            </w:pPr>
            <w:r>
              <w:rPr>
                <w:rFonts w:ascii="Arial" w:hAnsi="Arial"/>
                <w:color w:val="1B292A"/>
                <w:sz w:val="17"/>
              </w:rPr>
              <w:t>2,246,628.5</w:t>
            </w:r>
          </w:p>
        </w:tc>
        <w:tc>
          <w:tcPr>
            <w:tcW w:type="dxa" w:w="1993"/>
            <w:tcMar>
              <w:top w:w="90" w:type="dxa"/>
              <w:start w:w="120" w:type="dxa"/>
              <w:bottom w:w="90" w:type="dxa"/>
              <w:end w:w="120" w:type="dxa"/>
            </w:tcMar>
            <w:vAlign w:val="center"/>
          </w:tcPr>
          <w:p>
            <w:pPr>
              <w:spacing w:after="0"/>
            </w:pPr>
            <w:r>
              <w:rPr>
                <w:rFonts w:ascii="Arial" w:hAnsi="Arial"/>
                <w:color w:val="1B292A"/>
                <w:sz w:val="17"/>
              </w:rPr>
              <w:t>96.090</w:t>
            </w:r>
          </w:p>
        </w:tc>
        <w:tc>
          <w:tcPr>
            <w:tcW w:type="dxa" w:w="1996"/>
            <w:tcMar>
              <w:top w:w="90" w:type="dxa"/>
              <w:start w:w="120" w:type="dxa"/>
              <w:bottom w:w="90" w:type="dxa"/>
              <w:end w:w="120" w:type="dxa"/>
            </w:tcMar>
            <w:vAlign w:val="center"/>
          </w:tcPr>
          <w:p>
            <w:pPr>
              <w:spacing w:after="0"/>
            </w:pPr>
            <w:r>
              <w:rPr>
                <w:rFonts w:ascii="Arial" w:hAnsi="Arial"/>
                <w:color w:val="1B292A"/>
                <w:sz w:val="17"/>
              </w:rPr>
              <w:t>42.77</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EL PLA DEL REAL</w:t>
            </w:r>
          </w:p>
        </w:tc>
        <w:tc>
          <w:tcPr>
            <w:tcW w:type="dxa" w:w="1993"/>
            <w:tcMar>
              <w:top w:w="90" w:type="dxa"/>
              <w:start w:w="120" w:type="dxa"/>
              <w:bottom w:w="90" w:type="dxa"/>
              <w:end w:w="120" w:type="dxa"/>
            </w:tcMar>
            <w:vAlign w:val="center"/>
          </w:tcPr>
          <w:p>
            <w:pPr>
              <w:spacing w:after="0"/>
            </w:pPr>
            <w:r>
              <w:rPr>
                <w:rFonts w:ascii="Arial" w:hAnsi="Arial"/>
                <w:color w:val="1B292A"/>
                <w:sz w:val="17"/>
              </w:rPr>
              <w:t>539</w:t>
            </w:r>
          </w:p>
        </w:tc>
        <w:tc>
          <w:tcPr>
            <w:tcW w:type="dxa" w:w="1993"/>
            <w:tcMar>
              <w:top w:w="90" w:type="dxa"/>
              <w:start w:w="120" w:type="dxa"/>
              <w:bottom w:w="90" w:type="dxa"/>
              <w:end w:w="120" w:type="dxa"/>
            </w:tcMar>
            <w:vAlign w:val="center"/>
          </w:tcPr>
          <w:p>
            <w:pPr>
              <w:spacing w:after="0"/>
            </w:pPr>
            <w:r>
              <w:rPr>
                <w:rFonts w:ascii="Arial" w:hAnsi="Arial"/>
                <w:color w:val="1B292A"/>
                <w:sz w:val="17"/>
              </w:rPr>
              <w:t>2,176,879.5</w:t>
            </w:r>
          </w:p>
        </w:tc>
        <w:tc>
          <w:tcPr>
            <w:tcW w:type="dxa" w:w="1993"/>
            <w:tcMar>
              <w:top w:w="90" w:type="dxa"/>
              <w:start w:w="120" w:type="dxa"/>
              <w:bottom w:w="90" w:type="dxa"/>
              <w:end w:w="120" w:type="dxa"/>
            </w:tcMar>
            <w:vAlign w:val="center"/>
          </w:tcPr>
          <w:p>
            <w:pPr>
              <w:spacing w:after="0"/>
            </w:pPr>
            <w:r>
              <w:rPr>
                <w:rFonts w:ascii="Arial" w:hAnsi="Arial"/>
                <w:color w:val="1B292A"/>
                <w:sz w:val="17"/>
              </w:rPr>
              <w:t>90.933</w:t>
            </w:r>
          </w:p>
        </w:tc>
        <w:tc>
          <w:tcPr>
            <w:tcW w:type="dxa" w:w="1996"/>
            <w:tcMar>
              <w:top w:w="90" w:type="dxa"/>
              <w:start w:w="120" w:type="dxa"/>
              <w:bottom w:w="90" w:type="dxa"/>
              <w:end w:w="120" w:type="dxa"/>
            </w:tcMar>
            <w:vAlign w:val="center"/>
          </w:tcPr>
          <w:p>
            <w:pPr>
              <w:spacing w:after="0"/>
            </w:pPr>
            <w:r>
              <w:rPr>
                <w:rFonts w:ascii="Arial" w:hAnsi="Arial"/>
                <w:color w:val="1B292A"/>
                <w:sz w:val="17"/>
              </w:rPr>
              <w:t>41.77</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POBLATS DEL SUD</w:t>
            </w:r>
          </w:p>
        </w:tc>
        <w:tc>
          <w:tcPr>
            <w:tcW w:type="dxa" w:w="1993"/>
            <w:tcMar>
              <w:top w:w="90" w:type="dxa"/>
              <w:start w:w="120" w:type="dxa"/>
              <w:bottom w:w="90" w:type="dxa"/>
              <w:end w:w="120" w:type="dxa"/>
            </w:tcMar>
            <w:vAlign w:val="center"/>
          </w:tcPr>
          <w:p>
            <w:pPr>
              <w:spacing w:after="0"/>
            </w:pPr>
            <w:r>
              <w:rPr>
                <w:rFonts w:ascii="Arial" w:hAnsi="Arial"/>
                <w:color w:val="1B292A"/>
                <w:sz w:val="17"/>
              </w:rPr>
              <w:t>1,674</w:t>
            </w:r>
          </w:p>
        </w:tc>
        <w:tc>
          <w:tcPr>
            <w:tcW w:type="dxa" w:w="1993"/>
            <w:tcMar>
              <w:top w:w="90" w:type="dxa"/>
              <w:start w:w="120" w:type="dxa"/>
              <w:bottom w:w="90" w:type="dxa"/>
              <w:end w:w="120" w:type="dxa"/>
            </w:tcMar>
            <w:vAlign w:val="center"/>
          </w:tcPr>
          <w:p>
            <w:pPr>
              <w:spacing w:after="0"/>
            </w:pPr>
            <w:r>
              <w:rPr>
                <w:rFonts w:ascii="Arial" w:hAnsi="Arial"/>
                <w:color w:val="1B292A"/>
                <w:sz w:val="17"/>
              </w:rPr>
              <w:t>2,002,802.3</w:t>
            </w:r>
          </w:p>
        </w:tc>
        <w:tc>
          <w:tcPr>
            <w:tcW w:type="dxa" w:w="1993"/>
            <w:tcMar>
              <w:top w:w="90" w:type="dxa"/>
              <w:start w:w="120" w:type="dxa"/>
              <w:bottom w:w="90" w:type="dxa"/>
              <w:end w:w="120" w:type="dxa"/>
            </w:tcMar>
            <w:vAlign w:val="center"/>
          </w:tcPr>
          <w:p>
            <w:pPr>
              <w:spacing w:after="0"/>
            </w:pPr>
            <w:r>
              <w:rPr>
                <w:rFonts w:ascii="Arial" w:hAnsi="Arial"/>
                <w:color w:val="1B292A"/>
                <w:sz w:val="17"/>
              </w:rPr>
              <w:t>83.794</w:t>
            </w:r>
          </w:p>
        </w:tc>
        <w:tc>
          <w:tcPr>
            <w:tcW w:type="dxa" w:w="1996"/>
            <w:tcMar>
              <w:top w:w="90" w:type="dxa"/>
              <w:start w:w="120" w:type="dxa"/>
              <w:bottom w:w="90" w:type="dxa"/>
              <w:end w:w="120" w:type="dxa"/>
            </w:tcMar>
            <w:vAlign w:val="center"/>
          </w:tcPr>
          <w:p>
            <w:pPr>
              <w:spacing w:after="0"/>
            </w:pPr>
            <w:r>
              <w:rPr>
                <w:rFonts w:ascii="Arial" w:hAnsi="Arial"/>
                <w:color w:val="1B292A"/>
                <w:sz w:val="17"/>
              </w:rPr>
              <w:t>41.84</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BENIMACLET</w:t>
            </w:r>
          </w:p>
        </w:tc>
        <w:tc>
          <w:tcPr>
            <w:tcW w:type="dxa" w:w="1993"/>
            <w:tcMar>
              <w:top w:w="90" w:type="dxa"/>
              <w:start w:w="120" w:type="dxa"/>
              <w:bottom w:w="90" w:type="dxa"/>
              <w:end w:w="120" w:type="dxa"/>
            </w:tcMar>
            <w:vAlign w:val="center"/>
          </w:tcPr>
          <w:p>
            <w:pPr>
              <w:spacing w:after="0"/>
            </w:pPr>
            <w:r>
              <w:rPr>
                <w:rFonts w:ascii="Arial" w:hAnsi="Arial"/>
                <w:color w:val="1B292A"/>
                <w:sz w:val="17"/>
              </w:rPr>
              <w:t>950</w:t>
            </w:r>
          </w:p>
        </w:tc>
        <w:tc>
          <w:tcPr>
            <w:tcW w:type="dxa" w:w="1993"/>
            <w:tcMar>
              <w:top w:w="90" w:type="dxa"/>
              <w:start w:w="120" w:type="dxa"/>
              <w:bottom w:w="90" w:type="dxa"/>
              <w:end w:w="120" w:type="dxa"/>
            </w:tcMar>
            <w:vAlign w:val="center"/>
          </w:tcPr>
          <w:p>
            <w:pPr>
              <w:spacing w:after="0"/>
            </w:pPr>
            <w:r>
              <w:rPr>
                <w:rFonts w:ascii="Arial" w:hAnsi="Arial"/>
                <w:color w:val="1B292A"/>
                <w:sz w:val="17"/>
              </w:rPr>
              <w:t>1,728,044.2</w:t>
            </w:r>
          </w:p>
        </w:tc>
        <w:tc>
          <w:tcPr>
            <w:tcW w:type="dxa" w:w="1993"/>
            <w:tcMar>
              <w:top w:w="90" w:type="dxa"/>
              <w:start w:w="120" w:type="dxa"/>
              <w:bottom w:w="90" w:type="dxa"/>
              <w:end w:w="120" w:type="dxa"/>
            </w:tcMar>
            <w:vAlign w:val="center"/>
          </w:tcPr>
          <w:p>
            <w:pPr>
              <w:spacing w:after="0"/>
            </w:pPr>
            <w:r>
              <w:rPr>
                <w:rFonts w:ascii="Arial" w:hAnsi="Arial"/>
                <w:color w:val="1B292A"/>
                <w:sz w:val="17"/>
              </w:rPr>
              <w:t>74.437</w:t>
            </w:r>
          </w:p>
        </w:tc>
        <w:tc>
          <w:tcPr>
            <w:tcW w:type="dxa" w:w="1996"/>
            <w:tcMar>
              <w:top w:w="90" w:type="dxa"/>
              <w:start w:w="120" w:type="dxa"/>
              <w:bottom w:w="90" w:type="dxa"/>
              <w:end w:w="120" w:type="dxa"/>
            </w:tcMar>
            <w:vAlign w:val="center"/>
          </w:tcPr>
          <w:p>
            <w:pPr>
              <w:spacing w:after="0"/>
            </w:pPr>
            <w:r>
              <w:rPr>
                <w:rFonts w:ascii="Arial" w:hAnsi="Arial"/>
                <w:color w:val="1B292A"/>
                <w:sz w:val="17"/>
              </w:rPr>
              <w:t>43.08</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POBLATS DE L'OEST</w:t>
            </w:r>
          </w:p>
        </w:tc>
        <w:tc>
          <w:tcPr>
            <w:tcW w:type="dxa" w:w="1993"/>
            <w:tcMar>
              <w:top w:w="90" w:type="dxa"/>
              <w:start w:w="120" w:type="dxa"/>
              <w:bottom w:w="90" w:type="dxa"/>
              <w:end w:w="120" w:type="dxa"/>
            </w:tcMar>
            <w:vAlign w:val="center"/>
          </w:tcPr>
          <w:p>
            <w:pPr>
              <w:spacing w:after="0"/>
            </w:pPr>
            <w:r>
              <w:rPr>
                <w:rFonts w:ascii="Arial" w:hAnsi="Arial"/>
                <w:color w:val="1B292A"/>
                <w:sz w:val="17"/>
              </w:rPr>
              <w:t>1,164</w:t>
            </w:r>
          </w:p>
        </w:tc>
        <w:tc>
          <w:tcPr>
            <w:tcW w:type="dxa" w:w="1993"/>
            <w:tcMar>
              <w:top w:w="90" w:type="dxa"/>
              <w:start w:w="120" w:type="dxa"/>
              <w:bottom w:w="90" w:type="dxa"/>
              <w:end w:w="120" w:type="dxa"/>
            </w:tcMar>
            <w:vAlign w:val="center"/>
          </w:tcPr>
          <w:p>
            <w:pPr>
              <w:spacing w:after="0"/>
            </w:pPr>
            <w:r>
              <w:rPr>
                <w:rFonts w:ascii="Arial" w:hAnsi="Arial"/>
                <w:color w:val="1B292A"/>
                <w:sz w:val="17"/>
              </w:rPr>
              <w:t>955,900.8</w:t>
            </w:r>
          </w:p>
        </w:tc>
        <w:tc>
          <w:tcPr>
            <w:tcW w:type="dxa" w:w="1993"/>
            <w:tcMar>
              <w:top w:w="90" w:type="dxa"/>
              <w:start w:w="120" w:type="dxa"/>
              <w:bottom w:w="90" w:type="dxa"/>
              <w:end w:w="120" w:type="dxa"/>
            </w:tcMar>
            <w:vAlign w:val="center"/>
          </w:tcPr>
          <w:p>
            <w:pPr>
              <w:spacing w:after="0"/>
            </w:pPr>
            <w:r>
              <w:rPr>
                <w:rFonts w:ascii="Arial" w:hAnsi="Arial"/>
                <w:color w:val="1B292A"/>
                <w:sz w:val="17"/>
              </w:rPr>
              <w:t>41.509</w:t>
            </w:r>
          </w:p>
        </w:tc>
        <w:tc>
          <w:tcPr>
            <w:tcW w:type="dxa" w:w="1996"/>
            <w:tcMar>
              <w:top w:w="90" w:type="dxa"/>
              <w:start w:w="120" w:type="dxa"/>
              <w:bottom w:w="90" w:type="dxa"/>
              <w:end w:w="120" w:type="dxa"/>
            </w:tcMar>
            <w:vAlign w:val="center"/>
          </w:tcPr>
          <w:p>
            <w:pPr>
              <w:spacing w:after="0"/>
            </w:pPr>
            <w:r>
              <w:rPr>
                <w:rFonts w:ascii="Arial" w:hAnsi="Arial"/>
                <w:color w:val="1B292A"/>
                <w:sz w:val="17"/>
              </w:rPr>
              <w:t>43.42</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POBLATS DEL NORD</w:t>
            </w:r>
          </w:p>
        </w:tc>
        <w:tc>
          <w:tcPr>
            <w:tcW w:type="dxa" w:w="1993"/>
            <w:tcMar>
              <w:top w:w="90" w:type="dxa"/>
              <w:start w:w="120" w:type="dxa"/>
              <w:bottom w:w="90" w:type="dxa"/>
              <w:end w:w="120" w:type="dxa"/>
            </w:tcMar>
            <w:vAlign w:val="center"/>
          </w:tcPr>
          <w:p>
            <w:pPr>
              <w:spacing w:after="0"/>
            </w:pPr>
            <w:r>
              <w:rPr>
                <w:rFonts w:ascii="Arial" w:hAnsi="Arial"/>
                <w:color w:val="1B292A"/>
                <w:sz w:val="17"/>
              </w:rPr>
              <w:t>791</w:t>
            </w:r>
          </w:p>
        </w:tc>
        <w:tc>
          <w:tcPr>
            <w:tcW w:type="dxa" w:w="1993"/>
            <w:tcMar>
              <w:top w:w="90" w:type="dxa"/>
              <w:start w:w="120" w:type="dxa"/>
              <w:bottom w:w="90" w:type="dxa"/>
              <w:end w:w="120" w:type="dxa"/>
            </w:tcMar>
            <w:vAlign w:val="center"/>
          </w:tcPr>
          <w:p>
            <w:pPr>
              <w:spacing w:after="0"/>
            </w:pPr>
            <w:r>
              <w:rPr>
                <w:rFonts w:ascii="Arial" w:hAnsi="Arial"/>
                <w:color w:val="1B292A"/>
                <w:sz w:val="17"/>
              </w:rPr>
              <w:t>638,947.1</w:t>
            </w:r>
          </w:p>
        </w:tc>
        <w:tc>
          <w:tcPr>
            <w:tcW w:type="dxa" w:w="1993"/>
            <w:tcMar>
              <w:top w:w="90" w:type="dxa"/>
              <w:start w:w="120" w:type="dxa"/>
              <w:bottom w:w="90" w:type="dxa"/>
              <w:end w:w="120" w:type="dxa"/>
            </w:tcMar>
            <w:vAlign w:val="center"/>
          </w:tcPr>
          <w:p>
            <w:pPr>
              <w:spacing w:after="0"/>
            </w:pPr>
            <w:r>
              <w:rPr>
                <w:rFonts w:ascii="Arial" w:hAnsi="Arial"/>
                <w:color w:val="1B292A"/>
                <w:sz w:val="17"/>
              </w:rPr>
              <w:t>26.810</w:t>
            </w:r>
          </w:p>
        </w:tc>
        <w:tc>
          <w:tcPr>
            <w:tcW w:type="dxa" w:w="1996"/>
            <w:tcMar>
              <w:top w:w="90" w:type="dxa"/>
              <w:start w:w="120" w:type="dxa"/>
              <w:bottom w:w="90" w:type="dxa"/>
              <w:end w:w="120" w:type="dxa"/>
            </w:tcMar>
            <w:vAlign w:val="center"/>
          </w:tcPr>
          <w:p>
            <w:pPr>
              <w:spacing w:after="0"/>
            </w:pPr>
            <w:r>
              <w:rPr>
                <w:rFonts w:ascii="Arial" w:hAnsi="Arial"/>
                <w:color w:val="1B292A"/>
                <w:sz w:val="17"/>
              </w:rPr>
              <w:t>41.96</w:t>
            </w:r>
          </w:p>
        </w:tc>
      </w:tr>
    </w:tbl>
    <w:p>
      <w:pPr>
        <w:spacing w:after="0"/>
      </w:pPr>
    </w:p>
    <w:p>
      <w:r>
        <w:br w:type="page"/>
      </w:r>
    </w:p>
    <w:p>
      <w:pPr>
        <w:pStyle w:val="Heading1"/>
      </w:pPr>
      <w:r>
        <w:rPr>
          <w:rFonts w:ascii="Arial" w:hAnsi="Arial"/>
          <w:b/>
          <w:color w:val="173F45"/>
          <w:sz w:val="36"/>
        </w:rPr>
        <w:t>14. Spatial evidence and exports</w:t>
      </w:r>
    </w:p>
    <w:p>
      <w:r>
        <w:rPr>
          <w:rFonts w:ascii="Georgia" w:hAnsi="Georgia"/>
          <w:color w:val="1B292A"/>
          <w:sz w:val="21"/>
        </w:rPr>
        <w:t>The final GeoPackage passed the accepted export checks for CRS, feature count, one feature per latest building reference, null-energy representation of failed/excluded records, context fields, derived per-person/per-dwelling fields, cluster/district layers and supplied QGIS style [8].</w:t>
      </w:r>
    </w:p>
    <w:p>
      <w:r>
        <w:rPr>
          <w:rFonts w:ascii="Georgia" w:hAnsi="Georgia"/>
          <w:color w:val="1B292A"/>
          <w:sz w:val="21"/>
        </w:rPr>
        <w:t>The heat map is a publication-oriented image. Its caption identifies run, annual period, metric, denominator, coverage, colour-scale clipping and the simulated-not-measured boundary. Buildings without results will remain visible in a separate status treatment. Distant valid geometries will not be silently cropped from every view.</w:t>
      </w:r>
    </w:p>
    <w:p>
      <w:r>
        <w:rPr>
          <w:rFonts w:ascii="Georgia" w:hAnsi="Georgia"/>
          <w:color w:val="1B292A"/>
          <w:sz w:val="21"/>
        </w:rPr>
        <w:t>The Building CSV is the authoritative row-level analysis export after schema correction. Final acceptance compared its headers and latest-record contents with the grouped User Guide field appendix. Absolute local paths will not appear in the curated publication schema.</w:t>
      </w:r>
    </w:p>
    <w:p>
      <w:pPr>
        <w:pStyle w:val="Heading2"/>
      </w:pPr>
      <w:r>
        <w:rPr>
          <w:rFonts w:ascii="Arial" w:hAnsi="Arial"/>
          <w:b/>
          <w:color w:val="1F5F67"/>
          <w:sz w:val="28"/>
        </w:rPr>
        <w:t>14.1 Export integrity</w:t>
      </w:r>
    </w:p>
    <w:p>
      <w:r>
        <w:rPr>
          <w:rFonts w:ascii="Georgia" w:hAnsi="Georgia"/>
          <w:color w:val="1B292A"/>
          <w:sz w:val="21"/>
        </w:rPr>
        <w:t>Every accepted DOCX/PDF/HTML report, CSV, GeoPackage, heat map and evidence manifest has a recorded SHA-256 in the publication manifest. Signed packages contain an Ed25519 manifest. Hash/signature verification establishes integrity, not scientific validity.</w:t>
      </w:r>
    </w:p>
    <w:p>
      <w:pPr>
        <w:pStyle w:val="Heading2"/>
      </w:pPr>
      <w:r>
        <w:rPr>
          <w:rFonts w:ascii="Arial" w:hAnsi="Arial"/>
          <w:b/>
          <w:color w:val="1F5F67"/>
          <w:sz w:val="28"/>
        </w:rPr>
        <w:t>14.2 Accepted artifact hashes</w:t>
      </w:r>
    </w:p>
    <w:p>
      <w:pPr>
        <w:pStyle w:val="Caption"/>
        <w:keepNext/>
        <w:spacing w:before="80" w:after="80"/>
      </w:pPr>
      <w:r>
        <w:rPr>
          <w:rFonts w:ascii="Arial" w:hAnsi="Arial"/>
          <w:b/>
          <w:color w:val="5B696A"/>
          <w:sz w:val="17"/>
        </w:rPr>
        <w:t>Table 14. Accepted artifact hashes</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Accepted artifact</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SHA-256</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aggregate.json</w:t>
            </w:r>
          </w:p>
        </w:tc>
        <w:tc>
          <w:tcPr>
            <w:tcW w:type="dxa" w:w="7375"/>
            <w:tcMar>
              <w:top w:w="90" w:type="dxa"/>
              <w:start w:w="120" w:type="dxa"/>
              <w:bottom w:w="90" w:type="dxa"/>
              <w:end w:w="120" w:type="dxa"/>
            </w:tcMar>
            <w:vAlign w:val="center"/>
          </w:tcPr>
          <w:p>
            <w:pPr>
              <w:spacing w:after="0"/>
            </w:pPr>
            <w:r>
              <w:rPr>
                <w:rFonts w:ascii="Courier New" w:hAnsi="Courier New"/>
                <w:color w:val="173F45"/>
                <w:sz w:val="17"/>
              </w:rPr>
              <w:t>d4dee63a1e10f2ce16c8ac57b174f21eecd91a41abfa20fa1eb42bdf0c585f89</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buildings.csv</w:t>
            </w:r>
          </w:p>
        </w:tc>
        <w:tc>
          <w:tcPr>
            <w:tcW w:type="dxa" w:w="7375"/>
            <w:tcMar>
              <w:top w:w="90" w:type="dxa"/>
              <w:start w:w="120" w:type="dxa"/>
              <w:bottom w:w="90" w:type="dxa"/>
              <w:end w:w="120" w:type="dxa"/>
            </w:tcMar>
            <w:vAlign w:val="center"/>
          </w:tcPr>
          <w:p>
            <w:pPr>
              <w:spacing w:after="0"/>
            </w:pPr>
            <w:r>
              <w:rPr>
                <w:rFonts w:ascii="Courier New" w:hAnsi="Courier New"/>
                <w:color w:val="173F45"/>
                <w:sz w:val="17"/>
              </w:rPr>
              <w:t>9ae87afcfb41bda199002cf55d708c9450dc37b2df318c624a55d536cf9f5897</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buildings_dictionary.csv</w:t>
            </w:r>
          </w:p>
        </w:tc>
        <w:tc>
          <w:tcPr>
            <w:tcW w:type="dxa" w:w="7375"/>
            <w:tcMar>
              <w:top w:w="90" w:type="dxa"/>
              <w:start w:w="120" w:type="dxa"/>
              <w:bottom w:w="90" w:type="dxa"/>
              <w:end w:w="120" w:type="dxa"/>
            </w:tcMar>
            <w:vAlign w:val="center"/>
          </w:tcPr>
          <w:p>
            <w:pPr>
              <w:spacing w:after="0"/>
            </w:pPr>
            <w:r>
              <w:rPr>
                <w:rFonts w:ascii="Courier New" w:hAnsi="Courier New"/>
                <w:color w:val="173F45"/>
                <w:sz w:val="17"/>
              </w:rPr>
              <w:t>3b284be41bba7615de38e8a910c79ef0f61877d667820ed9c9200327ec5e2778</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ledger.jsonl</w:t>
            </w:r>
          </w:p>
        </w:tc>
        <w:tc>
          <w:tcPr>
            <w:tcW w:type="dxa" w:w="7375"/>
            <w:tcMar>
              <w:top w:w="90" w:type="dxa"/>
              <w:start w:w="120" w:type="dxa"/>
              <w:bottom w:w="90" w:type="dxa"/>
              <w:end w:w="120" w:type="dxa"/>
            </w:tcMar>
            <w:vAlign w:val="center"/>
          </w:tcPr>
          <w:p>
            <w:pPr>
              <w:spacing w:after="0"/>
            </w:pPr>
            <w:r>
              <w:rPr>
                <w:rFonts w:ascii="Courier New" w:hAnsi="Courier New"/>
                <w:color w:val="173F45"/>
                <w:sz w:val="17"/>
              </w:rPr>
              <w:t>244e0f1ff407e54f3edaab347537ce60a3fdb9d43d496dea396dea547c876338</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results_buildings.gpkg</w:t>
            </w:r>
          </w:p>
        </w:tc>
        <w:tc>
          <w:tcPr>
            <w:tcW w:type="dxa" w:w="7375"/>
            <w:tcMar>
              <w:top w:w="90" w:type="dxa"/>
              <w:start w:w="120" w:type="dxa"/>
              <w:bottom w:w="90" w:type="dxa"/>
              <w:end w:w="120" w:type="dxa"/>
            </w:tcMar>
            <w:vAlign w:val="center"/>
          </w:tcPr>
          <w:p>
            <w:pPr>
              <w:spacing w:after="0"/>
            </w:pPr>
            <w:r>
              <w:rPr>
                <w:rFonts w:ascii="Courier New" w:hAnsi="Courier New"/>
                <w:color w:val="173F45"/>
                <w:sz w:val="17"/>
              </w:rPr>
              <w:t>34c235c8b04ac648fb75a9aeeb955cb3d3ffa44d871e6a51e455085a36f43da2</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results_buildings.qml</w:t>
            </w:r>
          </w:p>
        </w:tc>
        <w:tc>
          <w:tcPr>
            <w:tcW w:type="dxa" w:w="7375"/>
            <w:tcMar>
              <w:top w:w="90" w:type="dxa"/>
              <w:start w:w="120" w:type="dxa"/>
              <w:bottom w:w="90" w:type="dxa"/>
              <w:end w:w="120" w:type="dxa"/>
            </w:tcMar>
            <w:vAlign w:val="center"/>
          </w:tcPr>
          <w:p>
            <w:pPr>
              <w:spacing w:after="0"/>
            </w:pPr>
            <w:r>
              <w:rPr>
                <w:rFonts w:ascii="Courier New" w:hAnsi="Courier New"/>
                <w:color w:val="173F45"/>
                <w:sz w:val="17"/>
              </w:rPr>
              <w:t>1410137416eac5024aac6e27c583a4b6b1eb2f7d4badba51ad31ed0c0268c422</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results_heatmap.json</w:t>
            </w:r>
          </w:p>
        </w:tc>
        <w:tc>
          <w:tcPr>
            <w:tcW w:type="dxa" w:w="7375"/>
            <w:tcMar>
              <w:top w:w="90" w:type="dxa"/>
              <w:start w:w="120" w:type="dxa"/>
              <w:bottom w:w="90" w:type="dxa"/>
              <w:end w:w="120" w:type="dxa"/>
            </w:tcMar>
            <w:vAlign w:val="center"/>
          </w:tcPr>
          <w:p>
            <w:pPr>
              <w:spacing w:after="0"/>
            </w:pPr>
            <w:r>
              <w:rPr>
                <w:rFonts w:ascii="Courier New" w:hAnsi="Courier New"/>
                <w:color w:val="173F45"/>
                <w:sz w:val="17"/>
              </w:rPr>
              <w:t>99ba02a400aa10c113f323afaa7b0db0144164cb048169dec3323373d938ced5</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results_heatmap.png</w:t>
            </w:r>
          </w:p>
        </w:tc>
        <w:tc>
          <w:tcPr>
            <w:tcW w:type="dxa" w:w="7375"/>
            <w:tcMar>
              <w:top w:w="90" w:type="dxa"/>
              <w:start w:w="120" w:type="dxa"/>
              <w:bottom w:w="90" w:type="dxa"/>
              <w:end w:w="120" w:type="dxa"/>
            </w:tcMar>
            <w:vAlign w:val="center"/>
          </w:tcPr>
          <w:p>
            <w:pPr>
              <w:spacing w:after="0"/>
            </w:pPr>
            <w:r>
              <w:rPr>
                <w:rFonts w:ascii="Courier New" w:hAnsi="Courier New"/>
                <w:color w:val="173F45"/>
                <w:sz w:val="17"/>
              </w:rPr>
              <w:t>9c92626a8868be3b4c34b0348507c5299f3b68cd0a68b6c2b4615bbf4fb39e53</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run_config.json</w:t>
            </w:r>
          </w:p>
        </w:tc>
        <w:tc>
          <w:tcPr>
            <w:tcW w:type="dxa" w:w="7375"/>
            <w:tcMar>
              <w:top w:w="90" w:type="dxa"/>
              <w:start w:w="120" w:type="dxa"/>
              <w:bottom w:w="90" w:type="dxa"/>
              <w:end w:w="120" w:type="dxa"/>
            </w:tcMar>
            <w:vAlign w:val="center"/>
          </w:tcPr>
          <w:p>
            <w:pPr>
              <w:spacing w:after="0"/>
            </w:pPr>
            <w:r>
              <w:rPr>
                <w:rFonts w:ascii="Courier New" w:hAnsi="Courier New"/>
                <w:color w:val="173F45"/>
                <w:sz w:val="17"/>
              </w:rPr>
              <w:t>30f5da100bd69ab03f821f94241c6b6ebd38923c4b4973228355d0f66c5e7f61</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run_process.json</w:t>
            </w:r>
          </w:p>
        </w:tc>
        <w:tc>
          <w:tcPr>
            <w:tcW w:type="dxa" w:w="7375"/>
            <w:tcMar>
              <w:top w:w="90" w:type="dxa"/>
              <w:start w:w="120" w:type="dxa"/>
              <w:bottom w:w="90" w:type="dxa"/>
              <w:end w:w="120" w:type="dxa"/>
            </w:tcMar>
            <w:vAlign w:val="center"/>
          </w:tcPr>
          <w:p>
            <w:pPr>
              <w:spacing w:after="0"/>
            </w:pPr>
            <w:r>
              <w:rPr>
                <w:rFonts w:ascii="Courier New" w:hAnsi="Courier New"/>
                <w:color w:val="173F45"/>
                <w:sz w:val="17"/>
              </w:rPr>
              <w:t>4b13c6610bc97d2b157646b876692f1c6d46ace922a0866b000c9c26bc8bcf63</w:t>
            </w:r>
          </w:p>
        </w:tc>
      </w:tr>
      <w:tr>
        <w:trPr>
          <w:cantSplit/>
        </w:trPr>
        <w:tc>
          <w:tcPr>
            <w:tcW w:type="dxa" w:w="2800"/>
            <w:tcMar>
              <w:top w:w="90" w:type="dxa"/>
              <w:start w:w="120" w:type="dxa"/>
              <w:bottom w:w="90" w:type="dxa"/>
              <w:end w:w="120" w:type="dxa"/>
            </w:tcMar>
            <w:vAlign w:val="center"/>
          </w:tcPr>
          <w:p>
            <w:pPr>
              <w:spacing w:after="0"/>
            </w:pPr>
            <w:r>
              <w:rPr>
                <w:rFonts w:ascii="Arial" w:hAnsi="Arial"/>
                <w:color w:val="1B292A"/>
                <w:sz w:val="18"/>
              </w:rPr>
              <w:t>valencia-publication-evidence.json</w:t>
            </w:r>
          </w:p>
        </w:tc>
        <w:tc>
          <w:tcPr>
            <w:tcW w:type="dxa" w:w="7375"/>
            <w:tcMar>
              <w:top w:w="90" w:type="dxa"/>
              <w:start w:w="120" w:type="dxa"/>
              <w:bottom w:w="90" w:type="dxa"/>
              <w:end w:w="120" w:type="dxa"/>
            </w:tcMar>
            <w:vAlign w:val="center"/>
          </w:tcPr>
          <w:p>
            <w:pPr>
              <w:spacing w:after="0"/>
            </w:pPr>
            <w:r>
              <w:rPr>
                <w:rFonts w:ascii="Courier New" w:hAnsi="Courier New"/>
                <w:color w:val="173F45"/>
                <w:sz w:val="17"/>
              </w:rPr>
              <w:t>6bfc1cf434e591ccc194be3fc4c8b042ffe3bcb2c5798b6d3af1ea3b58b12793</w:t>
            </w:r>
          </w:p>
        </w:tc>
      </w:tr>
    </w:tbl>
    <w:p>
      <w:pPr>
        <w:spacing w:after="0"/>
      </w:pPr>
    </w:p>
    <w:p>
      <w:r>
        <w:br w:type="page"/>
      </w:r>
    </w:p>
    <w:p>
      <w:pPr>
        <w:pStyle w:val="Heading1"/>
      </w:pPr>
      <w:r>
        <w:rPr>
          <w:rFonts w:ascii="Arial" w:hAnsi="Arial"/>
          <w:b/>
          <w:color w:val="173F45"/>
          <w:sz w:val="36"/>
        </w:rPr>
        <w:t>15. Reproducible representative-building selection</w:t>
      </w:r>
    </w:p>
    <w:p>
      <w:r>
        <w:rPr>
          <w:rFonts w:ascii="Georgia" w:hAnsi="Georgia"/>
          <w:color w:val="1B292A"/>
          <w:sz w:val="21"/>
        </w:rPr>
        <w:t>This edition selects up to six references by deterministic rules applied to settled latest records. Duplicate selections are removed in the order below and the exact algorithm, source hash and selected references are preserved in the evidence manifest.</w:t>
      </w:r>
    </w:p>
    <w:p>
      <w:pPr>
        <w:keepLines/>
        <w:spacing w:after="60"/>
        <w:ind w:left="369" w:hanging="255"/>
      </w:pPr>
      <w:r>
        <w:rPr>
          <w:rFonts w:ascii="Georgia" w:hAnsi="Georgia"/>
          <w:color w:val="1B292A"/>
          <w:sz w:val="21"/>
        </w:rPr>
        <w:t>1.</w:t>
        <w:tab/>
      </w:r>
      <w:r>
        <w:rPr>
          <w:rFonts w:ascii="Georgia" w:hAnsi="Georgia"/>
          <w:color w:val="1B292A"/>
          <w:sz w:val="21"/>
        </w:rPr>
        <w:t>Successful building nearest the median valid total-site intensity.</w:t>
      </w:r>
    </w:p>
    <w:p>
      <w:pPr>
        <w:keepLines/>
        <w:spacing w:after="60"/>
        <w:ind w:left="369" w:hanging="255"/>
      </w:pPr>
      <w:r>
        <w:rPr>
          <w:rFonts w:ascii="Georgia" w:hAnsi="Georgia"/>
          <w:color w:val="1B292A"/>
          <w:sz w:val="21"/>
        </w:rPr>
        <w:t>2.</w:t>
        <w:tab/>
      </w:r>
      <w:r>
        <w:rPr>
          <w:rFonts w:ascii="Georgia" w:hAnsi="Georgia"/>
          <w:color w:val="1B292A"/>
          <w:sz w:val="21"/>
        </w:rPr>
        <w:t>Successful building nearest the fifth percentile.</w:t>
      </w:r>
    </w:p>
    <w:p>
      <w:pPr>
        <w:keepLines/>
        <w:spacing w:after="60"/>
        <w:ind w:left="369" w:hanging="255"/>
      </w:pPr>
      <w:r>
        <w:rPr>
          <w:rFonts w:ascii="Georgia" w:hAnsi="Georgia"/>
          <w:color w:val="1B292A"/>
          <w:sz w:val="21"/>
        </w:rPr>
        <w:t>3.</w:t>
        <w:tab/>
      </w:r>
      <w:r>
        <w:rPr>
          <w:rFonts w:ascii="Georgia" w:hAnsi="Georgia"/>
          <w:color w:val="1B292A"/>
          <w:sz w:val="21"/>
        </w:rPr>
        <w:t>Successful building nearest the ninety-fifth percentile.</w:t>
      </w:r>
    </w:p>
    <w:p>
      <w:pPr>
        <w:keepLines/>
        <w:spacing w:after="60"/>
        <w:ind w:left="369" w:hanging="255"/>
      </w:pPr>
      <w:r>
        <w:rPr>
          <w:rFonts w:ascii="Georgia" w:hAnsi="Georgia"/>
          <w:color w:val="1B292A"/>
          <w:sz w:val="21"/>
        </w:rPr>
        <w:t>4.</w:t>
        <w:tab/>
      </w:r>
      <w:r>
        <w:rPr>
          <w:rFonts w:ascii="Georgia" w:hAnsi="Georgia"/>
          <w:color w:val="1B292A"/>
          <w:sz w:val="21"/>
        </w:rPr>
        <w:t>Successful building with the greatest total-site energy contribution.</w:t>
      </w:r>
    </w:p>
    <w:p>
      <w:pPr>
        <w:keepLines/>
        <w:spacing w:after="60"/>
        <w:ind w:left="369" w:hanging="255"/>
      </w:pPr>
      <w:r>
        <w:rPr>
          <w:rFonts w:ascii="Georgia" w:hAnsi="Georgia"/>
          <w:color w:val="1B292A"/>
          <w:sz w:val="21"/>
        </w:rPr>
        <w:t>5.</w:t>
        <w:tab/>
      </w:r>
      <w:r>
        <w:rPr>
          <w:rFonts w:ascii="Georgia" w:hAnsi="Georgia"/>
          <w:color w:val="1B292A"/>
          <w:sz w:val="21"/>
        </w:rPr>
        <w:t>Accepted building carrying a recorded occupancy or classified-diagnostic flag, if available.</w:t>
      </w:r>
    </w:p>
    <w:p>
      <w:pPr>
        <w:keepLines/>
        <w:spacing w:after="60"/>
        <w:ind w:left="369" w:hanging="255"/>
      </w:pPr>
      <w:r>
        <w:rPr>
          <w:rFonts w:ascii="Georgia" w:hAnsi="Georgia"/>
          <w:color w:val="1B292A"/>
          <w:sz w:val="21"/>
        </w:rPr>
        <w:t>6.</w:t>
        <w:tab/>
      </w:r>
      <w:r>
        <w:rPr>
          <w:rFonts w:ascii="Georgia" w:hAnsi="Georgia"/>
          <w:color w:val="1B292A"/>
          <w:sz w:val="21"/>
        </w:rPr>
        <w:t>One failed or excluded reference representing the most frequent non-success reason, if available.</w:t>
      </w:r>
    </w:p>
    <w:p>
      <w:r>
        <w:rPr>
          <w:rFonts w:ascii="Georgia" w:hAnsi="Georgia"/>
          <w:color w:val="1B292A"/>
          <w:sz w:val="21"/>
        </w:rPr>
        <w:t>For successful examples, the evidence manifest preserves identity, cluster, area bases, energy, carbon, occupancy, geometry, QA and diagnostic fields; the table below provides the citation-oriented summary. The failed/excluded example will not be assigned energy; it will document the failure stage and reason.</w:t>
      </w:r>
    </w:p>
    <w:p>
      <w:pPr>
        <w:pStyle w:val="Caption"/>
        <w:keepNext/>
        <w:spacing w:before="80" w:after="80"/>
      </w:pPr>
      <w:r>
        <w:rPr>
          <w:rFonts w:ascii="Arial" w:hAnsi="Arial"/>
          <w:b/>
          <w:color w:val="5B696A"/>
          <w:sz w:val="17"/>
        </w:rPr>
        <w:t>Table 15. Reproducible representative-building selection</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Selection role</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Reference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Evidence status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median-nearest</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5327403YJ2752G</w:t>
            </w:r>
          </w:p>
        </w:tc>
        <w:tc>
          <w:tcPr>
            <w:tcW w:type="dxa" w:w="4575"/>
            <w:tcMar>
              <w:top w:w="90" w:type="dxa"/>
              <w:start w:w="120" w:type="dxa"/>
              <w:bottom w:w="90" w:type="dxa"/>
              <w:end w:w="120" w:type="dxa"/>
            </w:tcMar>
            <w:vAlign w:val="center"/>
          </w:tcPr>
          <w:p>
            <w:pPr>
              <w:spacing w:after="0"/>
            </w:pPr>
            <w:r>
              <w:rPr>
                <w:rFonts w:ascii="Arial" w:hAnsi="Arial"/>
                <w:color w:val="1B292A"/>
                <w:sz w:val="18"/>
              </w:rPr>
              <w:t>ACCEPTED WITH CLASSIFIED DIAGNOSTICS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p5-nearest</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9504916YJ2790D</w:t>
            </w:r>
          </w:p>
        </w:tc>
        <w:tc>
          <w:tcPr>
            <w:tcW w:type="dxa" w:w="4575"/>
            <w:tcMar>
              <w:top w:w="90" w:type="dxa"/>
              <w:start w:w="120" w:type="dxa"/>
              <w:bottom w:w="90" w:type="dxa"/>
              <w:end w:w="120" w:type="dxa"/>
            </w:tcMar>
            <w:vAlign w:val="center"/>
          </w:tcPr>
          <w:p>
            <w:pPr>
              <w:spacing w:after="0"/>
            </w:pPr>
            <w:r>
              <w:rPr>
                <w:rFonts w:ascii="Arial" w:hAnsi="Arial"/>
                <w:color w:val="1B292A"/>
                <w:sz w:val="18"/>
              </w:rPr>
              <w:t>ACCEPTED WITH CLASSIFIED DIAGNOSTICS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p95-nearest</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9826309YJ2792F</w:t>
            </w:r>
          </w:p>
        </w:tc>
        <w:tc>
          <w:tcPr>
            <w:tcW w:type="dxa" w:w="4575"/>
            <w:tcMar>
              <w:top w:w="90" w:type="dxa"/>
              <w:start w:w="120" w:type="dxa"/>
              <w:bottom w:w="90" w:type="dxa"/>
              <w:end w:w="120" w:type="dxa"/>
            </w:tcMar>
            <w:vAlign w:val="center"/>
          </w:tcPr>
          <w:p>
            <w:pPr>
              <w:spacing w:after="0"/>
            </w:pPr>
            <w:r>
              <w:rPr>
                <w:rFonts w:ascii="Arial" w:hAnsi="Arial"/>
                <w:color w:val="1B292A"/>
                <w:sz w:val="18"/>
              </w:rPr>
              <w:t>ACCEPTED WITH CLASSIFIED DIAGNOSTICS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highest-total-contribution</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4889401YJ2648H</w:t>
            </w:r>
          </w:p>
        </w:tc>
        <w:tc>
          <w:tcPr>
            <w:tcW w:type="dxa" w:w="4575"/>
            <w:tcMar>
              <w:top w:w="90" w:type="dxa"/>
              <w:start w:w="120" w:type="dxa"/>
              <w:bottom w:w="90" w:type="dxa"/>
              <w:end w:w="120" w:type="dxa"/>
            </w:tcMar>
            <w:vAlign w:val="center"/>
          </w:tcPr>
          <w:p>
            <w:pPr>
              <w:spacing w:after="0"/>
            </w:pPr>
            <w:r>
              <w:rPr>
                <w:rFonts w:ascii="Arial" w:hAnsi="Arial"/>
                <w:color w:val="1B292A"/>
                <w:sz w:val="18"/>
              </w:rPr>
              <w:t>ACCEPTED WITH CLASSIFIED DIAGNOSTICS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flagged-accepted</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0022301YJ3702C</w:t>
            </w:r>
          </w:p>
        </w:tc>
        <w:tc>
          <w:tcPr>
            <w:tcW w:type="dxa" w:w="4575"/>
            <w:tcMar>
              <w:top w:w="90" w:type="dxa"/>
              <w:start w:w="120" w:type="dxa"/>
              <w:bottom w:w="90" w:type="dxa"/>
              <w:end w:w="120" w:type="dxa"/>
            </w:tcMar>
            <w:vAlign w:val="center"/>
          </w:tcPr>
          <w:p>
            <w:pPr>
              <w:spacing w:after="0"/>
            </w:pPr>
            <w:r>
              <w:rPr>
                <w:rFonts w:ascii="Arial" w:hAnsi="Arial"/>
                <w:color w:val="1B292A"/>
                <w:sz w:val="18"/>
              </w:rPr>
              <w:t>ACCEPTED WITH CLASSIFIED DIAGNOSTICS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failed-or-excluded</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0023911YJ3702C</w:t>
            </w:r>
          </w:p>
        </w:tc>
        <w:tc>
          <w:tcPr>
            <w:tcW w:type="dxa" w:w="4575"/>
            <w:tcMar>
              <w:top w:w="90" w:type="dxa"/>
              <w:start w:w="120" w:type="dxa"/>
              <w:bottom w:w="90" w:type="dxa"/>
              <w:end w:w="120" w:type="dxa"/>
            </w:tcMar>
            <w:vAlign w:val="center"/>
          </w:tcPr>
          <w:p>
            <w:pPr>
              <w:spacing w:after="0"/>
            </w:pPr>
            <w:r>
              <w:rPr>
                <w:rFonts w:ascii="Arial" w:hAnsi="Arial"/>
                <w:color w:val="1B292A"/>
                <w:sz w:val="18"/>
              </w:rPr>
              <w:t>EXCLUDED — footprint_outside_range</w:t>
            </w:r>
          </w:p>
        </w:tc>
      </w:tr>
    </w:tbl>
    <w:p>
      <w:pPr>
        <w:spacing w:after="0"/>
      </w:pPr>
    </w:p>
    <w:p>
      <w:r>
        <w:br w:type="page"/>
      </w:r>
    </w:p>
    <w:p>
      <w:pPr>
        <w:pStyle w:val="Heading1"/>
      </w:pPr>
      <w:r>
        <w:rPr>
          <w:rFonts w:ascii="Arial" w:hAnsi="Arial"/>
          <w:b/>
          <w:color w:val="173F45"/>
          <w:sz w:val="36"/>
        </w:rPr>
        <w:t>16. Limitations and responsible use</w:t>
      </w:r>
    </w:p>
    <w:p>
      <w:r>
        <w:rPr>
          <w:rFonts w:ascii="Georgia" w:hAnsi="Georgia"/>
          <w:color w:val="1B292A"/>
          <w:sz w:val="21"/>
        </w:rPr>
        <w:t>The final interpretation retains the following limits beside affected findings:</w:t>
      </w:r>
    </w:p>
    <w:p>
      <w:pPr>
        <w:keepLines/>
        <w:spacing w:after="60"/>
        <w:ind w:left="369" w:hanging="255"/>
      </w:pPr>
      <w:r>
        <w:rPr>
          <w:rFonts w:ascii="Georgia" w:hAnsi="Georgia"/>
          <w:color w:val="1B292A"/>
          <w:sz w:val="21"/>
        </w:rPr>
        <w:t>•</w:t>
        <w:tab/>
      </w:r>
      <w:r>
        <w:rPr>
          <w:rFonts w:ascii="Georgia" w:hAnsi="Georgia"/>
          <w:color w:val="1B292A"/>
          <w:sz w:val="21"/>
        </w:rPr>
        <w:t>cadastral geometry, use and area are administrative evidence with measurement/allocation limits;</w:t>
      </w:r>
    </w:p>
    <w:p>
      <w:pPr>
        <w:keepLines/>
        <w:spacing w:after="60"/>
        <w:ind w:left="369" w:hanging="255"/>
      </w:pPr>
      <w:r>
        <w:rPr>
          <w:rFonts w:ascii="Georgia" w:hAnsi="Georgia"/>
          <w:color w:val="1B292A"/>
          <w:sz w:val="21"/>
        </w:rPr>
        <w:t>•</w:t>
        <w:tab/>
      </w:r>
      <w:r>
        <w:rPr>
          <w:rFonts w:ascii="Georgia" w:hAnsi="Georgia"/>
          <w:color w:val="1B292A"/>
          <w:sz w:val="21"/>
        </w:rPr>
        <w:t>one parcel is not always one physical building;</w:t>
      </w:r>
    </w:p>
    <w:p>
      <w:pPr>
        <w:keepLines/>
        <w:spacing w:after="60"/>
        <w:ind w:left="369" w:hanging="255"/>
      </w:pPr>
      <w:r>
        <w:rPr>
          <w:rFonts w:ascii="Georgia" w:hAnsi="Georgia"/>
          <w:color w:val="1B292A"/>
          <w:sz w:val="21"/>
        </w:rPr>
        <w:t>•</w:t>
        <w:tab/>
      </w:r>
      <w:r>
        <w:rPr>
          <w:rFonts w:ascii="Georgia" w:hAnsi="Georgia"/>
          <w:color w:val="1B292A"/>
          <w:sz w:val="21"/>
        </w:rPr>
        <w:t>simplified zoning and integer-storey geometry affect area representation;</w:t>
      </w:r>
    </w:p>
    <w:p>
      <w:pPr>
        <w:keepLines/>
        <w:spacing w:after="60"/>
        <w:ind w:left="369" w:hanging="255"/>
      </w:pPr>
      <w:r>
        <w:rPr>
          <w:rFonts w:ascii="Georgia" w:hAnsi="Georgia"/>
          <w:color w:val="1B292A"/>
          <w:sz w:val="21"/>
        </w:rPr>
        <w:t>•</w:t>
        <w:tab/>
      </w:r>
      <w:r>
        <w:rPr>
          <w:rFonts w:ascii="Georgia" w:hAnsi="Georgia"/>
          <w:color w:val="1B292A"/>
          <w:sz w:val="21"/>
        </w:rPr>
        <w:t>large one-zone-per-storey buildings do not represent core/perimeter diversity;</w:t>
      </w:r>
    </w:p>
    <w:p>
      <w:pPr>
        <w:keepLines/>
        <w:spacing w:after="60"/>
        <w:ind w:left="369" w:hanging="255"/>
      </w:pPr>
      <w:r>
        <w:rPr>
          <w:rFonts w:ascii="Georgia" w:hAnsi="Georgia"/>
          <w:color w:val="1B292A"/>
          <w:sz w:val="21"/>
        </w:rPr>
        <w:t>•</w:t>
        <w:tab/>
      </w:r>
      <w:r>
        <w:rPr>
          <w:rFonts w:ascii="Georgia" w:hAnsi="Georgia"/>
          <w:color w:val="1B292A"/>
          <w:sz w:val="21"/>
        </w:rPr>
        <w:t>difficult/courtyard geometry can be excluded by preparation gates;</w:t>
      </w:r>
    </w:p>
    <w:p>
      <w:pPr>
        <w:keepLines/>
        <w:spacing w:after="60"/>
        <w:ind w:left="369" w:hanging="255"/>
      </w:pPr>
      <w:r>
        <w:rPr>
          <w:rFonts w:ascii="Georgia" w:hAnsi="Georgia"/>
          <w:color w:val="1B292A"/>
          <w:sz w:val="21"/>
        </w:rPr>
        <w:t>•</w:t>
        <w:tab/>
      </w:r>
      <w:r>
        <w:rPr>
          <w:rFonts w:ascii="Georgia" w:hAnsi="Georgia"/>
          <w:color w:val="1B292A"/>
          <w:sz w:val="21"/>
        </w:rPr>
        <w:t>occupancy uses administrative evidence, caps and recorded imputation;</w:t>
      </w:r>
    </w:p>
    <w:p>
      <w:pPr>
        <w:keepLines/>
        <w:spacing w:after="60"/>
        <w:ind w:left="369" w:hanging="255"/>
      </w:pPr>
      <w:r>
        <w:rPr>
          <w:rFonts w:ascii="Georgia" w:hAnsi="Georgia"/>
          <w:color w:val="1B292A"/>
          <w:sz w:val="21"/>
        </w:rPr>
        <w:t>•</w:t>
        <w:tab/>
      </w:r>
      <w:r>
        <w:rPr>
          <w:rFonts w:ascii="Georgia" w:hAnsi="Georgia"/>
          <w:color w:val="1B292A"/>
          <w:sz w:val="21"/>
        </w:rPr>
        <w:t>HVAC and DHW are not exactly separable between residential and commercial spaces;</w:t>
      </w:r>
    </w:p>
    <w:p>
      <w:pPr>
        <w:keepLines/>
        <w:spacing w:after="60"/>
        <w:ind w:left="369" w:hanging="255"/>
      </w:pPr>
      <w:r>
        <w:rPr>
          <w:rFonts w:ascii="Georgia" w:hAnsi="Georgia"/>
          <w:color w:val="1B292A"/>
          <w:sz w:val="21"/>
        </w:rPr>
        <w:t>•</w:t>
        <w:tab/>
      </w:r>
      <w:r>
        <w:rPr>
          <w:rFonts w:ascii="Georgia" w:hAnsi="Georgia"/>
          <w:color w:val="1B292A"/>
          <w:sz w:val="21"/>
        </w:rPr>
        <w:t>operational carbon excludes embodied carbon;</w:t>
      </w:r>
    </w:p>
    <w:p>
      <w:pPr>
        <w:keepLines/>
        <w:spacing w:after="60"/>
        <w:ind w:left="369" w:hanging="255"/>
      </w:pPr>
      <w:r>
        <w:rPr>
          <w:rFonts w:ascii="Georgia" w:hAnsi="Georgia"/>
          <w:color w:val="1B292A"/>
          <w:sz w:val="21"/>
        </w:rPr>
        <w:t>•</w:t>
        <w:tab/>
      </w:r>
      <w:r>
        <w:rPr>
          <w:rFonts w:ascii="Georgia" w:hAnsi="Georgia"/>
          <w:color w:val="1B292A"/>
          <w:sz w:val="21"/>
        </w:rPr>
        <w:t>profile verification is not per-building measurement calibration;</w:t>
      </w:r>
    </w:p>
    <w:p>
      <w:pPr>
        <w:keepLines/>
        <w:spacing w:after="60"/>
        <w:ind w:left="369" w:hanging="255"/>
      </w:pPr>
      <w:r>
        <w:rPr>
          <w:rFonts w:ascii="Georgia" w:hAnsi="Georgia"/>
          <w:color w:val="1B292A"/>
          <w:sz w:val="21"/>
        </w:rPr>
        <w:t>•</w:t>
        <w:tab/>
      </w:r>
      <w:r>
        <w:rPr>
          <w:rFonts w:ascii="Georgia" w:hAnsi="Georgia"/>
          <w:color w:val="1B292A"/>
          <w:sz w:val="21"/>
        </w:rPr>
        <w:t>pilot-building LHS evidence is not a city-total uncertainty band;</w:t>
      </w:r>
    </w:p>
    <w:p>
      <w:pPr>
        <w:keepLines/>
        <w:spacing w:after="60"/>
        <w:ind w:left="369" w:hanging="255"/>
      </w:pPr>
      <w:r>
        <w:rPr>
          <w:rFonts w:ascii="Georgia" w:hAnsi="Georgia"/>
          <w:color w:val="1B292A"/>
          <w:sz w:val="21"/>
        </w:rPr>
        <w:t>•</w:t>
        <w:tab/>
      </w:r>
      <w:r>
        <w:rPr>
          <w:rFonts w:ascii="Georgia" w:hAnsi="Georgia"/>
          <w:color w:val="1B292A"/>
          <w:sz w:val="21"/>
        </w:rPr>
        <w:t>failed/excluded records can create unquantified truncation.</w:t>
      </w:r>
    </w:p>
    <w:p>
      <w:r>
        <w:rPr>
          <w:rFonts w:ascii="Georgia" w:hAnsi="Georgia"/>
          <w:color w:val="1B292A"/>
          <w:sz w:val="21"/>
        </w:rPr>
        <w:t>These limitations do not automatically invalidate the study. They define the claims the evidence can support and the additional measurements or sensitivity analyses needed for stronger claims.</w:t>
      </w:r>
    </w:p>
    <w:p>
      <w:r>
        <w:br w:type="page"/>
      </w:r>
    </w:p>
    <w:p>
      <w:pPr>
        <w:pStyle w:val="Heading1"/>
      </w:pPr>
      <w:r>
        <w:rPr>
          <w:rFonts w:ascii="Arial" w:hAnsi="Arial"/>
          <w:b/>
          <w:color w:val="173F45"/>
          <w:sz w:val="36"/>
        </w:rPr>
        <w:t>17. Provenance, reproducibility and publication package</w:t>
      </w:r>
    </w:p>
    <w:p>
      <w:r>
        <w:rPr>
          <w:rFonts w:ascii="Georgia" w:hAnsi="Georgia"/>
          <w:color w:val="1B292A"/>
          <w:sz w:val="21"/>
        </w:rPr>
        <w:t>The final publication package preserves logical filenames and hashes for the run configuration, process record, ledger, final aggregate, corrected Building CSV, GeoPackage/style, heat map, selected readable reports, EnergyPlus tables, technical evidence and document outputs. Absolute workstation paths will be removed from publication-facing documents and curated exports.</w:t>
      </w:r>
    </w:p>
    <w:p>
      <w:r>
        <w:rPr>
          <w:rFonts w:ascii="Georgia" w:hAnsi="Georgia"/>
          <w:color w:val="1B292A"/>
          <w:sz w:val="21"/>
        </w:rPr>
        <w:t>No result will be accepted when duplicate authoritative evidence blocks conflict. A building identity mismatch prevents report generation. A successful-looking row without essential period, result, QA or diagnostic evidence is INCOMPLETE EVIDENCE — DO NOT CITE.</w:t>
      </w:r>
    </w:p>
    <w:p>
      <w:pPr>
        <w:pStyle w:val="Heading2"/>
      </w:pPr>
      <w:r>
        <w:rPr>
          <w:rFonts w:ascii="Arial" w:hAnsi="Arial"/>
          <w:b/>
          <w:color w:val="1F5F67"/>
          <w:sz w:val="28"/>
        </w:rPr>
        <w:t>17.1 Evidence manifest</w:t>
      </w:r>
    </w:p>
    <w:p>
      <w:r>
        <w:rPr>
          <w:rFonts w:ascii="Georgia" w:hAnsi="Georgia"/>
          <w:color w:val="1B292A"/>
          <w:sz w:val="21"/>
        </w:rPr>
        <w:t>The machine-readable JSON/CSV manifest contains:</w:t>
      </w:r>
    </w:p>
    <w:p>
      <w:pPr>
        <w:keepLines/>
        <w:spacing w:after="60"/>
        <w:ind w:left="369" w:hanging="255"/>
      </w:pPr>
      <w:r>
        <w:rPr>
          <w:rFonts w:ascii="Georgia" w:hAnsi="Georgia"/>
          <w:color w:val="1B292A"/>
          <w:sz w:val="21"/>
        </w:rPr>
        <w:t>•</w:t>
        <w:tab/>
      </w:r>
      <w:r>
        <w:rPr>
          <w:rFonts w:ascii="Georgia" w:hAnsi="Georgia"/>
          <w:color w:val="1B292A"/>
          <w:sz w:val="21"/>
        </w:rPr>
        <w:t>run, profile, climate, template, policy, stock-source and runner-schema identities;</w:t>
      </w:r>
    </w:p>
    <w:p>
      <w:pPr>
        <w:keepLines/>
        <w:spacing w:after="60"/>
        <w:ind w:left="369" w:hanging="255"/>
      </w:pPr>
      <w:r>
        <w:rPr>
          <w:rFonts w:ascii="Georgia" w:hAnsi="Georgia"/>
          <w:color w:val="1B292A"/>
          <w:sz w:val="21"/>
        </w:rPr>
        <w:t>•</w:t>
        <w:tab/>
      </w:r>
      <w:r>
        <w:rPr>
          <w:rFonts w:ascii="Georgia" w:hAnsi="Georgia"/>
          <w:color w:val="1B292A"/>
          <w:sz w:val="21"/>
        </w:rPr>
        <w:t>final scope/count/period reconciliation;</w:t>
      </w:r>
    </w:p>
    <w:p>
      <w:pPr>
        <w:keepLines/>
        <w:spacing w:after="60"/>
        <w:ind w:left="369" w:hanging="255"/>
      </w:pPr>
      <w:r>
        <w:rPr>
          <w:rFonts w:ascii="Georgia" w:hAnsi="Georgia"/>
          <w:color w:val="1B292A"/>
          <w:sz w:val="21"/>
        </w:rPr>
        <w:t>•</w:t>
        <w:tab/>
      </w:r>
      <w:r>
        <w:rPr>
          <w:rFonts w:ascii="Georgia" w:hAnsi="Georgia"/>
          <w:color w:val="1B292A"/>
          <w:sz w:val="21"/>
        </w:rPr>
        <w:t>source and output SHA-256 values;</w:t>
      </w:r>
    </w:p>
    <w:p>
      <w:pPr>
        <w:keepLines/>
        <w:spacing w:after="60"/>
        <w:ind w:left="369" w:hanging="255"/>
      </w:pPr>
      <w:r>
        <w:rPr>
          <w:rFonts w:ascii="Georgia" w:hAnsi="Georgia"/>
          <w:color w:val="1B292A"/>
          <w:sz w:val="21"/>
        </w:rPr>
        <w:t>•</w:t>
        <w:tab/>
      </w:r>
      <w:r>
        <w:rPr>
          <w:rFonts w:ascii="Georgia" w:hAnsi="Georgia"/>
          <w:color w:val="1B292A"/>
          <w:sz w:val="21"/>
        </w:rPr>
        <w:t>key method parameters and units;</w:t>
      </w:r>
    </w:p>
    <w:p>
      <w:pPr>
        <w:keepLines/>
        <w:spacing w:after="60"/>
        <w:ind w:left="369" w:hanging="255"/>
      </w:pPr>
      <w:r>
        <w:rPr>
          <w:rFonts w:ascii="Georgia" w:hAnsi="Georgia"/>
          <w:color w:val="1B292A"/>
          <w:sz w:val="21"/>
        </w:rPr>
        <w:t>•</w:t>
        <w:tab/>
      </w:r>
      <w:r>
        <w:rPr>
          <w:rFonts w:ascii="Georgia" w:hAnsi="Georgia"/>
          <w:color w:val="1B292A"/>
          <w:sz w:val="21"/>
        </w:rPr>
        <w:t>selected-building algorithm and references;</w:t>
      </w:r>
    </w:p>
    <w:p>
      <w:pPr>
        <w:keepLines/>
        <w:spacing w:after="60"/>
        <w:ind w:left="369" w:hanging="255"/>
      </w:pPr>
      <w:r>
        <w:rPr>
          <w:rFonts w:ascii="Georgia" w:hAnsi="Georgia"/>
          <w:color w:val="1B292A"/>
          <w:sz w:val="21"/>
        </w:rPr>
        <w:t>•</w:t>
        <w:tab/>
      </w:r>
      <w:r>
        <w:rPr>
          <w:rFonts w:ascii="Georgia" w:hAnsi="Georgia"/>
          <w:color w:val="1B292A"/>
          <w:sz w:val="21"/>
        </w:rPr>
        <w:t>figure/table source files;</w:t>
      </w:r>
    </w:p>
    <w:p>
      <w:pPr>
        <w:keepLines/>
        <w:spacing w:after="60"/>
        <w:ind w:left="369" w:hanging="255"/>
      </w:pPr>
      <w:r>
        <w:rPr>
          <w:rFonts w:ascii="Georgia" w:hAnsi="Georgia"/>
          <w:color w:val="1B292A"/>
          <w:sz w:val="21"/>
        </w:rPr>
        <w:t>•</w:t>
        <w:tab/>
      </w:r>
      <w:r>
        <w:rPr>
          <w:rFonts w:ascii="Georgia" w:hAnsi="Georgia"/>
          <w:color w:val="1B292A"/>
          <w:sz w:val="21"/>
        </w:rPr>
        <w:t>software commit and publication date;</w:t>
      </w:r>
    </w:p>
    <w:p>
      <w:pPr>
        <w:keepLines/>
        <w:spacing w:after="60"/>
        <w:ind w:left="369" w:hanging="255"/>
      </w:pPr>
      <w:r>
        <w:rPr>
          <w:rFonts w:ascii="Georgia" w:hAnsi="Georgia"/>
          <w:color w:val="1B292A"/>
          <w:sz w:val="21"/>
        </w:rPr>
        <w:t>•</w:t>
        <w:tab/>
      </w:r>
      <w:r>
        <w:rPr>
          <w:rFonts w:ascii="Georgia" w:hAnsi="Georgia"/>
          <w:color w:val="1B292A"/>
          <w:sz w:val="21"/>
        </w:rPr>
        <w:t>review gates and their PASS/FAIL state.</w:t>
      </w:r>
    </w:p>
    <w:p>
      <w:pPr>
        <w:pStyle w:val="Heading1"/>
      </w:pPr>
      <w:r>
        <w:rPr>
          <w:rFonts w:ascii="Arial" w:hAnsi="Arial"/>
          <w:b/>
          <w:color w:val="173F45"/>
          <w:sz w:val="36"/>
        </w:rPr>
        <w:t>18. References</w:t>
      </w:r>
    </w:p>
    <w:p>
      <w:r>
        <w:rPr>
          <w:rFonts w:ascii="Georgia" w:hAnsi="Georgia"/>
          <w:color w:val="1B292A"/>
          <w:sz w:val="21"/>
        </w:rPr>
        <w:t>[1] Python Software Foundation, “Python 3.13 documentation,” https://docs.python.org/3.13/</w:t>
      </w:r>
    </w:p>
    <w:p>
      <w:r>
        <w:rPr>
          <w:rFonts w:ascii="Georgia" w:hAnsi="Georgia"/>
          <w:color w:val="1B292A"/>
          <w:sz w:val="21"/>
        </w:rPr>
        <w:t>[2] NREL, “OpenStudio 3.11.0 release,” https://github.com/NREL/OpenStudio/releases/tag/v3.11.0</w:t>
      </w:r>
    </w:p>
    <w:p>
      <w:r>
        <w:rPr>
          <w:rFonts w:ascii="Georgia" w:hAnsi="Georgia"/>
          <w:color w:val="1B292A"/>
          <w:sz w:val="21"/>
        </w:rPr>
        <w:t>[3] EnergyPlus, “EnergyPlus 25.2 documentation,” https://energyplus.readthedocs.io/en/v25.2.0/</w:t>
      </w:r>
    </w:p>
    <w:p>
      <w:r>
        <w:rPr>
          <w:rFonts w:ascii="Georgia" w:hAnsi="Georgia"/>
          <w:color w:val="1B292A"/>
          <w:sz w:val="21"/>
        </w:rPr>
        <w:t xml:space="preserve">[4] U.S. Department of Energy, </w:t>
      </w:r>
      <w:r>
        <w:rPr>
          <w:rFonts w:ascii="Georgia" w:hAnsi="Georgia"/>
          <w:i/>
          <w:color w:val="1B292A"/>
          <w:sz w:val="21"/>
        </w:rPr>
        <w:t>EnergyPlus Input Output Reference</w:t>
      </w:r>
      <w:r>
        <w:rPr>
          <w:rFonts w:ascii="Georgia" w:hAnsi="Georgia"/>
          <w:color w:val="1B292A"/>
          <w:sz w:val="21"/>
        </w:rPr>
        <w:t>, version 25.2, https://bigladdersoftware.com/epx/docs/25-2/input-output-reference/index.html</w:t>
      </w:r>
    </w:p>
    <w:p>
      <w:r>
        <w:rPr>
          <w:rFonts w:ascii="Georgia" w:hAnsi="Georgia"/>
          <w:color w:val="1B292A"/>
          <w:sz w:val="21"/>
        </w:rPr>
        <w:t xml:space="preserve">[5] Instituto para la Diversificación y Ahorro de la Energía, </w:t>
      </w:r>
      <w:r>
        <w:rPr>
          <w:rFonts w:ascii="Georgia" w:hAnsi="Georgia"/>
          <w:i/>
          <w:color w:val="1B292A"/>
          <w:sz w:val="21"/>
        </w:rPr>
        <w:t>La bomba de calor en la rehabilitación energética de edificios</w:t>
      </w:r>
      <w:r>
        <w:rPr>
          <w:rFonts w:ascii="Georgia" w:hAnsi="Georgia"/>
          <w:color w:val="1B292A"/>
          <w:sz w:val="21"/>
        </w:rPr>
        <w:t>, 2023, https://www.idae.es/sites/default/files/documentos/publicaciones_idae/Guias_IDAE_La_Bomba_de_calor_2023_V11.pdf</w:t>
      </w:r>
    </w:p>
    <w:p>
      <w:r>
        <w:rPr>
          <w:rFonts w:ascii="Georgia" w:hAnsi="Georgia"/>
          <w:color w:val="1B292A"/>
          <w:sz w:val="21"/>
        </w:rPr>
        <w:t xml:space="preserve">[6] Gobierno de España, </w:t>
      </w:r>
      <w:r>
        <w:rPr>
          <w:rFonts w:ascii="Georgia" w:hAnsi="Georgia"/>
          <w:i/>
          <w:color w:val="1B292A"/>
          <w:sz w:val="21"/>
        </w:rPr>
        <w:t>Código Técnico de la Edificación, DB-HE</w:t>
      </w:r>
      <w:r>
        <w:rPr>
          <w:rFonts w:ascii="Georgia" w:hAnsi="Georgia"/>
          <w:color w:val="1B292A"/>
          <w:sz w:val="21"/>
        </w:rPr>
        <w:t>, 2017 edition, https://www.codigotecnico.org/pdf/Documentos/HE/DBHE_201706.pdf</w:t>
      </w:r>
    </w:p>
    <w:p>
      <w:r>
        <w:rPr>
          <w:rFonts w:ascii="Georgia" w:hAnsi="Georgia"/>
          <w:color w:val="1B292A"/>
          <w:sz w:val="21"/>
        </w:rPr>
        <w:t xml:space="preserve">[7] U.S. Department of Energy, </w:t>
      </w:r>
      <w:r>
        <w:rPr>
          <w:rFonts w:ascii="Georgia" w:hAnsi="Georgia"/>
          <w:i/>
          <w:color w:val="1B292A"/>
          <w:sz w:val="21"/>
        </w:rPr>
        <w:t>EnergyPlus Essentials</w:t>
      </w:r>
      <w:r>
        <w:rPr>
          <w:rFonts w:ascii="Georgia" w:hAnsi="Georgia"/>
          <w:color w:val="1B292A"/>
          <w:sz w:val="21"/>
        </w:rPr>
        <w:t>, version 25.2, https://energyplus.readthedocs.io/en/v25.2.0/essentials/essentials.html</w:t>
      </w:r>
    </w:p>
    <w:p>
      <w:r>
        <w:rPr>
          <w:rFonts w:ascii="Georgia" w:hAnsi="Georgia"/>
          <w:color w:val="1B292A"/>
          <w:sz w:val="21"/>
        </w:rPr>
        <w:t>[8] Open Geospatial Consortium, “GeoPackage Encoding Standard,” https://www.ogc.org/standard/geopackage/</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6A"/>
        <w:sz w:val="16"/>
      </w:rPr>
      <w:t xml:space="preserve">Mirza Saribiyik  |  Page </w:t>
    </w:r>
    <w:r>
      <w:rPr>
        <w:rFonts w:ascii="Arial" w:hAnsi="Arial"/>
        <w:color w:val="5B696A"/>
        <w:sz w:val="16"/>
      </w:rPr>
      <w:fldChar w:fldCharType="begin"/>
    </w:r>
    <w:r>
      <w:rPr>
        <w:rFonts w:ascii="Arial" w:hAnsi="Arial"/>
        <w:color w:val="5B696A"/>
        <w:sz w:val="16"/>
      </w:rPr>
      <w:instrText xml:space="preserve"> PAGE </w:instrText>
    </w:r>
    <w:r>
      <w:rPr>
        <w:rFonts w:ascii="Arial" w:hAnsi="Arial"/>
        <w:color w:val="5B696A"/>
        <w:sz w:val="16"/>
      </w:rPr>
      <w:fldChar w:fldCharType="separate"/>
    </w:r>
    <w:r>
      <w:rPr>
        <w:rFonts w:ascii="Arial" w:hAnsi="Arial"/>
        <w:color w:val="5B696A"/>
        <w:sz w:val="16"/>
      </w:rPr>
      <w:t>1</w:t>
    </w:r>
    <w:r>
      <w:rPr>
        <w:rFonts w:ascii="Arial" w:hAnsi="Arial"/>
        <w:color w:val="5B696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B7C7C6"/>
      </w:pBdr>
    </w:pPr>
    <w:r>
      <w:rPr>
        <w:rFonts w:ascii="Arial" w:hAnsi="Arial"/>
        <w:b/>
        <w:color w:val="5B696A"/>
        <w:sz w:val="17"/>
      </w:rPr>
      <w:t>Building Stock Energy Workbench - Valencia Simulation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Georgia" w:hAnsi="Georgia"/>
      <w:color w:val="1B29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F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5F6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69" w:hanging="198"/>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369" w:hanging="198"/>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Stock Energy Workbench - Valencia Simulation Report</dc:title>
  <dc:subject>Building Stock Energy Workbench guidance and simulation reporting</dc:subject>
  <dc:creator>Mirza Saribiyik</dc:creator>
  <cp:keywords>BSEW, building stock, EnergyPlus, OpenStudio,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