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Core Banking Project Guide</w:t>
      </w:r>
    </w:p>
    <w:p>
      <w:pPr>
        <w:pStyle w:val="Subtitle"/>
      </w:pPr>
      <w:r>
        <w:t>Review Preparation and Live Demonstration</w:t>
      </w:r>
    </w:p>
    <w:p>
      <w:pPr>
        <w:pStyle w:val="Normal"/>
      </w:pPr>
      <w:r>
        <w:t>This guide brings together the database completion checklist, faculty review requirements, live demonstration steps and project-specific viva answers. Use it to prepare the demonstration and individual viva. The project report contains the implementation, test evidence and application screenshots.</w:t>
      </w:r>
    </w:p>
    <w:p w14:paraId="787E245B" w14:textId="77777777" w:rsidR="00FC4A32" w:rsidRDefault="00000000">
      <w:pPr>
        <w:pStyle w:val="Heading1"/>
      </w:pPr>
      <w:r>
        <w:t>1 Database Completion Checklist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2160"/>
        <w:gridCol w:w="5616"/>
        <w:gridCol w:w="1800"/>
      </w:tblGrid>
      <w:tr w:rsidR="00FC4A32" w14:paraId="192CAAFD" w14:textId="77777777">
        <w:trPr>
          <w:cantSplit/>
          <w:tblHeader/>
          <w:jc w:val="center"/>
        </w:trPr>
        <w:tc>
          <w:tcPr>
            <w:tcW w:w="504" w:type="dxa"/>
            <w:shd w:val="clear" w:color="auto" w:fill="DCE6F1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45B34B" w14:textId="77777777" w:rsidR="00FC4A32" w:rsidRDefault="00000000">
            <w:pPr>
              <w:keepNext/>
              <w:spacing w:after="4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160" w:type="dxa"/>
            <w:shd w:val="clear" w:color="auto" w:fill="DCE6F1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FBFE03" w14:textId="77777777" w:rsidR="00FC4A32" w:rsidRDefault="00000000">
            <w:pPr>
              <w:keepNext/>
              <w:spacing w:after="40" w:line="240" w:lineRule="auto"/>
            </w:pPr>
            <w:r>
              <w:rPr>
                <w:b/>
                <w:sz w:val="18"/>
              </w:rPr>
              <w:t>Mandatory component</w:t>
            </w:r>
          </w:p>
        </w:tc>
        <w:tc>
          <w:tcPr>
            <w:tcW w:w="5616" w:type="dxa"/>
            <w:shd w:val="clear" w:color="auto" w:fill="DCE6F1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4CBB04" w14:textId="77777777" w:rsidR="00FC4A32" w:rsidRDefault="00000000">
            <w:pPr>
              <w:keepNext/>
              <w:spacing w:after="40" w:line="240" w:lineRule="auto"/>
            </w:pPr>
            <w:r>
              <w:rPr>
                <w:b/>
                <w:sz w:val="18"/>
              </w:rPr>
              <w:t>Script and concrete evidence</w:t>
            </w:r>
          </w:p>
        </w:tc>
        <w:tc>
          <w:tcPr>
            <w:tcW w:w="1800" w:type="dxa"/>
            <w:shd w:val="clear" w:color="auto" w:fill="DCE6F1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AF6118" w14:textId="77777777" w:rsidR="00FC4A32" w:rsidRDefault="00000000">
            <w:pPr>
              <w:keepNext/>
              <w:spacing w:after="40" w:line="240" w:lineRule="auto"/>
            </w:pPr>
            <w:r>
              <w:rPr>
                <w:b/>
                <w:sz w:val="18"/>
              </w:rPr>
              <w:t>Status</w:t>
            </w:r>
          </w:p>
        </w:tc>
      </w:tr>
      <w:tr w:rsidR="00FC4A32" w14:paraId="5E7B8F19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A87A82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70BBD3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CREATE TABLE scripts and constraints</w:t>
            </w:r>
          </w:p>
        </w:tc>
        <w:tc>
          <w:tcPr>
            <w:tcW w:w="561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E24506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sql/01_ddl.sql</w:t>
            </w:r>
            <w:r>
              <w:rPr>
                <w:sz w:val="18"/>
              </w:rPr>
              <w:br/>
              <w:t>Twelve relations and eleven foreign keys; clean disposable rebuild committed; live constraints and definitions in Section 6.</w:t>
            </w:r>
          </w:p>
        </w:tc>
        <w:tc>
          <w:tcPr>
            <w:tcW w:w="1800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7ED9F0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Completed &amp; Verified</w:t>
            </w:r>
          </w:p>
        </w:tc>
      </w:tr>
      <w:tr w:rsidR="00FC4A32" w14:paraId="3947DF9D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2D93CA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8B80D5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INSERT UPDATE DELETE</w:t>
            </w:r>
          </w:p>
        </w:tc>
        <w:tc>
          <w:tcPr>
            <w:tcW w:w="561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DA13B2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sql/02_dml.sql; seed_bulk_data.py</w:t>
            </w:r>
            <w:r>
              <w:rPr>
                <w:sz w:val="18"/>
              </w:rPr>
              <w:br/>
              <w:t>DML cycle executed during clean seed; all twelve live counts recorded; atomic bulk loader inspected.</w:t>
            </w:r>
          </w:p>
        </w:tc>
        <w:tc>
          <w:tcPr>
            <w:tcW w:w="1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323C81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Completed &amp; Verified</w:t>
            </w:r>
          </w:p>
        </w:tc>
      </w:tr>
      <w:tr w:rsidR="00FC4A32" w14:paraId="3C940D95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5A64D3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DAA468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Query categories</w:t>
            </w:r>
          </w:p>
        </w:tc>
        <w:tc>
          <w:tcPr>
            <w:tcW w:w="561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E1F4A3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sql/03_standard_queries.sql</w:t>
            </w:r>
            <w:r>
              <w:rPr>
                <w:sz w:val="18"/>
              </w:rPr>
              <w:br/>
              <w:t>Exactly 35 statements executed, with actual outputs in Section 7; all A-G functions covered, including combined Category F examples.</w:t>
            </w:r>
          </w:p>
        </w:tc>
        <w:tc>
          <w:tcPr>
            <w:tcW w:w="1800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72D64C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Completed &amp; Verified</w:t>
            </w:r>
          </w:p>
        </w:tc>
      </w:tr>
      <w:tr w:rsidR="00FC4A32" w14:paraId="2AD971D4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D9DD28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05FAB5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Views</w:t>
            </w:r>
          </w:p>
        </w:tc>
        <w:tc>
          <w:tcPr>
            <w:tcW w:w="561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6FCDEA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sql/05_advanced_logic.sql</w:t>
            </w:r>
            <w:r>
              <w:rPr>
                <w:sz w:val="18"/>
              </w:rPr>
              <w:br/>
              <w:t>Three live views, catalogue updatability evidence and output samples; four-table passbook, aggregate summary and writable restricted view.</w:t>
            </w:r>
          </w:p>
        </w:tc>
        <w:tc>
          <w:tcPr>
            <w:tcW w:w="1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3B73E1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Completed &amp; Verified</w:t>
            </w:r>
          </w:p>
        </w:tc>
      </w:tr>
      <w:tr w:rsidR="00FC4A32" w14:paraId="19628D46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F0ABDA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FDC23C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COMMIT ROLLBACK SAVEPOINT</w:t>
            </w:r>
          </w:p>
        </w:tc>
        <w:tc>
          <w:tcPr>
            <w:tcW w:w="561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112AF9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sql/05_advanced_logic.sql; sql/06_security_concurrency.sql</w:t>
            </w:r>
            <w:r>
              <w:rPr>
                <w:sz w:val="18"/>
              </w:rPr>
              <w:br/>
              <w:t>Committed isolated transfer/EMI; live before/after SAVEPOINT restoration; implicit subtransaction proof.</w:t>
            </w:r>
          </w:p>
        </w:tc>
        <w:tc>
          <w:tcPr>
            <w:tcW w:w="1800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AA6E9F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Completed &amp; Verified</w:t>
            </w:r>
          </w:p>
        </w:tc>
      </w:tr>
      <w:tr w:rsidR="00FC4A32" w14:paraId="41BB0A59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D28327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FE6F5F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Procedures and functions</w:t>
            </w:r>
          </w:p>
        </w:tc>
        <w:tc>
          <w:tcPr>
            <w:tcW w:w="561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036143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sql/05_advanced_logic.sql</w:t>
            </w:r>
            <w:r>
              <w:rPr>
                <w:sz w:val="18"/>
              </w:rPr>
              <w:br/>
              <w:t>Two core procedures, two business UDFs and two additional cursor procedures installed and exercised.</w:t>
            </w:r>
          </w:p>
        </w:tc>
        <w:tc>
          <w:tcPr>
            <w:tcW w:w="1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B70157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Completed &amp; Verified</w:t>
            </w:r>
          </w:p>
        </w:tc>
      </w:tr>
      <w:tr w:rsidR="00FC4A32" w14:paraId="3EA4B237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88C476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E5C253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Triggers</w:t>
            </w:r>
          </w:p>
        </w:tc>
        <w:tc>
          <w:tcPr>
            <w:tcW w:w="561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5CD3BB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sql/05_advanced_logic.sql; sql/07_test_cases.sql</w:t>
            </w:r>
            <w:r>
              <w:rPr>
                <w:sz w:val="18"/>
              </w:rPr>
              <w:br/>
              <w:t>Two triggers and required support functions; TC-08/09 verify old/new audit growth and no-op suppression; repayment changes debt.</w:t>
            </w:r>
          </w:p>
        </w:tc>
        <w:tc>
          <w:tcPr>
            <w:tcW w:w="1800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335DDD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Completed &amp; Verified</w:t>
            </w:r>
          </w:p>
        </w:tc>
      </w:tr>
      <w:tr w:rsidR="00FC4A32" w14:paraId="75F83D3F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55B408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16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E87EC2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Indexes and EXPLAIN comparison</w:t>
            </w:r>
          </w:p>
        </w:tc>
        <w:tc>
          <w:tcPr>
            <w:tcW w:w="561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53A8DF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sql/06_security_concurrency.sql</w:t>
            </w:r>
            <w:r>
              <w:rPr>
                <w:sz w:val="18"/>
              </w:rPr>
              <w:br/>
              <w:t>Three installed indexes and identical before/after live EXPLAIN ANALYZE BUFFERS plans reproduced.</w:t>
            </w:r>
          </w:p>
        </w:tc>
        <w:tc>
          <w:tcPr>
            <w:tcW w:w="1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826F65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Completed &amp; Verified</w:t>
            </w:r>
          </w:p>
        </w:tc>
      </w:tr>
      <w:tr w:rsidR="00FC4A32" w14:paraId="0A365126" w14:textId="77777777">
        <w:trPr>
          <w:cantSplit/>
          <w:jc w:val="center"/>
        </w:trPr>
        <w:tc>
          <w:tcPr>
            <w:tcW w:w="504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5285A2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2160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DD797C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Execution evidence</w:t>
            </w:r>
          </w:p>
        </w:tc>
        <w:tc>
          <w:tcPr>
            <w:tcW w:w="561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8A5785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sql/03_standard_queries.sql; sql/04_complex_queries.sql; sql/07_test_cases.sql</w:t>
            </w:r>
            <w:r>
              <w:rPr>
                <w:sz w:val="18"/>
              </w:rPr>
              <w:br/>
              <w:t>Live SQL outputs and exact PostgreSQL NOTICE text embedded; matching DBeaver screenshots accompany the shared SQL demonstrations.</w:t>
            </w:r>
          </w:p>
        </w:tc>
        <w:tc>
          <w:tcPr>
            <w:tcW w:w="1800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4C8279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Completed &amp; Verified</w:t>
            </w:r>
          </w:p>
        </w:tc>
      </w:tr>
      <w:tr w:rsidR="00FC4A32" w14:paraId="3782F7B7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D3D593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216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B56023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Design changes since Review 1</w:t>
            </w:r>
          </w:p>
        </w:tc>
        <w:tc>
          <w:tcPr>
            <w:tcW w:w="561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360297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sql/01_ddl.sql; PROJECT_SPEC.md</w:t>
            </w:r>
            <w:r>
              <w:rPr>
                <w:sz w:val="18"/>
              </w:rPr>
              <w:br/>
              <w:t>Section 6.1 change log with dependency reasons; generated-column formal qualification is explicit.</w:t>
            </w:r>
          </w:p>
        </w:tc>
        <w:tc>
          <w:tcPr>
            <w:tcW w:w="1800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0E5FED" w14:textId="77777777" w:rsidR="00FC4A32" w:rsidRDefault="00000000">
            <w:pPr>
              <w:spacing w:after="40" w:line="240" w:lineRule="auto"/>
            </w:pPr>
            <w:r>
              <w:rPr>
                <w:sz w:val="18"/>
              </w:rPr>
              <w:t>Completed &amp; Verified</w:t>
            </w:r>
          </w:p>
        </w:tc>
      </w:tr>
    </w:tbl>
    <w:p w14:paraId="3666019F" w14:textId="77777777" w:rsidR="00FC4A32" w:rsidRDefault="00FC4A32">
      <w:pPr>
        <w:widowControl/>
        <w:spacing w:after="60"/>
      </w:pPr>
    </w:p>
    <w:p>
      <w:pPr>
        <w:pStyle w:val="Heading1"/>
        <w:pageBreakBefore/>
      </w:pPr>
      <w:r>
        <w:t>2 Faculty Review Reference</w:t>
      </w:r>
    </w:p>
    <w:p>
      <w:pPr>
        <w:pStyle w:val="Heading2"/>
      </w:pPr>
      <w:r>
        <w:t>Required deliverables</w:t>
      </w:r>
    </w:p>
    <w:p>
      <w:pPr>
        <w:pStyle w:val="Normal"/>
      </w:pPr>
      <w:r>
        <w:t>Complete populated database; full scripts that can be rerun from scratch; advanced SQL; views; procedures; functions; triggers; transactions and concurrency; indexing and query optimization; security implementation; at least fifteen test cases; final report; a ten to twelve minute live demonstration and individual viva.</w:t>
      </w:r>
    </w:p>
    <w:p>
      <w:pPr>
        <w:pStyle w:val="Normal"/>
      </w:pPr>
      <w:r>
        <w:t>The faculty also asks for the design and screenshots of all working application modules, showing accessible inputs and outputs, and indexing to improve a search query.</w:t>
      </w:r>
    </w:p>
    <w:p>
      <w:pPr>
        <w:pStyle w:val="Heading2"/>
      </w:pPr>
      <w:r>
        <w:t>Required demonstration flow</w:t>
      </w:r>
    </w:p>
    <w:p>
      <w:pPr>
        <w:pStyle w:val="Normal"/>
        <w:keepNext/>
      </w:pPr>
      <w:r>
        <w:t>1. Run DDL and DML on a clean database.</w:t>
      </w:r>
    </w:p>
    <w:p>
      <w:pPr>
        <w:pStyle w:val="Normal"/>
        <w:keepNext/>
      </w:pPr>
      <w:r>
        <w:t>2. Demonstrate role based access.</w:t>
      </w:r>
    </w:p>
    <w:p>
      <w:pPr>
        <w:pStyle w:val="Normal"/>
        <w:keepNext/>
      </w:pPr>
      <w:r>
        <w:t>3. Show a transactional workflow with a deliberate failure and rollback.</w:t>
      </w:r>
    </w:p>
    <w:p>
      <w:pPr>
        <w:pStyle w:val="Normal"/>
        <w:keepNext/>
      </w:pPr>
      <w:r>
        <w:t>4. Show a trigger firing.</w:t>
      </w:r>
    </w:p>
    <w:p>
      <w:pPr>
        <w:pStyle w:val="Normal"/>
        <w:keepNext/>
      </w:pPr>
      <w:r>
        <w:t>5. Compare an optimization before and after indexing.</w:t>
      </w:r>
    </w:p>
    <w:p>
      <w:pPr>
        <w:pStyle w:val="Normal"/>
        <w:keepNext/>
      </w:pPr>
      <w:r>
        <w:t>6. Demonstrate one concurrency scenario.</w:t>
      </w:r>
    </w:p>
    <w:p>
      <w:pPr>
        <w:pStyle w:val="Heading2"/>
      </w:pPr>
      <w:r>
        <w:t>Evaluation guidance</w:t>
      </w:r>
    </w:p>
    <w:p>
      <w:pPr>
        <w:pStyle w:val="Normal"/>
      </w:pPr>
      <w:r>
        <w:t>Excellent at 85 percent or above: justified design, verified SQL, reasoned optimization, demonstrated anomalies and fluent viva. Good at 70 to 84 percent: correct and complete work with limited justification or shallow optimization. Satisfactory at 50 to 69 percent: working implementation with thin design or analysis. Poor below 50 percent: missing components, errors or unexplained work.</w:t>
      </w:r>
    </w:p>
    <w:p>
      <w:pPr>
        <w:pStyle w:val="Normal"/>
      </w:pPr>
      <w:r>
        <w:t>The evaluator chooses five or six questions per student. Each answer is marked from zero to three: zero for an incorrect answer, one for a definition alone, two for a correct answer with an example, and three for a correct, justified answer connected to this project.</w:t>
      </w:r>
    </w:p>
    <w:p w14:paraId="7E93932D" w14:textId="77777777" w:rsidR="00FC4A32" w:rsidRDefault="00000000">
      <w:pPr>
        <w:pStyle w:val="Heading1"/>
        <w:pageBreakBefore/>
      </w:pPr>
      <w:r>
        <w:t>3 Live Demonstration Runbook</w:t>
      </w:r>
    </w:p>
    <w:p w14:paraId="7E821390" w14:textId="77777777" w:rsidR="00FC4A32" w:rsidRDefault="00000000">
      <w:pPr>
        <w:widowControl/>
      </w:pPr>
      <w:r>
        <w:t>Allocate approximately eleven minutes. Use a dedicated disposable evaluation database for the clean DDL/DML step: sql/01_ddl.sql drops data and dependants. Do not point the reset at the populated banking_db shown in the application. Keep two SQL sessions ready and an API/React terminal running before the viva.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968"/>
        <w:gridCol w:w="3456"/>
      </w:tblGrid>
      <w:tr w:rsidR="00FC4A32" w14:paraId="30998359" w14:textId="77777777">
        <w:trPr>
          <w:cantSplit/>
          <w:tblHeader/>
          <w:jc w:val="center"/>
        </w:trPr>
        <w:tc>
          <w:tcPr>
            <w:tcW w:w="1656" w:type="dxa"/>
            <w:shd w:val="clear" w:color="auto" w:fill="DCE6F1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358302" w14:textId="77777777" w:rsidR="00FC4A32" w:rsidRDefault="00000000">
            <w:pPr>
              <w:keepNext/>
              <w:spacing w:after="40" w:line="240" w:lineRule="auto"/>
            </w:pPr>
            <w:r>
              <w:rPr>
                <w:b/>
                <w:sz w:val="19"/>
              </w:rPr>
              <w:lastRenderedPageBreak/>
              <w:t>Step and time</w:t>
            </w:r>
          </w:p>
        </w:tc>
        <w:tc>
          <w:tcPr>
            <w:tcW w:w="4968" w:type="dxa"/>
            <w:shd w:val="clear" w:color="auto" w:fill="DCE6F1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EFBBC5" w14:textId="77777777" w:rsidR="00FC4A32" w:rsidRDefault="00000000">
            <w:pPr>
              <w:keepNext/>
              <w:spacing w:after="40" w:line="240" w:lineRule="auto"/>
            </w:pPr>
            <w:r>
              <w:rPr>
                <w:b/>
                <w:sz w:val="19"/>
              </w:rPr>
              <w:t>Presenter action</w:t>
            </w:r>
          </w:p>
        </w:tc>
        <w:tc>
          <w:tcPr>
            <w:tcW w:w="3456" w:type="dxa"/>
            <w:shd w:val="clear" w:color="auto" w:fill="DCE6F1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033873" w14:textId="77777777" w:rsidR="00FC4A32" w:rsidRDefault="00000000">
            <w:pPr>
              <w:keepNext/>
              <w:spacing w:after="40" w:line="240" w:lineRule="auto"/>
            </w:pPr>
            <w:r>
              <w:rPr>
                <w:b/>
                <w:sz w:val="19"/>
              </w:rPr>
              <w:t>Concrete evidence to show</w:t>
            </w:r>
          </w:p>
        </w:tc>
      </w:tr>
      <w:tr w:rsidR="00FC4A32" w14:paraId="5DA557B2" w14:textId="77777777">
        <w:trPr>
          <w:cantSplit/>
          <w:jc w:val="center"/>
        </w:trPr>
        <w:tc>
          <w:tcPr>
            <w:tcW w:w="165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50B292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1 Clean DDL and DML</w:t>
            </w:r>
            <w:r>
              <w:rPr>
                <w:sz w:val="19"/>
              </w:rPr>
              <w:br/>
              <w:t>0:00-1:30</w:t>
            </w:r>
          </w:p>
        </w:tc>
        <w:tc>
          <w:tcPr>
            <w:tcW w:w="4968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DF3839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Create a separate evaluation database; run 01_ddl.sql and 02_dml.sql with ON_ERROR_STOP; install 05 definitions/verification before 06. The report evidence collector already proves the clean 01/02/05 sequence.</w:t>
            </w:r>
          </w:p>
        </w:tc>
        <w:tc>
          <w:tcPr>
            <w:tcW w:w="345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7CAA7E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Twelve relations, constraints, DML cycle and seed counts. Use the live row-count table to distinguish the populated operational snapshot.</w:t>
            </w:r>
          </w:p>
        </w:tc>
      </w:tr>
      <w:tr w:rsidR="00FC4A32" w14:paraId="4A305629" w14:textId="77777777">
        <w:trPr>
          <w:cantSplit/>
          <w:jc w:val="center"/>
        </w:trPr>
        <w:tc>
          <w:tcPr>
            <w:tcW w:w="165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224326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2 Role based access</w:t>
            </w:r>
            <w:r>
              <w:rPr>
                <w:sz w:val="19"/>
              </w:rPr>
              <w:br/>
              <w:t>1:30-3:00</w:t>
            </w:r>
          </w:p>
        </w:tc>
        <w:tc>
          <w:tcPr>
            <w:tcW w:w="49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76C977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Use the installed roles on banking_db. SET ROLE bank_teller; SELECT * FROM vw_customer_passbook LIMIT 3; attempt DELETE FROM Account WHERE false in the guarded proof; RESET ROLE.</w:t>
            </w:r>
          </w:p>
        </w:tc>
        <w:tc>
          <w:tcPr>
            <w:tcW w:w="345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1BD111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Passbook allowed, direct DELETE denied with 42501. Show the effective privilege matrix. Do not rerun the cluster-wide role reset in a second database.</w:t>
            </w:r>
          </w:p>
        </w:tc>
      </w:tr>
      <w:tr w:rsidR="00FC4A32" w14:paraId="7C120675" w14:textId="77777777">
        <w:trPr>
          <w:cantSplit/>
          <w:jc w:val="center"/>
        </w:trPr>
        <w:tc>
          <w:tcPr>
            <w:tcW w:w="165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664CB2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3 Transaction and deliberate failure</w:t>
            </w:r>
            <w:r>
              <w:rPr>
                <w:sz w:val="19"/>
              </w:rPr>
              <w:br/>
              <w:t>3:00-5:00</w:t>
            </w:r>
          </w:p>
        </w:tc>
        <w:tc>
          <w:tcPr>
            <w:tcW w:w="4968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990E6C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Choose an owned Active sender and receiver. Demonstrate a valid transfer on disposable fixtures; then request sender balance+1 or use a Frozen receiver. Run TC-10 for a repeatable wrapped rejection.</w:t>
            </w:r>
          </w:p>
        </w:tc>
        <w:tc>
          <w:tcPr>
            <w:tcW w:w="345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CB2332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Commit notification for the valid workflow; exact SQL exception for rejection; both balances/history/audit unchanged on failure.</w:t>
            </w:r>
          </w:p>
        </w:tc>
      </w:tr>
      <w:tr w:rsidR="00FC4A32" w14:paraId="341C0D73" w14:textId="77777777">
        <w:trPr>
          <w:cantSplit/>
          <w:jc w:val="center"/>
        </w:trPr>
        <w:tc>
          <w:tcPr>
            <w:tcW w:w="165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8EB9C7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4 Trigger firing</w:t>
            </w:r>
            <w:r>
              <w:rPr>
                <w:sz w:val="19"/>
              </w:rPr>
              <w:br/>
              <w:t>5:00-6:30</w:t>
            </w:r>
          </w:p>
        </w:tc>
        <w:tc>
          <w:tcPr>
            <w:tcW w:w="49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79EA20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Run TC-08/09; show audit growth during the update and restoration after rollback. Demonstrate EMI in the verification dataset and inspect Loan_Repayment plus Loan outstanding.</w:t>
            </w:r>
          </w:p>
        </w:tc>
        <w:tc>
          <w:tcPr>
            <w:tcW w:w="345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179781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One old/new balance audit; no-op creates none. A Success repayment changes debt, Pending/Failed does not.</w:t>
            </w:r>
          </w:p>
        </w:tc>
      </w:tr>
      <w:tr w:rsidR="00FC4A32" w14:paraId="2F09B71A" w14:textId="77777777">
        <w:trPr>
          <w:cantSplit/>
          <w:jc w:val="center"/>
        </w:trPr>
        <w:tc>
          <w:tcPr>
            <w:tcW w:w="165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3CC999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5 Index comparison</w:t>
            </w:r>
            <w:r>
              <w:rPr>
                <w:sz w:val="19"/>
              </w:rPr>
              <w:br/>
              <w:t>6:30-8:30</w:t>
            </w:r>
          </w:p>
        </w:tc>
        <w:tc>
          <w:tcPr>
            <w:tcW w:w="4968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0EBDBC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Run the identical EXPLAIN (ANALYZE, BUFFERS) predicate first with the named index dropped inside BEGIN/ROLLBACK, then with it restored.</w:t>
            </w:r>
          </w:p>
        </w:tc>
        <w:tc>
          <w:tcPr>
            <w:tcW w:w="3456" w:type="dxa"/>
            <w:shd w:val="clear" w:color="auto" w:fill="F7F9FC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91B641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Plan node change, actual row counts, buffer hits and timings. Explain small-table/cache limits; do not force a speedup.</w:t>
            </w:r>
          </w:p>
        </w:tc>
      </w:tr>
      <w:tr w:rsidR="00FC4A32" w14:paraId="4995A085" w14:textId="77777777">
        <w:trPr>
          <w:cantSplit/>
          <w:jc w:val="center"/>
        </w:trPr>
        <w:tc>
          <w:tcPr>
            <w:tcW w:w="165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C231F8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6 Two session concurrency</w:t>
            </w:r>
            <w:r>
              <w:rPr>
                <w:sz w:val="19"/>
              </w:rPr>
              <w:br/>
              <w:t>8:30-11:00</w:t>
            </w:r>
          </w:p>
        </w:tc>
        <w:tc>
          <w:tcPr>
            <w:tcW w:w="4968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03C28D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Session A locks Account 100001 FOR UPDATE; B tries FOR UPDATE NOWAIT. Show 55P03; rollback A and retry B.</w:t>
            </w:r>
          </w:p>
        </w:tc>
        <w:tc>
          <w:tcPr>
            <w:tcW w:w="3456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4B4B54" w14:textId="77777777" w:rsidR="00FC4A32" w:rsidRDefault="00000000">
            <w:pPr>
              <w:spacing w:after="40" w:line="240" w:lineRule="auto"/>
            </w:pPr>
            <w:r>
              <w:rPr>
                <w:sz w:val="19"/>
              </w:rPr>
              <w:t>Second writer cannot act on the locked row; explain the stale-read lost-update example and deterministic lock order. End with both transactions closed.</w:t>
            </w:r>
          </w:p>
        </w:tc>
      </w:tr>
    </w:tbl>
    <w:p w14:paraId="0C3BE157" w14:textId="77777777" w:rsidR="00FC4A32" w:rsidRDefault="00FC4A32">
      <w:pPr>
        <w:widowControl/>
        <w:spacing w:after="60"/>
      </w:pPr>
    </w:p>
    <w:p w14:paraId="704083F8" w14:textId="77777777" w:rsidR="00FC4A32" w:rsidRDefault="00000000">
      <w:pPr>
        <w:pStyle w:val="SQLCode"/>
        <w:keepLines/>
        <w:widowControl w:val="0"/>
      </w:pPr>
      <w:r>
        <w:t># Example safe clean setup in PowerShell</w:t>
      </w:r>
      <w:r>
        <w:br/>
        <w:t>docker exec banking-postgres createdb -U postgres banking_viva</w:t>
      </w:r>
      <w:r>
        <w:br/>
        <w:t>Get-Content -Raw sql/01_ddl.sql | docker exec -i banking-postgres psql -X -v ON_ERROR_STOP=1 -U postgres -d banking_viva</w:t>
      </w:r>
      <w:r>
        <w:br/>
        <w:t>Get-Content -Raw sql/02_dml.sql | docker exec -i banking-postgres psql -X -v ON_ERROR_STOP=1 -U postgres -d banking_viva</w:t>
      </w:r>
      <w:r>
        <w:br/>
        <w:t>Get-Content -Raw sql/05_advanced_logic.sql | docker exec -i banking-postgres psql -X -v ON_ERROR_STOP=1 -U postgres -d banking_viva</w:t>
      </w:r>
      <w:r>
        <w:br/>
        <w:t># Shared role grants are already installed on banking_db by 06.</w:t>
      </w:r>
      <w:r>
        <w:br/>
        <w:t># Use their guarded proof there, rather than resetting cluster roles here.</w:t>
      </w:r>
    </w:p>
    <w:p w14:paraId="7613B83A" w14:textId="77777777" w:rsidR="00FC4A32" w:rsidRDefault="00FC4A32">
      <w:pPr>
        <w:widowControl/>
        <w:spacing w:after="40"/>
      </w:pPr>
    </w:p>
    <w:p w14:paraId="11CC6CC1" w14:textId="77777777" w:rsidR="00FC4A32" w:rsidRDefault="00000000">
      <w:pPr>
        <w:pStyle w:val="Heading1"/>
        <w:keepLines/>
        <w:pageBreakBefore/>
      </w:pPr>
      <w:r>
        <w:t>4 Viva Questions and Answers</w:t>
      </w:r>
    </w:p>
    <w:p w14:paraId="6A74DBD0" w14:textId="77777777" w:rsidR="00FC4A32" w:rsidRDefault="00000000">
      <w:pPr>
        <w:keepNext/>
        <w:keepLines/>
        <w:widowControl/>
      </w:pPr>
      <w:r>
        <w:rPr>
          <w:b/>
        </w:rPr>
        <w:t>1. Why use AccountNo as the primary key?</w:t>
      </w:r>
    </w:p>
    <w:p w14:paraId="2021A124" w14:textId="77777777" w:rsidR="00FC4A32" w:rsidRDefault="00000000">
      <w:pPr>
        <w:keepLines/>
        <w:widowControl/>
      </w:pPr>
      <w:r>
        <w:t>It identifies one account independently of its owner and branch. CustomerID cannot be the account key because one customer can hold multiple accounts.</w:t>
      </w:r>
    </w:p>
    <w:p w14:paraId="452FAF1B" w14:textId="77777777" w:rsidR="00FC4A32" w:rsidRDefault="00000000">
      <w:pPr>
        <w:keepNext/>
        <w:keepLines/>
        <w:widowControl/>
      </w:pPr>
      <w:r>
        <w:rPr>
          <w:b/>
        </w:rPr>
        <w:t>2. Show a functional dependency and closure.</w:t>
      </w:r>
    </w:p>
    <w:p w14:paraId="515D6E28" w14:textId="77777777" w:rsidR="00FC4A32" w:rsidRDefault="00000000">
      <w:pPr>
        <w:keepLines/>
        <w:widowControl/>
      </w:pPr>
      <w:r>
        <w:t>In Postal_Directory, Pincode -&gt; City,State, so Pincode+ is {Pincode,City,State}; it is a candidate key under the canonical-postal-location assumption.</w:t>
      </w:r>
    </w:p>
    <w:p w14:paraId="0857DC16" w14:textId="77777777" w:rsidR="00FC4A32" w:rsidRDefault="00000000">
      <w:pPr>
        <w:keepNext/>
        <w:keepLines/>
        <w:widowControl/>
      </w:pPr>
      <w:r>
        <w:rPr>
          <w:b/>
        </w:rPr>
        <w:t>3. Which update anomaly was removed?</w:t>
      </w:r>
    </w:p>
    <w:p w14:paraId="2DA2EC85" w14:textId="77777777" w:rsidR="00FC4A32" w:rsidRDefault="00000000">
      <w:pPr>
        <w:keepLines/>
        <w:widowControl/>
      </w:pPr>
      <w:r>
        <w:t>Repeating City/State in Branch would allow two branches with one pincode to disagree after an update. The lookup holds the canonical fact once.</w:t>
      </w:r>
    </w:p>
    <w:p w14:paraId="5E586A74" w14:textId="77777777" w:rsidR="00FC4A32" w:rsidRDefault="00000000">
      <w:pPr>
        <w:keepNext/>
        <w:keepLines/>
        <w:widowControl/>
      </w:pPr>
      <w:r>
        <w:rPr>
          <w:b/>
        </w:rPr>
        <w:t>4. Are the generated-column tables strictly 3NF or BCNF?</w:t>
      </w:r>
    </w:p>
    <w:p w14:paraId="00F8D091" w14:textId="77777777" w:rsidR="00FC4A32" w:rsidRDefault="00000000">
      <w:pPr>
        <w:keepLines/>
        <w:widowControl/>
      </w:pPr>
      <w:r>
        <w:t>Their independent base facts are normalized; their stored generated extensions have non-key determinants. Section 6 states this qualification rather than asserting BCNF.</w:t>
      </w:r>
    </w:p>
    <w:p w14:paraId="6465F7C8" w14:textId="77777777" w:rsidR="00FC4A32" w:rsidRDefault="00000000">
      <w:pPr>
        <w:keepNext/>
        <w:keepLines/>
        <w:widowControl/>
      </w:pPr>
      <w:r>
        <w:rPr>
          <w:b/>
        </w:rPr>
        <w:t>5. When might you denormalize?</w:t>
      </w:r>
    </w:p>
    <w:p w14:paraId="36DF9AD6" w14:textId="77777777" w:rsidR="00FC4A32" w:rsidRDefault="00000000">
      <w:pPr>
        <w:keepLines/>
        <w:widowControl/>
      </w:pPr>
      <w:r>
        <w:t>A cached branch aggregate may help high-volume reporting, but introduces refresh/consistency costs. Our view aggregates product totals without a separate persistent summary table.</w:t>
      </w:r>
    </w:p>
    <w:p w14:paraId="3B43C741" w14:textId="77777777" w:rsidR="00FC4A32" w:rsidRDefault="00000000">
      <w:pPr>
        <w:keepNext/>
        <w:keepLines/>
        <w:widowControl/>
      </w:pPr>
      <w:r>
        <w:rPr>
          <w:b/>
        </w:rPr>
        <w:t>6. Where is the M:N junction?</w:t>
      </w:r>
    </w:p>
    <w:p w14:paraId="323FD557" w14:textId="77777777" w:rsidR="00FC4A32" w:rsidRDefault="00000000">
      <w:pPr>
        <w:keepLines/>
        <w:widowControl/>
      </w:pPr>
      <w:r>
        <w:t>This model has no joint-account or arbitrary customer-product junction. Customer-to-Branch can be traversed through Account, whose AccountNo distinguishes multiple accounts for one owner/branch pair.</w:t>
      </w:r>
    </w:p>
    <w:p w14:paraId="55E84472" w14:textId="77777777" w:rsidR="00FC4A32" w:rsidRDefault="00000000">
      <w:pPr>
        <w:keepNext/>
        <w:keepLines/>
        <w:widowControl/>
      </w:pPr>
      <w:r>
        <w:rPr>
          <w:b/>
        </w:rPr>
        <w:t>7. Why only selected delete cascades?</w:t>
      </w:r>
    </w:p>
    <w:p w14:paraId="4A969B16" w14:textId="77777777" w:rsidR="00FC4A32" w:rsidRDefault="00000000">
      <w:pPr>
        <w:keepLines/>
        <w:widowControl/>
      </w:pPr>
      <w:r>
        <w:t>Customer -&gt; Account/Beneficiary and Loan -&gt; Loan_Repayment are declared cascades. Transaction history can still block account deletion. Broad cascades could destroy financial evidence.</w:t>
      </w:r>
    </w:p>
    <w:p w14:paraId="0EC87463" w14:textId="77777777" w:rsidR="00FC4A32" w:rsidRDefault="00000000">
      <w:pPr>
        <w:keepNext/>
        <w:keepLines/>
        <w:widowControl/>
      </w:pPr>
      <w:r>
        <w:rPr>
          <w:b/>
        </w:rPr>
        <w:t>8. What if a referenced parent is deleted?</w:t>
      </w:r>
    </w:p>
    <w:p w14:paraId="3B25A1D4" w14:textId="77777777" w:rsidR="00FC4A32" w:rsidRDefault="00000000">
      <w:pPr>
        <w:keepLines/>
        <w:widowControl/>
      </w:pPr>
      <w:r>
        <w:t>The FK NO ACTION rule rejects deletion while protected child rows exist, unless the FK explicitly declares CASCADE. Demonstrate only in a rollback transaction.</w:t>
      </w:r>
    </w:p>
    <w:p w14:paraId="2DBE0DC5" w14:textId="77777777" w:rsidR="00FC4A32" w:rsidRDefault="00000000">
      <w:pPr>
        <w:keepNext/>
        <w:keepLines/>
        <w:widowControl/>
      </w:pPr>
      <w:r>
        <w:rPr>
          <w:b/>
        </w:rPr>
        <w:t>9. Why combine CHECK and NOT NULL?</w:t>
      </w:r>
    </w:p>
    <w:p w14:paraId="6F230A8B" w14:textId="77777777" w:rsidR="00FC4A32" w:rsidRDefault="00000000">
      <w:pPr>
        <w:keepLines/>
        <w:widowControl/>
      </w:pPr>
      <w:r>
        <w:t>CHECK rejects false but accepts unknown. Balance is NOT NULL plus CHECK Balance&gt;=0; a nullable status CHECK does not by itself reject NULL.</w:t>
      </w:r>
    </w:p>
    <w:p w14:paraId="2E585761" w14:textId="77777777" w:rsidR="00FC4A32" w:rsidRDefault="00000000">
      <w:pPr>
        <w:keepNext/>
        <w:keepLines/>
        <w:widowControl/>
      </w:pPr>
      <w:r>
        <w:rPr>
          <w:b/>
        </w:rPr>
        <w:t>10. DELETE TRUNCATE or DROP?</w:t>
      </w:r>
    </w:p>
    <w:p w14:paraId="0E1CF8D6" w14:textId="77777777" w:rsidR="00FC4A32" w:rsidRDefault="00000000">
      <w:pPr>
        <w:keepLines/>
        <w:widowControl/>
      </w:pPr>
      <w:r>
        <w:t>DELETE removes qualifying rows and fires row DELETE triggers; TRUNCATE removes all rows with stronger locking and separate trigger rules; DROP removes objects. PostgreSQL can roll these DDL/data effects back, subject to dependency rules.</w:t>
      </w:r>
    </w:p>
    <w:p w14:paraId="0882DFFE" w14:textId="77777777" w:rsidR="00FC4A32" w:rsidRDefault="00000000">
      <w:pPr>
        <w:keepNext/>
        <w:keepLines/>
        <w:widowControl/>
      </w:pPr>
      <w:r>
        <w:rPr>
          <w:b/>
        </w:rPr>
        <w:t>11. Why LEFT JOIN in a business report?</w:t>
      </w:r>
    </w:p>
    <w:p w14:paraId="1FD7DA3C" w14:textId="77777777" w:rsidR="00FC4A32" w:rsidRDefault="00000000">
      <w:pPr>
        <w:keepLines/>
        <w:widowControl/>
      </w:pPr>
      <w:r>
        <w:t>CQ-09 retains loans without any repayment attempt; an INNER JOIN would omit them and hide zero-collection loans.</w:t>
      </w:r>
    </w:p>
    <w:p w14:paraId="36DBE3CC" w14:textId="77777777" w:rsidR="00FC4A32" w:rsidRDefault="00000000">
      <w:pPr>
        <w:keepNext/>
        <w:keepLines/>
        <w:widowControl/>
      </w:pPr>
      <w:r>
        <w:rPr>
          <w:b/>
        </w:rPr>
        <w:lastRenderedPageBreak/>
        <w:t>12. WHERE versus HAVING?</w:t>
      </w:r>
    </w:p>
    <w:p w14:paraId="2CBEE533" w14:textId="77777777" w:rsidR="00FC4A32" w:rsidRDefault="00000000">
      <w:pPr>
        <w:keepLines/>
        <w:widowControl/>
      </w:pPr>
      <w:r>
        <w:t>B-04 applies Active status before grouping, then tests the branch SUM in HAVING. SUM cannot be used in that WHERE level.</w:t>
      </w:r>
    </w:p>
    <w:p w14:paraId="326B9212" w14:textId="77777777" w:rsidR="00FC4A32" w:rsidRDefault="00000000">
      <w:pPr>
        <w:keepNext/>
        <w:keepLines/>
        <w:widowControl/>
      </w:pPr>
      <w:r>
        <w:rPr>
          <w:b/>
        </w:rPr>
        <w:t>13. Why does NOT IN fail with NULL?</w:t>
      </w:r>
    </w:p>
    <w:p w14:paraId="63CF8D63" w14:textId="77777777" w:rsidR="00FC4A32" w:rsidRDefault="00000000">
      <w:pPr>
        <w:keepLines/>
        <w:widowControl/>
      </w:pPr>
      <w:r>
        <w:t>An unmatched comparison against a set containing NULL is UNKNOWN. D-06 filters the inner NULLs; NOT EXISTS is another intentional anti-join design.</w:t>
      </w:r>
    </w:p>
    <w:p w14:paraId="2C6FE86E" w14:textId="77777777" w:rsidR="00FC4A32" w:rsidRDefault="00000000">
      <w:pPr>
        <w:keepNext/>
        <w:keepLines/>
        <w:widowControl/>
      </w:pPr>
      <w:r>
        <w:rPr>
          <w:b/>
        </w:rPr>
        <w:t>14. EXISTS versus IN?</w:t>
      </w:r>
    </w:p>
    <w:p w14:paraId="5C349927" w14:textId="77777777" w:rsidR="00FC4A32" w:rsidRDefault="00000000">
      <w:pPr>
        <w:keepLines/>
        <w:widowControl/>
      </w:pPr>
      <w:r>
        <w:t>EXISTS tests row existence without multiplying the outer customer; D-04 uses it with correlated criteria. PostgreSQL may transform either form into a semi-join; measure the actual plan.</w:t>
      </w:r>
    </w:p>
    <w:p w14:paraId="68E45B29" w14:textId="77777777" w:rsidR="00FC4A32" w:rsidRDefault="00000000">
      <w:pPr>
        <w:keepNext/>
        <w:keepLines/>
        <w:widowControl/>
      </w:pPr>
      <w:r>
        <w:rPr>
          <w:b/>
        </w:rPr>
        <w:t>15. Correlated subquery or join on large data?</w:t>
      </w:r>
    </w:p>
    <w:p w14:paraId="1B8A269D" w14:textId="77777777" w:rsidR="00FC4A32" w:rsidRDefault="00000000">
      <w:pPr>
        <w:keepLines/>
        <w:widowControl/>
      </w:pPr>
      <w:r>
        <w:t>A join rewrite must preserve multiplicity, NULL and aggregation semantics. Neither syntax is always faster; compare representative plans, estimates and buffers.</w:t>
      </w:r>
    </w:p>
    <w:p w14:paraId="1DF80C09" w14:textId="77777777" w:rsidR="00FC4A32" w:rsidRDefault="00000000">
      <w:pPr>
        <w:keepNext/>
        <w:keepLines/>
        <w:widowControl/>
      </w:pPr>
      <w:r>
        <w:rPr>
          <w:b/>
        </w:rPr>
        <w:t>16. UNION or UNION ALL?</w:t>
      </w:r>
    </w:p>
    <w:p w14:paraId="4FF2752F" w14:textId="77777777" w:rsidR="00FC4A32" w:rsidRDefault="00000000">
      <w:pPr>
        <w:keepLines/>
        <w:widowControl/>
      </w:pPr>
      <w:r>
        <w:t>UNION removes duplicates; UNION ALL retains individual product rows in E-02. Removing duplicates can destroy intended multiplicity and adds distinct-processing work.</w:t>
      </w:r>
    </w:p>
    <w:p w14:paraId="23866398" w14:textId="77777777" w:rsidR="00FC4A32" w:rsidRDefault="00000000">
      <w:pPr>
        <w:keepNext/>
        <w:keepLines/>
        <w:widowControl/>
      </w:pPr>
      <w:r>
        <w:rPr>
          <w:b/>
        </w:rPr>
        <w:t>17. COUNT star column and DISTINCT?</w:t>
      </w:r>
    </w:p>
    <w:p w14:paraId="75A777B0" w14:textId="77777777" w:rsidR="00FC4A32" w:rsidRDefault="00000000">
      <w:pPr>
        <w:keepLines/>
        <w:widowControl/>
      </w:pPr>
      <w:r>
        <w:t>COUNT(*) counts rows, COUNT(Remarks) skips NULL remarks, COUNT(DISTINCT Remarks) counts distinct non-NULL values. A-06 proves missing remarks exist.</w:t>
      </w:r>
    </w:p>
    <w:p w14:paraId="34A780FE" w14:textId="77777777" w:rsidR="00FC4A32" w:rsidRDefault="00000000">
      <w:pPr>
        <w:keepNext/>
        <w:keepLines/>
        <w:widowControl/>
      </w:pPr>
      <w:r>
        <w:rPr>
          <w:b/>
        </w:rPr>
        <w:t>18. Why index AccountNo before TransactionDate?</w:t>
      </w:r>
    </w:p>
    <w:p w14:paraId="190C530A" w14:textId="77777777" w:rsidR="00FC4A32" w:rsidRDefault="00000000">
      <w:pPr>
        <w:keepLines/>
        <w:widowControl/>
      </w:pPr>
      <w:r>
        <w:t>The demonstration uses equality on account and a date range. A predicate only on the trailing date has different selectivity/access costs and is not guaranteed to use this index.</w:t>
      </w:r>
    </w:p>
    <w:p w14:paraId="08DA540B" w14:textId="77777777" w:rsidR="00FC4A32" w:rsidRDefault="00000000">
      <w:pPr>
        <w:keepNext/>
        <w:keepLines/>
        <w:widowControl/>
      </w:pPr>
      <w:r>
        <w:rPr>
          <w:b/>
        </w:rPr>
        <w:t>19. When can an index be ignored?</w:t>
      </w:r>
    </w:p>
    <w:p w14:paraId="3AD6E052" w14:textId="77777777" w:rsidR="00FC4A32" w:rsidRDefault="00000000">
      <w:pPr>
        <w:keepLines/>
        <w:widowControl/>
      </w:pPr>
      <w:r>
        <w:t>For a small table or a predicate matching most rows, sequential scanning can cost less than index access plus heap fetches. Planner choice is not an implementation failure.</w:t>
      </w:r>
    </w:p>
    <w:p w14:paraId="606877B6" w14:textId="77777777" w:rsidR="00FC4A32" w:rsidRDefault="00000000">
      <w:pPr>
        <w:keepNext/>
        <w:keepLines/>
        <w:widowControl/>
      </w:pPr>
      <w:r>
        <w:rPr>
          <w:b/>
        </w:rPr>
        <w:t>20. Explain the measured plan.</w:t>
      </w:r>
    </w:p>
    <w:p w14:paraId="22C57DBA" w14:textId="77777777" w:rsidR="00FC4A32" w:rsidRDefault="00000000">
      <w:pPr>
        <w:keepLines/>
        <w:widowControl/>
      </w:pPr>
      <w:r>
        <w:t>The baseline scans 642 rows and retains 21; the indexed plan uses a bitmap index then heap scan and sorts by date. Actual timings are too small and cache-sensitive for a general speedup claim.</w:t>
      </w:r>
    </w:p>
    <w:p w14:paraId="0D74FEAC" w14:textId="77777777" w:rsidR="00FC4A32" w:rsidRDefault="00000000">
      <w:pPr>
        <w:keepNext/>
        <w:keepLines/>
        <w:widowControl/>
      </w:pPr>
      <w:r>
        <w:rPr>
          <w:b/>
        </w:rPr>
        <w:t>21. How to prove an index benefit?</w:t>
      </w:r>
    </w:p>
    <w:p w14:paraId="5C5AC581" w14:textId="77777777" w:rsidR="00FC4A32" w:rsidRDefault="00000000">
      <w:pPr>
        <w:keepLines/>
        <w:widowControl/>
      </w:pPr>
      <w:r>
        <w:t>Use larger representative datasets, maintained statistics, repeated measurements and buffer/row analysis with identical predicates. Do not force enable_seqscan off as proof of a natural planner benefit.</w:t>
      </w:r>
    </w:p>
    <w:p w14:paraId="2157C879" w14:textId="77777777" w:rsidR="00FC4A32" w:rsidRDefault="00000000">
      <w:pPr>
        <w:keepNext/>
        <w:keepLines/>
        <w:widowControl/>
      </w:pPr>
      <w:r>
        <w:rPr>
          <w:b/>
        </w:rPr>
        <w:t>22. What do more indexes cost?</w:t>
      </w:r>
    </w:p>
    <w:p w14:paraId="3FB27EEF" w14:textId="77777777" w:rsidR="00FC4A32" w:rsidRDefault="00000000">
      <w:pPr>
        <w:keepLines/>
        <w:widowControl/>
      </w:pPr>
      <w:r>
        <w:t>Every INSERT/DELETE and indexed-column UPDATE maintains index entries; storage, WAL, vacuum and cache pressure can grow. Add indexes for measured access patterns.</w:t>
      </w:r>
    </w:p>
    <w:p w14:paraId="3DBC5A69" w14:textId="77777777" w:rsidR="00FC4A32" w:rsidRDefault="00000000">
      <w:pPr>
        <w:keepNext/>
        <w:keepLines/>
        <w:widowControl/>
      </w:pPr>
      <w:r>
        <w:rPr>
          <w:b/>
        </w:rPr>
        <w:t>23. What prevents two debits from overspending?</w:t>
      </w:r>
    </w:p>
    <w:p w14:paraId="7DE541D6" w14:textId="77777777" w:rsidR="00FC4A32" w:rsidRDefault="00000000">
      <w:pPr>
        <w:keepLines/>
        <w:widowControl/>
      </w:pPr>
      <w:r>
        <w:t>Lock the account before reading and checking its balance, then debit in the same transaction. A competing writer waits; an unlocked stale application read is insufficient.</w:t>
      </w:r>
    </w:p>
    <w:p w14:paraId="5F1BAAD2" w14:textId="77777777" w:rsidR="00FC4A32" w:rsidRDefault="00000000">
      <w:pPr>
        <w:keepNext/>
        <w:keepLines/>
        <w:widowControl/>
      </w:pPr>
      <w:r>
        <w:rPr>
          <w:b/>
        </w:rPr>
        <w:t>24. Two ways to prevent a lost update?</w:t>
      </w:r>
    </w:p>
    <w:p w14:paraId="437532B3" w14:textId="77777777" w:rsidR="00FC4A32" w:rsidRDefault="00000000">
      <w:pPr>
        <w:keepLines/>
        <w:widowControl/>
      </w:pPr>
      <w:r>
        <w:t>Use SELECT FOR UPDATE before read-modify-write, or a conditional atomic UPDATE with a Balance&gt;=amount predicate and checked row count. Serializable transactions can also require application retries.</w:t>
      </w:r>
    </w:p>
    <w:p w14:paraId="0226D2E6" w14:textId="77777777" w:rsidR="00FC4A32" w:rsidRDefault="00000000">
      <w:pPr>
        <w:keepNext/>
        <w:keepLines/>
        <w:widowControl/>
      </w:pPr>
      <w:r>
        <w:rPr>
          <w:b/>
        </w:rPr>
        <w:t>25. What anomalies remain at Read Committed?</w:t>
      </w:r>
    </w:p>
    <w:p w14:paraId="26757B2D" w14:textId="77777777" w:rsidR="00FC4A32" w:rsidRDefault="00000000">
      <w:pPr>
        <w:keepLines/>
        <w:widowControl/>
      </w:pPr>
      <w:r>
        <w:lastRenderedPageBreak/>
        <w:t>PostgreSQL never exposes dirty reads. Read Committed uses a new snapshot per statement, so non-repeatable reads and phantoms can occur. Repeatable Read removes those snapshot changes but can still need serialization reasoning.</w:t>
      </w:r>
    </w:p>
    <w:p w14:paraId="04033AFB" w14:textId="77777777" w:rsidR="00FC4A32" w:rsidRDefault="00000000">
      <w:pPr>
        <w:keepNext/>
        <w:keepLines/>
        <w:widowControl/>
      </w:pPr>
      <w:r>
        <w:rPr>
          <w:b/>
        </w:rPr>
        <w:t>26. How is committed data durable?</w:t>
      </w:r>
    </w:p>
    <w:p w14:paraId="0AFA5A32" w14:textId="77777777" w:rsidR="00FC4A32" w:rsidRDefault="00000000">
      <w:pPr>
        <w:keepLines/>
        <w:widowControl/>
      </w:pPr>
      <w:r>
        <w:t>WAL and commit flush behavior, checkpoints, fsync and synchronous_commit settings determine recovery guarantees. The project relies on PostgreSQL defaults and does not claim a separately tested power-loss recovery experiment.</w:t>
      </w:r>
    </w:p>
    <w:p w14:paraId="4162EDAE" w14:textId="77777777" w:rsidR="00FC4A32" w:rsidRDefault="00000000">
      <w:pPr>
        <w:keepNext/>
        <w:keepLines/>
        <w:widowControl/>
      </w:pPr>
      <w:r>
        <w:rPr>
          <w:b/>
        </w:rPr>
        <w:t>27. How can deadlocks occur?</w:t>
      </w:r>
    </w:p>
    <w:p w14:paraId="0B450AED" w14:textId="77777777" w:rsidR="00FC4A32" w:rsidRDefault="00000000">
      <w:pPr>
        <w:keepLines/>
        <w:widowControl/>
      </w:pPr>
      <w:r>
        <w:t>Opposite transfers locking sender first can form a cycle. Our transfer locks both Account numbers in one ascending order; clients must still handle retryable deadlock/serialization errors.</w:t>
      </w:r>
    </w:p>
    <w:p w14:paraId="72C0C9FC" w14:textId="77777777" w:rsidR="00FC4A32" w:rsidRDefault="00000000">
      <w:pPr>
        <w:keepNext/>
        <w:keepLines/>
        <w:widowControl/>
      </w:pPr>
      <w:r>
        <w:rPr>
          <w:b/>
        </w:rPr>
        <w:t>28. Procedure function or trigger?</w:t>
      </w:r>
    </w:p>
    <w:p w14:paraId="6911C8F9" w14:textId="77777777" w:rsidR="00FC4A32" w:rsidRDefault="00000000">
      <w:pPr>
        <w:keepLines/>
        <w:widowControl/>
      </w:pPr>
      <w:r>
        <w:t>EMI calculation is a SELECT-callable function; transfer is a CALL procedure with transaction control. Auditing and repayment side effects are triggers. Hidden trigger recursion or unbounded side effects would be hazards.</w:t>
      </w:r>
    </w:p>
    <w:p w14:paraId="6A57DF2E" w14:textId="77777777" w:rsidR="00FC4A32" w:rsidRDefault="00000000">
      <w:pPr>
        <w:keepNext/>
        <w:keepLines/>
        <w:widowControl/>
      </w:pPr>
      <w:r>
        <w:rPr>
          <w:b/>
        </w:rPr>
        <w:t>29. Why keep explicit cursors?</w:t>
      </w:r>
    </w:p>
    <w:p w14:paraId="4819E909" w14:textId="77777777" w:rsidR="00FC4A32" w:rsidRDefault="00000000">
      <w:pPr>
        <w:keepLines/>
        <w:widowControl/>
      </w:pPr>
      <w:r>
        <w:t>A set-based UPDATE is often more efficient, but the rubric requires explicit iteration. Our bound cursor loops illustrate per-row checks and coordinated audit/history postings within one atomic batch.</w:t>
      </w:r>
    </w:p>
    <w:p w14:paraId="250DEBBE" w14:textId="77777777" w:rsidR="00FC4A32" w:rsidRDefault="00000000">
      <w:pPr>
        <w:keepNext/>
        <w:keepLines/>
        <w:widowControl/>
      </w:pPr>
      <w:r>
        <w:rPr>
          <w:b/>
        </w:rPr>
        <w:t>30. How are injection branch access and passwords handled?</w:t>
      </w:r>
    </w:p>
    <w:p w14:paraId="221999F6" w14:textId="77777777" w:rsidR="00FC4A32" w:rsidRDefault="00000000">
      <w:pPr>
        <w:keepLines/>
        <w:widowControl/>
      </w:pPr>
      <w:r>
        <w:t>Psycopg2 parameters separate values from SQL; RBAC does not replace parameterization. The current API has simulated identity and no password store or enforced branch authorization. A production design would authenticate users and use branch-filtered policies with least-privileged connections.</w:t>
      </w:r>
    </w:p>
    <w:p w14:paraId="4B344636" w14:textId="77777777" w:rsidR="00FC4A32" w:rsidRDefault="00000000">
      <w:pPr>
        <w:keepNext/>
        <w:keepLines/>
        <w:widowControl/>
      </w:pPr>
      <w:r>
        <w:rPr>
          <w:b/>
        </w:rPr>
        <w:t>31. How would you recover an accidental deletion?</w:t>
      </w:r>
    </w:p>
    <w:p w14:paraId="2F766946" w14:textId="77777777" w:rsidR="00FC4A32" w:rsidRDefault="00000000">
      <w:pPr>
        <w:keepLines/>
        <w:widowControl/>
      </w:pPr>
      <w:r>
        <w:t>A verified base backup plus archived WAL can support point-in-time recovery before the deletion. A routine pg_dump alone is not arbitrary PITR. No archived-WAL/PITR environment is implemented or tested in this lab.</w:t>
      </w:r>
    </w:p>
    <w:p w14:paraId="04A65DD9" w14:textId="77777777" w:rsidR="00161867" w:rsidRDefault="00161867">
      <w:pPr>
        <w:keepLines/>
      </w:pPr>
    </w:p>
    <w:sectPr w:rsidR="00161867">
      <w:headerReference w:type="default" r:id="rId109"/>
      <w:footerReference w:type="default" r:id="rId110"/>
      <w:pgSz w:w="12240" w:h="15840" w:code="1"/>
      <w:pgMar w:top="1080" w:right="1008" w:bottom="1080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B0780" w14:textId="77777777" w:rsidR="00340614" w:rsidRDefault="00340614">
      <w:r>
        <w:separator/>
      </w:r>
    </w:p>
  </w:endnote>
  <w:endnote w:type="continuationSeparator" w:id="0">
    <w:p w14:paraId="1E3E826D" w14:textId="77777777" w:rsidR="00340614" w:rsidRDefault="00340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3C39D" w14:textId="77777777" w:rsidR="007D3889" w:rsidRDefault="007D3889">
    <w:pPr>
      <w:pStyle w:val="Footer"/>
      <w:pBdr>
        <w:top w:val="single" w:sz="4" w:space="1" w:color="auto"/>
      </w:pBdr>
      <w:tabs>
        <w:tab w:val="clear" w:pos="8640"/>
        <w:tab w:val="left" w:pos="9060"/>
        <w:tab w:val="right" w:pos="9360"/>
      </w:tabs>
      <w:jc w:val="center"/>
    </w:pPr>
    <w:r>
      <w:rPr>
        <w:b/>
        <w:smallCaps/>
        <w:sz w:val="16"/>
      </w:rPr>
      <w:t xml:space="preserve">Page </w:t>
    </w:r>
    <w:r>
      <w:rPr>
        <w:smallCaps/>
        <w:sz w:val="16"/>
      </w:rPr>
      <w:fldChar w:fldCharType="begin"/>
    </w:r>
    <w:r>
      <w:rPr>
        <w:smallCaps/>
        <w:sz w:val="16"/>
      </w:rPr>
      <w:instrText xml:space="preserve"> PAGE </w:instrText>
    </w:r>
    <w:r>
      <w:rPr>
        <w:smallCaps/>
        <w:sz w:val="16"/>
      </w:rPr>
      <w:fldChar w:fldCharType="separate"/>
    </w:r>
    <w:r w:rsidR="00ED77C4">
      <w:rPr>
        <w:smallCaps/>
        <w:noProof/>
        <w:sz w:val="16"/>
      </w:rPr>
      <w:t>3</w:t>
    </w:r>
    <w:r>
      <w:rPr>
        <w:smallCaps/>
        <w:sz w:val="16"/>
      </w:rPr>
      <w:fldChar w:fldCharType="end"/>
    </w:r>
    <w:r w:rsidR="006218E2">
      <w:rPr>
        <w:b/>
        <w:smallCaps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AB51A" w14:textId="77777777" w:rsidR="00340614" w:rsidRDefault="00340614">
      <w:r>
        <w:separator/>
      </w:r>
    </w:p>
  </w:footnote>
  <w:footnote w:type="continuationSeparator" w:id="0">
    <w:p w14:paraId="3DB8EC35" w14:textId="77777777" w:rsidR="00340614" w:rsidRDefault="00340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BD2B5" w14:textId="77777777" w:rsidR="007D3889" w:rsidRPr="005A4AF0" w:rsidRDefault="00DC0C3B" w:rsidP="005A4AF0">
    <w:pPr>
      <w:pStyle w:val="Header"/>
      <w:pBdr>
        <w:bottom w:val="single" w:sz="4" w:space="7" w:color="auto"/>
      </w:pBdr>
      <w:tabs>
        <w:tab w:val="clear" w:pos="4320"/>
        <w:tab w:val="center" w:pos="4770"/>
      </w:tabs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smallCaps/>
        <w:spacing w:val="-5"/>
        <w:sz w:val="18"/>
        <w:szCs w:val="18"/>
      </w:rPr>
      <w:t>BCSE302P CORE BANKING PROJECT GUIDE</w:t>
    </w:r>
    <w:r w:rsidR="00635655">
      <w:rPr>
        <w:rFonts w:ascii="Arial" w:hAnsi="Arial" w:cs="Arial"/>
        <w:b/>
        <w:smallCaps/>
        <w:spacing w:val="-5"/>
        <w:sz w:val="18"/>
        <w:szCs w:val="18"/>
      </w:rPr>
      <w:t/>
    </w:r>
    <w:r>
      <w:rPr>
        <w:rFonts w:ascii="Arial" w:hAnsi="Arial" w:cs="Arial"/>
        <w:b/>
        <w:smallCaps/>
        <w:spacing w:val="-5"/>
        <w:sz w:val="18"/>
        <w:szCs w:val="18"/>
      </w:rPr>
      <w:t/>
    </w:r>
    <w:r w:rsidR="005A4AF0" w:rsidRPr="005A4AF0">
      <w:rPr>
        <w:rFonts w:ascii="Arial" w:hAnsi="Arial" w:cs="Arial"/>
        <w:b/>
        <w:smallCaps/>
        <w:spacing w:val="-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A99411"/>
    <w:multiLevelType w:val="multilevel"/>
    <w:tmpl w:val="BF22EF8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7"/>
    <w:multiLevelType w:val="multilevel"/>
    <w:tmpl w:val="DBCCDFF8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5036F2B"/>
    <w:multiLevelType w:val="hybridMultilevel"/>
    <w:tmpl w:val="B8F8B0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496D61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994111"/>
    <w:multiLevelType w:val="multilevel"/>
    <w:tmpl w:val="9AF2B80C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18"/>
    <w:multiLevelType w:val="multilevel"/>
    <w:tmpl w:val="262A6B08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23"/>
    <w:multiLevelType w:val="multilevel"/>
    <w:tmpl w:val="2A7A1140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28"/>
    <w:multiLevelType w:val="multilevel"/>
    <w:tmpl w:val="83861C8C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1ACE0E92"/>
    <w:multiLevelType w:val="hybridMultilevel"/>
    <w:tmpl w:val="3DD231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44EBE"/>
    <w:multiLevelType w:val="hybridMultilevel"/>
    <w:tmpl w:val="1B50245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A0964"/>
    <w:multiLevelType w:val="hybridMultilevel"/>
    <w:tmpl w:val="C8F4D53A"/>
    <w:lvl w:ilvl="0" w:tplc="C08AFE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6EBBD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BACF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F23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365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F2CF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8231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9062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7C99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0BF4F7F"/>
    <w:multiLevelType w:val="hybridMultilevel"/>
    <w:tmpl w:val="E4F066C4"/>
    <w:lvl w:ilvl="0" w:tplc="031E05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C2F8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982C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72D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0EBB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8C50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7007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C48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A6BE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D8731F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0454075"/>
    <w:multiLevelType w:val="hybridMultilevel"/>
    <w:tmpl w:val="EEA4B6B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CF8651A"/>
    <w:multiLevelType w:val="hybridMultilevel"/>
    <w:tmpl w:val="69CE8074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D7CAE"/>
    <w:multiLevelType w:val="multilevel"/>
    <w:tmpl w:val="C4C0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A74D5"/>
    <w:multiLevelType w:val="hybridMultilevel"/>
    <w:tmpl w:val="BB02DB14"/>
    <w:lvl w:ilvl="0" w:tplc="1944BC8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126390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44E8EC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7E4C9B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3B8F13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9D830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F12D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36F26BF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CAC251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7" w15:restartNumberingAfterBreak="0">
    <w:nsid w:val="657057A5"/>
    <w:multiLevelType w:val="hybridMultilevel"/>
    <w:tmpl w:val="1E74A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B1BBC"/>
    <w:multiLevelType w:val="multilevel"/>
    <w:tmpl w:val="EFA881B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2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9" w15:restartNumberingAfterBreak="0">
    <w:nsid w:val="7F4C6BCB"/>
    <w:multiLevelType w:val="multilevel"/>
    <w:tmpl w:val="375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633FF"/>
    <w:multiLevelType w:val="hybridMultilevel"/>
    <w:tmpl w:val="E806DAF6"/>
    <w:lvl w:ilvl="0" w:tplc="AD7AA8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5A390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52A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C883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B4C1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B02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FCD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5675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8AD6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16358388">
    <w:abstractNumId w:val="18"/>
  </w:num>
  <w:num w:numId="2" w16cid:durableId="1582594771">
    <w:abstractNumId w:val="12"/>
  </w:num>
  <w:num w:numId="3" w16cid:durableId="80539106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4" w16cid:durableId="319386195">
    <w:abstractNumId w:val="11"/>
  </w:num>
  <w:num w:numId="5" w16cid:durableId="778833460">
    <w:abstractNumId w:val="20"/>
  </w:num>
  <w:num w:numId="6" w16cid:durableId="903637050">
    <w:abstractNumId w:val="16"/>
  </w:num>
  <w:num w:numId="7" w16cid:durableId="893009377">
    <w:abstractNumId w:val="10"/>
  </w:num>
  <w:num w:numId="8" w16cid:durableId="1485078184">
    <w:abstractNumId w:val="13"/>
  </w:num>
  <w:num w:numId="9" w16cid:durableId="1466460897">
    <w:abstractNumId w:val="17"/>
  </w:num>
  <w:num w:numId="10" w16cid:durableId="685327531">
    <w:abstractNumId w:val="15"/>
  </w:num>
  <w:num w:numId="11" w16cid:durableId="2042973421">
    <w:abstractNumId w:val="19"/>
  </w:num>
  <w:num w:numId="12" w16cid:durableId="590162367">
    <w:abstractNumId w:val="9"/>
  </w:num>
  <w:num w:numId="13" w16cid:durableId="1191063809">
    <w:abstractNumId w:val="18"/>
  </w:num>
  <w:num w:numId="14" w16cid:durableId="1877544397">
    <w:abstractNumId w:val="18"/>
  </w:num>
  <w:num w:numId="15" w16cid:durableId="760954687">
    <w:abstractNumId w:val="18"/>
  </w:num>
  <w:num w:numId="16" w16cid:durableId="36438219">
    <w:abstractNumId w:val="18"/>
  </w:num>
  <w:num w:numId="17" w16cid:durableId="259414376">
    <w:abstractNumId w:val="3"/>
  </w:num>
  <w:num w:numId="18" w16cid:durableId="1496072813">
    <w:abstractNumId w:val="8"/>
  </w:num>
  <w:num w:numId="19" w16cid:durableId="910041050">
    <w:abstractNumId w:val="18"/>
  </w:num>
  <w:num w:numId="20" w16cid:durableId="948388952">
    <w:abstractNumId w:val="14"/>
  </w:num>
  <w:num w:numId="21" w16cid:durableId="442555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11705343">
    <w:abstractNumId w:val="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3" w16cid:durableId="2058430758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4" w16cid:durableId="996155526">
    <w:abstractNumId w:val="5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5" w16cid:durableId="625816134">
    <w:abstractNumId w:val="6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26" w16cid:durableId="1273439838">
    <w:abstractNumId w:val="7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intFractionalCharacterWidth/>
  <w:activeWritingStyle w:appName="MSWord" w:lang="en-US" w:vendorID="8" w:dllVersion="513" w:checkStyle="1"/>
  <w:proofState w:spelling="clean" w:grammar="clean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WyMDYwMjQxsDQxNTJS0lEKTi0uzszPAykwqgUAZ8kh4SwAAAA="/>
  </w:docVars>
  <w:rsids>
    <w:rsidRoot w:val="002C6697"/>
    <w:rsid w:val="0001583C"/>
    <w:rsid w:val="00080774"/>
    <w:rsid w:val="00086C6C"/>
    <w:rsid w:val="000A538D"/>
    <w:rsid w:val="000B409C"/>
    <w:rsid w:val="000B599D"/>
    <w:rsid w:val="001050C3"/>
    <w:rsid w:val="001137E4"/>
    <w:rsid w:val="00115D82"/>
    <w:rsid w:val="0014243D"/>
    <w:rsid w:val="00142834"/>
    <w:rsid w:val="00147456"/>
    <w:rsid w:val="001478CC"/>
    <w:rsid w:val="00161867"/>
    <w:rsid w:val="001A2EF9"/>
    <w:rsid w:val="001D7A85"/>
    <w:rsid w:val="002174F2"/>
    <w:rsid w:val="0026461D"/>
    <w:rsid w:val="0026785C"/>
    <w:rsid w:val="002723D9"/>
    <w:rsid w:val="002827BC"/>
    <w:rsid w:val="002B6D98"/>
    <w:rsid w:val="002C6697"/>
    <w:rsid w:val="00306D1A"/>
    <w:rsid w:val="00340614"/>
    <w:rsid w:val="0037706B"/>
    <w:rsid w:val="00383959"/>
    <w:rsid w:val="003C3DCD"/>
    <w:rsid w:val="003D7452"/>
    <w:rsid w:val="003E35A7"/>
    <w:rsid w:val="004442AB"/>
    <w:rsid w:val="00464E7B"/>
    <w:rsid w:val="004702D8"/>
    <w:rsid w:val="004C67C1"/>
    <w:rsid w:val="004E24B8"/>
    <w:rsid w:val="004F5165"/>
    <w:rsid w:val="004F5612"/>
    <w:rsid w:val="005037B0"/>
    <w:rsid w:val="00514308"/>
    <w:rsid w:val="00516844"/>
    <w:rsid w:val="005430AD"/>
    <w:rsid w:val="005A4AF0"/>
    <w:rsid w:val="005B200E"/>
    <w:rsid w:val="005C594B"/>
    <w:rsid w:val="005E5479"/>
    <w:rsid w:val="00601808"/>
    <w:rsid w:val="00603180"/>
    <w:rsid w:val="006218E2"/>
    <w:rsid w:val="00635655"/>
    <w:rsid w:val="006712DD"/>
    <w:rsid w:val="00683900"/>
    <w:rsid w:val="00697AFB"/>
    <w:rsid w:val="006A280B"/>
    <w:rsid w:val="006C5900"/>
    <w:rsid w:val="00712EFA"/>
    <w:rsid w:val="00720BF4"/>
    <w:rsid w:val="007231B9"/>
    <w:rsid w:val="007303F5"/>
    <w:rsid w:val="0073222A"/>
    <w:rsid w:val="00735204"/>
    <w:rsid w:val="00747EFC"/>
    <w:rsid w:val="0079069B"/>
    <w:rsid w:val="007C5CA4"/>
    <w:rsid w:val="007D3889"/>
    <w:rsid w:val="007D44BA"/>
    <w:rsid w:val="007F45AD"/>
    <w:rsid w:val="007F48D2"/>
    <w:rsid w:val="0081325E"/>
    <w:rsid w:val="0082498E"/>
    <w:rsid w:val="00866B9E"/>
    <w:rsid w:val="00877AFC"/>
    <w:rsid w:val="008A3A2A"/>
    <w:rsid w:val="008A6EB4"/>
    <w:rsid w:val="008E2F18"/>
    <w:rsid w:val="009423CE"/>
    <w:rsid w:val="009452D7"/>
    <w:rsid w:val="00984C78"/>
    <w:rsid w:val="009D5EA3"/>
    <w:rsid w:val="009E6171"/>
    <w:rsid w:val="009E77F3"/>
    <w:rsid w:val="00A04319"/>
    <w:rsid w:val="00A1099D"/>
    <w:rsid w:val="00A445C7"/>
    <w:rsid w:val="00A62454"/>
    <w:rsid w:val="00A80C43"/>
    <w:rsid w:val="00A95804"/>
    <w:rsid w:val="00AA358F"/>
    <w:rsid w:val="00AA5F34"/>
    <w:rsid w:val="00AC6B58"/>
    <w:rsid w:val="00AF2F41"/>
    <w:rsid w:val="00B01856"/>
    <w:rsid w:val="00B0772F"/>
    <w:rsid w:val="00B365BC"/>
    <w:rsid w:val="00B45D00"/>
    <w:rsid w:val="00B70F6F"/>
    <w:rsid w:val="00B97F99"/>
    <w:rsid w:val="00BC1112"/>
    <w:rsid w:val="00BC37AB"/>
    <w:rsid w:val="00BC3FFF"/>
    <w:rsid w:val="00BD30F7"/>
    <w:rsid w:val="00C2689F"/>
    <w:rsid w:val="00C36CCB"/>
    <w:rsid w:val="00C371C0"/>
    <w:rsid w:val="00C377D9"/>
    <w:rsid w:val="00C51F5F"/>
    <w:rsid w:val="00C549BB"/>
    <w:rsid w:val="00C707CA"/>
    <w:rsid w:val="00C720FF"/>
    <w:rsid w:val="00C77D35"/>
    <w:rsid w:val="00CA073E"/>
    <w:rsid w:val="00CA4627"/>
    <w:rsid w:val="00CE40E5"/>
    <w:rsid w:val="00CE55BB"/>
    <w:rsid w:val="00D0335A"/>
    <w:rsid w:val="00D61582"/>
    <w:rsid w:val="00D8043A"/>
    <w:rsid w:val="00DA2AF7"/>
    <w:rsid w:val="00DB269C"/>
    <w:rsid w:val="00DC0C3B"/>
    <w:rsid w:val="00DD71F8"/>
    <w:rsid w:val="00DE307F"/>
    <w:rsid w:val="00E032BC"/>
    <w:rsid w:val="00E0633B"/>
    <w:rsid w:val="00E407AA"/>
    <w:rsid w:val="00E81758"/>
    <w:rsid w:val="00E93066"/>
    <w:rsid w:val="00EA47B3"/>
    <w:rsid w:val="00EB5483"/>
    <w:rsid w:val="00ED3D91"/>
    <w:rsid w:val="00ED77C4"/>
    <w:rsid w:val="00EE5BAC"/>
    <w:rsid w:val="00EF09FE"/>
    <w:rsid w:val="00F03273"/>
    <w:rsid w:val="00F3721D"/>
    <w:rsid w:val="00F4615F"/>
    <w:rsid w:val="00F5674E"/>
    <w:rsid w:val="00F93471"/>
    <w:rsid w:val="00FA434B"/>
    <w:rsid w:val="00FB2BE2"/>
    <w:rsid w:val="00FB3185"/>
    <w:rsid w:val="00FC4A32"/>
    <w:rsid w:val="00FE4581"/>
    <w:rsid w:val="00FF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E7532D"/>
  <w15:docId w15:val="{34CEBDD8-83DA-4E1A-B0C9-CDBA934A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100" w:line="259" w:lineRule="auto"/>
    </w:pPr>
    <w:rPr>
      <w:rFonts w:ascii="Times New Roman" w:hAnsi="Times New Roman"/>
      <w:color w:val="000000"/>
      <w:sz w:val="22"/>
      <w:lang w:val="en-US"/>
    </w:rPr>
  </w:style>
  <w:style w:type="paragraph" w:styleId="Heading1">
    <w:name w:val="heading 1"/>
    <w:basedOn w:val="Normal"/>
    <w:next w:val="BodyText"/>
    <w:qFormat/>
    <w:pPr>
      <w:keepNext/>
      <w:tabs>
        <w:tab w:val="left" w:pos="540"/>
      </w:tabs>
      <w:spacing w:before="240"/>
      <w:outlineLvl w:val="0"/>
    </w:pPr>
    <w:rPr>
      <w:b/>
      <w:smallCaps/>
      <w:sz w:val="28"/>
    </w:rPr>
  </w:style>
  <w:style w:type="paragraph" w:styleId="Heading2">
    <w:name w:val="heading 2"/>
    <w:basedOn w:val="Heading1"/>
    <w:next w:val="BodyText"/>
    <w:qFormat/>
    <w:pPr>
      <w:outlineLvl w:val="1"/>
    </w:pPr>
    <w:rPr>
      <w:smallCaps w:val="0"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ind w:right="288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sz w:val="24"/>
    </w:rPr>
  </w:style>
  <w:style w:type="paragraph" w:styleId="Heading5">
    <w:name w:val="heading 5"/>
    <w:aliases w:val="Block Label,h5,H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</w:rPr>
  </w:style>
  <w:style w:type="paragraph" w:styleId="Heading6">
    <w:name w:val="heading 6"/>
    <w:aliases w:val="h6,H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widowControl/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  <w:pPr>
      <w:shd w:val="clear" w:color="auto" w:fill="D9D9D9"/>
      <w:tabs>
        <w:tab w:val="left" w:pos="432"/>
        <w:tab w:val="right" w:leader="dot" w:pos="9350"/>
      </w:tabs>
    </w:pPr>
    <w:rPr>
      <w:b/>
      <w:bCs/>
      <w:noProof/>
      <w:szCs w:val="28"/>
    </w:rPr>
  </w:style>
  <w:style w:type="paragraph" w:customStyle="1" w:styleId="TOC10">
    <w:name w:val="TOC1"/>
    <w:basedOn w:val="Normal"/>
    <w:rPr>
      <w:b/>
      <w:sz w:val="28"/>
    </w:rPr>
  </w:style>
  <w:style w:type="paragraph" w:styleId="TOC2">
    <w:name w:val="toc 2"/>
    <w:basedOn w:val="Normal"/>
    <w:next w:val="Normal"/>
    <w:uiPriority w:val="39"/>
    <w:pPr>
      <w:tabs>
        <w:tab w:val="left" w:pos="864"/>
        <w:tab w:val="left" w:pos="1080"/>
        <w:tab w:val="right" w:leader="dot" w:pos="8640"/>
      </w:tabs>
      <w:ind w:left="475"/>
    </w:pPr>
    <w:rPr>
      <w:noProof/>
    </w:rPr>
  </w:style>
  <w:style w:type="paragraph" w:styleId="TOC3">
    <w:name w:val="toc 3"/>
    <w:basedOn w:val="Normal"/>
    <w:next w:val="Normal"/>
    <w:uiPriority w:val="39"/>
    <w:pPr>
      <w:tabs>
        <w:tab w:val="left" w:pos="1296"/>
        <w:tab w:val="right" w:leader="dot" w:pos="8640"/>
      </w:tabs>
      <w:ind w:left="864"/>
    </w:p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TOCBase">
    <w:name w:val="TOC Base"/>
    <w:basedOn w:val="Normal"/>
    <w:pPr>
      <w:widowControl/>
      <w:tabs>
        <w:tab w:val="right" w:leader="dot" w:pos="6480"/>
      </w:tabs>
      <w:spacing w:after="240" w:line="240" w:lineRule="atLeast"/>
    </w:pPr>
    <w:rPr>
      <w:color w:val="auto"/>
    </w:rPr>
  </w:style>
  <w:style w:type="paragraph" w:styleId="Title">
    <w:name w:val="Title"/>
    <w:basedOn w:val="Normal"/>
    <w:qFormat/>
    <w:pPr>
      <w:keepNext/>
      <w:spacing w:before="240"/>
      <w:jc w:val="center"/>
      <w:outlineLvl w:val="0"/>
    </w:pPr>
    <w:rPr>
      <w:b/>
      <w:kern w:val="28"/>
      <w:sz w:val="36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harChar">
    <w:name w:val="Char Char"/>
    <w:basedOn w:val="DefaultParagraphFont"/>
    <w:rPr>
      <w:b/>
      <w:color w:val="000000"/>
      <w:sz w:val="24"/>
      <w:lang w:val="en-US" w:eastAsia="en-US" w:bidi="ar-SA"/>
    </w:rPr>
  </w:style>
  <w:style w:type="paragraph" w:styleId="BodyText2">
    <w:name w:val="Body Text 2"/>
    <w:basedOn w:val="Normal"/>
    <w:semiHidden/>
    <w:rPr>
      <w:i/>
      <w:iCs/>
      <w:color w:val="0000FF"/>
    </w:rPr>
  </w:style>
  <w:style w:type="paragraph" w:styleId="BodyText3">
    <w:name w:val="Body Text 3"/>
    <w:basedOn w:val="Normal"/>
    <w:semiHidden/>
    <w:pPr>
      <w:jc w:val="both"/>
    </w:pPr>
    <w:rPr>
      <w:bCs/>
    </w:rPr>
  </w:style>
  <w:style w:type="character" w:customStyle="1" w:styleId="moghe">
    <w:name w:val="moghe"/>
    <w:basedOn w:val="DefaultParagraphFont"/>
    <w:rPr>
      <w:rFonts w:ascii="Arial" w:hAnsi="Arial" w:cs="Arial"/>
      <w:color w:val="000000"/>
      <w:sz w:val="20"/>
    </w:rPr>
  </w:style>
  <w:style w:type="paragraph" w:customStyle="1" w:styleId="CellText">
    <w:name w:val="Cell Text"/>
    <w:basedOn w:val="Normal"/>
    <w:pPr>
      <w:widowControl/>
      <w:spacing w:before="60"/>
    </w:pPr>
    <w:rPr>
      <w:color w:val="auto"/>
      <w:sz w:val="20"/>
    </w:rPr>
  </w:style>
  <w:style w:type="paragraph" w:customStyle="1" w:styleId="TableText">
    <w:name w:val="Table Text"/>
    <w:basedOn w:val="Normal"/>
    <w:pPr>
      <w:widowControl/>
      <w:spacing w:before="60"/>
    </w:pPr>
    <w:rPr>
      <w:color w:val="auto"/>
      <w:sz w:val="16"/>
    </w:rPr>
  </w:style>
  <w:style w:type="paragraph" w:styleId="BodyTextIndent">
    <w:name w:val="Body Text Indent"/>
    <w:basedOn w:val="Normal"/>
    <w:semiHidden/>
    <w:pPr>
      <w:ind w:left="360"/>
    </w:pPr>
  </w:style>
  <w:style w:type="character" w:styleId="CommentReference">
    <w:name w:val="annotation reference"/>
    <w:semiHidden/>
    <w:rPr>
      <w:sz w:val="16"/>
    </w:rPr>
  </w:style>
  <w:style w:type="paragraph" w:customStyle="1" w:styleId="SubtitleCover">
    <w:name w:val="Subtitle Cover"/>
    <w:basedOn w:val="Normal"/>
    <w:next w:val="BodyText"/>
    <w:pPr>
      <w:keepNext/>
      <w:widowControl/>
      <w:spacing w:before="240" w:after="160" w:line="360" w:lineRule="auto"/>
      <w:jc w:val="center"/>
    </w:pPr>
    <w:rPr>
      <w:rFonts w:ascii="Arial" w:hAnsi="Arial"/>
      <w:i/>
      <w:color w:val="auto"/>
      <w:kern w:val="28"/>
      <w:sz w:val="36"/>
    </w:rPr>
  </w:style>
  <w:style w:type="paragraph" w:customStyle="1" w:styleId="TitleCover">
    <w:name w:val="Title Cover"/>
    <w:basedOn w:val="Normal"/>
    <w:next w:val="SubtitleCover"/>
    <w:pPr>
      <w:keepNext/>
      <w:widowControl/>
      <w:spacing w:before="720" w:after="160" w:line="360" w:lineRule="auto"/>
      <w:jc w:val="center"/>
    </w:pPr>
    <w:rPr>
      <w:rFonts w:ascii="Arial" w:hAnsi="Arial"/>
      <w:b/>
      <w:color w:val="auto"/>
      <w:kern w:val="28"/>
      <w:sz w:val="48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ListParagraph">
    <w:name w:val="List Paragraph"/>
    <w:basedOn w:val="Normal"/>
    <w:qFormat/>
    <w:rsid w:val="007D3889"/>
    <w:pPr>
      <w:widowControl/>
      <w:spacing w:after="200" w:line="276" w:lineRule="auto"/>
      <w:ind w:left="720"/>
      <w:contextualSpacing/>
    </w:pPr>
    <w:rPr>
      <w:rFonts w:ascii="Calibri" w:hAnsi="Calibri"/>
      <w:color w:val="auto"/>
      <w:szCs w:val="22"/>
    </w:rPr>
  </w:style>
  <w:style w:type="table" w:styleId="TableGrid">
    <w:name w:val="Table Grid"/>
    <w:basedOn w:val="TableNormal"/>
    <w:uiPriority w:val="59"/>
    <w:rsid w:val="0026785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DE307F"/>
    <w:pPr>
      <w:widowControl/>
      <w:spacing w:before="100" w:beforeAutospacing="1" w:afterAutospacing="1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D77C4"/>
    <w:rPr>
      <w:b/>
      <w:bCs/>
    </w:rPr>
  </w:style>
  <w:style w:type="table" w:styleId="TableGridLight">
    <w:name w:val="Grid Table Light"/>
    <w:basedOn w:val="TableNormal"/>
    <w:uiPriority w:val="40"/>
    <w:rsid w:val="00115D8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C37AB"/>
    <w:pPr>
      <w:keepLines/>
      <w:widowControl/>
      <w:tabs>
        <w:tab w:val="clear" w:pos="540"/>
      </w:tabs>
      <w:spacing w:after="0"/>
      <w:outlineLvl w:val="9"/>
    </w:pPr>
    <w:rPr>
      <w:rFonts w:asciiTheme="majorHAnsi" w:eastAsiaTheme="majorEastAsia" w:hAnsiTheme="majorHAnsi" w:cstheme="majorBidi"/>
      <w:b w:val="0"/>
      <w:smallCaps w:val="0"/>
      <w:color w:val="A8422A" w:themeColor="accent1" w:themeShade="BF"/>
      <w:sz w:val="32"/>
      <w:szCs w:val="32"/>
    </w:rPr>
  </w:style>
  <w:style w:type="paragraph" w:customStyle="1" w:styleId="SQLCode">
    <w:name w:val="SQL Code"/>
    <w:pPr>
      <w:shd w:val="clear" w:color="auto" w:fill="F2F4F7"/>
      <w:ind w:left="115" w:right="115"/>
    </w:pPr>
    <w:rPr>
      <w:rFonts w:ascii="Consolas" w:hAnsi="Consolas"/>
      <w:color w:val="000000"/>
      <w:sz w:val="18"/>
    </w:rPr>
  </w:style>
  <w:style w:type="paragraph" w:customStyle="1" w:styleId="ResultCode">
    <w:name w:val="Result Code"/>
    <w:rPr>
      <w:rFonts w:ascii="Consolas" w:hAnsi="Consolas"/>
      <w:color w:val="000000"/>
      <w:sz w:val="18"/>
    </w:rPr>
  </w:style>
  <w:style w:type="paragraph" w:customStyle="1" w:styleId="ReportTOC">
    <w:name w:val="Report TOC"/>
    <w:rPr>
      <w:rFonts w:ascii="Times New Roman" w:hAnsi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87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42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45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53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12" Type="http://schemas.openxmlformats.org/officeDocument/2006/relationships/theme" Target="theme/theme1.xml"/><Relationship Id="rId5" Type="http://schemas.openxmlformats.org/officeDocument/2006/relationships/webSettings" Target="webSetting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" Type="http://schemas.openxmlformats.org/officeDocument/2006/relationships/settings" Target="settings.xml"/><Relationship Id="rId109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10" Type="http://schemas.openxmlformats.org/officeDocument/2006/relationships/footer" Target="footer1.xml"/><Relationship Id="rId3" Type="http://schemas.openxmlformats.org/officeDocument/2006/relationships/styles" Target="styles.xml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54DF07-A3BA-41A4-834D-ECF33EDDD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126</Pages>
  <Words>19243</Words>
  <Characters>109688</Characters>
  <Application>Microsoft Office Word</Application>
  <DocSecurity>0</DocSecurity>
  <Lines>914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 Template</vt:lpstr>
    </vt:vector>
  </TitlesOfParts>
  <Company>Hewlett-Packard</Company>
  <LinksUpToDate>false</LinksUpToDate>
  <CharactersWithSpaces>128674</CharactersWithSpaces>
  <SharedDoc>false</SharedDoc>
  <HLinks>
    <vt:vector size="84" baseType="variant">
      <vt:variant>
        <vt:i4>1376318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_Toc378170243</vt:lpwstr>
      </vt:variant>
      <vt:variant>
        <vt:i4>1376318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_Toc378170242</vt:lpwstr>
      </vt:variant>
      <vt:variant>
        <vt:i4>1376318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_Toc378170241</vt:lpwstr>
      </vt:variant>
      <vt:variant>
        <vt:i4>1376318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_Toc378170240</vt:lpwstr>
      </vt:variant>
      <vt:variant>
        <vt:i4>1179710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_Toc378170239</vt:lpwstr>
      </vt:variant>
      <vt:variant>
        <vt:i4>1179710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_Toc378170238</vt:lpwstr>
      </vt:variant>
      <vt:variant>
        <vt:i4>1179710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_Toc378170237</vt:lpwstr>
      </vt:variant>
      <vt:variant>
        <vt:i4>1179710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_Toc378170236</vt:lpwstr>
      </vt:variant>
      <vt:variant>
        <vt:i4>1179710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_Toc378170235</vt:lpwstr>
      </vt:variant>
      <vt:variant>
        <vt:i4>1179710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_Toc378170234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_Toc378170233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_Toc378170232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_Toc378170231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_Toc378170230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BANKING &amp; TRANSACTION MANAGEMENT SYSTEM</dc:title>
  <dc:subject>DATABASE SYSTEMS BCSE302P Review 3</dc:subject>
  <dc:creator>MIRZA MOHAMMAD ABBAS; ADITYA KUMAR SAHU; RISHAV MANJHI</dc:creator>
  <cp:keywords>PostgreSQL; Core Banking; BCSE302P; Review 3</cp:keywords>
  <cp:lastModifiedBy>MIRZA MOHAMMAD ABBAS</cp:lastModifiedBy>
  <cp:revision>12</cp:revision>
  <cp:lastPrinted>2005-06-02T09:23:00Z</cp:lastPrinted>
  <dcterms:created xsi:type="dcterms:W3CDTF">2026-09-29T13:14:00Z</dcterms:created>
  <dcterms:modified xsi:type="dcterms:W3CDTF">2026-10-19T22:26:00Z</dcterms:modified>
</cp:coreProperties>
</file>