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64E3B"/>
          <w:sz w:val="40"/>
        </w:rPr>
        <w:t>TestForge: Hybrid Architecture Blueprint</w:t>
      </w:r>
    </w:p>
    <w:p>
      <w:pPr>
        <w:spacing w:after="120"/>
      </w:pPr>
      <w:r>
        <w:rPr>
          <w:b/>
          <w:color w:val="059669"/>
          <w:sz w:val="22"/>
        </w:rPr>
        <w:t>Model-View-Controller (MVC) Foundation Combined with Event-Driven Architecture (EDA)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12" w:space="0" w:color="A7F3D0"/>
              <w:left w:val="single" w:sz="12" w:space="0" w:color="A7F3D0"/>
              <w:bottom w:val="single" w:sz="12" w:space="0" w:color="A7F3D0"/>
              <w:right w:val="single" w:sz="12" w:space="0" w:color="A7F3D0"/>
            </w:tcBorders>
          </w:tcPr>
          <w:p>
            <w:pPr>
              <w:spacing w:after="0"/>
            </w:pPr>
            <w:r>
              <w:rPr>
                <w:b/>
                <w:color w:val="064E3B"/>
                <w:sz w:val="19"/>
              </w:rPr>
              <w:t xml:space="preserve">Official GitHub Repository: </w:t>
            </w:r>
            <w:r>
              <w:rPr>
                <w:b/>
                <w:color w:val="059669"/>
                <w:sz w:val="19"/>
                <w:u w:val="single"/>
              </w:rPr>
              <w:t>https://github.com/mirza-zain-ali-baig/TestForge.git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64E3B"/>
          <w:sz w:val="26"/>
        </w:rPr>
        <w:t>1. Architectural Vision &amp; Rationale</w:t>
      </w:r>
    </w:p>
    <w:p>
      <w:r>
        <w:t xml:space="preserve">TestForge is an enterprise examination generation engine built for automated test paper authoring, curriculum hierarchy mapping, and AI-driven assessment generation. The project uses a </w:t>
      </w:r>
      <w:r>
        <w:rPr>
          <w:b/>
        </w:rPr>
        <w:t>Hybrid Architecture</w:t>
      </w:r>
      <w:r>
        <w:t xml:space="preserve"> blending the structural clarity of Model-View-Controller (MVC) with the reactive responsiveness of Event-Driven Architecture (EDA).</w:t>
        <w:br/>
        <w:br/>
        <w:t>Traditional monoliths tightly bind business rules, background processes, and HTTP handlers into fat endpoints. By contrast, this hybrid pattern establishes two critical guarantees:</w:t>
        <w:br/>
      </w:r>
    </w:p>
    <w:p>
      <w:pPr>
        <w:pStyle w:val="ListBullet"/>
        <w:spacing w:after="40"/>
      </w:pPr>
      <w:r>
        <w:rPr>
          <w:b/>
        </w:rPr>
        <w:t xml:space="preserve">Synchronous Predictability (MVC Foundation): </w:t>
      </w:r>
      <w:r>
        <w:t>Handles direct client interactions—blueprint configuration, instant question filtering, and paper preview rendering—with rigorous validation, clean separation of concerns, and low-latency execution.</w:t>
      </w:r>
    </w:p>
    <w:p>
      <w:pPr>
        <w:pStyle w:val="ListBullet"/>
        <w:spacing w:after="120"/>
      </w:pPr>
      <w:r>
        <w:rPr>
          <w:b/>
        </w:rPr>
        <w:t xml:space="preserve">Asynchronous Resilience (Event-Driven Background Processing): </w:t>
      </w:r>
      <w:r>
        <w:t>Offloads secondary operations—telemetry recording, generation metrics aggregation, and cache invalidation—onto non-blocking event emitters without stalling the user-facing response.</w:t>
      </w:r>
    </w:p>
    <w:p>
      <w:pPr>
        <w:spacing w:before="160" w:after="60"/>
      </w:pPr>
      <w:r>
        <w:rPr>
          <w:b/>
          <w:color w:val="064E3B"/>
          <w:sz w:val="26"/>
        </w:rPr>
        <w:t>2. MVC Foundation: Structural &amp; Responsibility Separation</w:t>
      </w:r>
    </w:p>
    <w:p>
      <w:r>
        <w:t>The MVC foundation organizes the entire application codebase into clear, single-responsibility domains: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064E3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64E3B"/>
              <w:left w:val="none"/>
              <w:bottom w:val="single" w:sz="8" w:space="0" w:color="064E3B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68"/>
            <w:shd w:fill="064E3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64E3B"/>
              <w:left w:val="none"/>
              <w:bottom w:val="single" w:sz="8" w:space="0" w:color="064E3B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Directory / Files</w:t>
            </w:r>
          </w:p>
        </w:tc>
        <w:tc>
          <w:tcPr>
            <w:tcW w:type="dxa" w:w="5184"/>
            <w:shd w:fill="064E3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8" w:space="0" w:color="064E3B"/>
              <w:left w:val="none"/>
              <w:bottom w:val="single" w:sz="8" w:space="0" w:color="064E3B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Responsibilities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r>
              <w:rPr>
                <w:b/>
                <w:color w:val="059669"/>
                <w:sz w:val="18"/>
              </w:rPr>
              <w:t>Model (M)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src/models/</w:t>
              <w:br/>
              <w:t>• question.model.ts</w:t>
              <w:br/>
              <w:t>• test.model.ts</w:t>
              <w:br/>
              <w:t>• curriculum.model.ts</w:t>
              <w:br/>
              <w:t>• lookup.model.ts</w:t>
            </w:r>
          </w:p>
        </w:tc>
        <w:tc>
          <w:tcPr>
            <w:tcW w:type="dxa" w:w="51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Pure data-access layer. Executes Supabase queries (question bank), Prisma queries (local SQLite saved tests), pagination beyond 1,000-row limits, and taxonomy caching. Contains zero presentation or routing logic.</w:t>
            </w:r>
          </w:p>
        </w:tc>
      </w:tr>
      <w:tr>
        <w:tc>
          <w:tcPr>
            <w:tcW w:type="dxa" w:w="1728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r>
              <w:rPr>
                <w:b/>
                <w:color w:val="059669"/>
                <w:sz w:val="18"/>
              </w:rPr>
              <w:t>View (V)</w:t>
            </w:r>
          </w:p>
        </w:tc>
        <w:tc>
          <w:tcPr>
            <w:tcW w:type="dxa" w:w="3168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src/components/</w:t>
              <w:br/>
              <w:t>• test-gen/</w:t>
              <w:br/>
              <w:t>• ui/ (Radix/Shadcn)</w:t>
            </w:r>
          </w:p>
        </w:tc>
        <w:tc>
          <w:tcPr>
            <w:tcW w:type="dxa" w:w="51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Interactive presentation tier. Delivers the test wizard, real-time question preview, drag-and-drop reordering, question bank filters, print/PDF rendering, and analytics visualizations.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r>
              <w:rPr>
                <w:b/>
                <w:color w:val="059669"/>
                <w:sz w:val="18"/>
              </w:rPr>
              <w:t>Controller (C)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src/controllers/</w:t>
              <w:br/>
              <w:t>• test.controller.ts</w:t>
              <w:br/>
              <w:t>• question.controller.ts</w:t>
              <w:br/>
              <w:t>• analytics.controller.ts</w:t>
              <w:br/>
              <w:t>• blueprint.controller.ts</w:t>
            </w:r>
          </w:p>
        </w:tc>
        <w:tc>
          <w:tcPr>
            <w:tcW w:type="dxa" w:w="51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7EB"/>
              <w:left w:val="none"/>
              <w:bottom w:val="single" w:sz="4" w:space="0" w:color="E5E7EB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7"/>
              </w:rPr>
              <w:t>Orchestration &amp; business logic. Coordinates data models, executes AI question synthesis via LLM SDK, performs multi-variant batch generation, calculates analytics, and emits events to the background bus.</w:t>
            </w:r>
          </w:p>
        </w:tc>
      </w:tr>
    </w:tbl>
    <w:p>
      <w:pPr>
        <w:spacing w:after="80"/>
      </w:pPr>
    </w:p>
    <w:p>
      <w:r>
        <w:rPr>
          <w:b/>
        </w:rPr>
        <w:t>Decoupled Thin Route Adapters (</w:t>
      </w:r>
      <w:r>
        <w:rPr>
          <w:b/>
        </w:rPr>
        <w:t>src/app/api/*/route.ts</w:t>
      </w:r>
      <w:r>
        <w:t xml:space="preserve">): Next.js App Router endpoints are strictly thin controllers. Route handlers only parse JSON payloads, validate HTTP input constraints, call controller methods (e.g., </w:t>
      </w:r>
      <w:r>
        <w:rPr>
          <w:i/>
        </w:rPr>
        <w:t>await TestController.generateTest(req)</w:t>
      </w:r>
      <w:r>
        <w:t>), and return formatted HTTP responses. Controllers remain 100% testable without mocking Next.js Request/Response objects.</w:t>
      </w:r>
    </w:p>
    <w:p>
      <w:pPr>
        <w:spacing w:before="160" w:after="60"/>
      </w:pPr>
      <w:r>
        <w:rPr>
          <w:b/>
          <w:color w:val="064E3B"/>
          <w:sz w:val="26"/>
        </w:rPr>
        <w:t>3. Event-Driven Architecture: Asynchronous Background Execution</w:t>
      </w:r>
    </w:p>
    <w:p>
      <w:r>
        <w:t>Heavy operations and non-critical side-effects are decoupled using an in-process, hot-reload-safe Event Bus (</w:t>
      </w:r>
      <w:r>
        <w:rPr>
          <w:b/>
        </w:rPr>
        <w:t>src/events/event-bus.ts</w:t>
      </w:r>
      <w:r>
        <w:t>). The bus implements non-blocking, fire-and-forget semantics:</w:t>
      </w:r>
    </w:p>
    <w:p>
      <w:pPr>
        <w:pStyle w:val="ListBullet"/>
        <w:spacing w:after="40"/>
      </w:pPr>
      <w:r>
        <w:rPr>
          <w:b/>
        </w:rPr>
        <w:t xml:space="preserve">test:generation:completed: </w:t>
      </w:r>
      <w:r>
        <w:t xml:space="preserve">Emitted immediately after a paper is assembled. The </w:t>
      </w:r>
      <w:r>
        <w:rPr>
          <w:b/>
        </w:rPr>
        <w:t>TestGenerationHandler</w:t>
      </w:r>
      <w:r>
        <w:t xml:space="preserve"> logs generation metrics (question counts, AI fill ratio, source mix) and broadcasts a cache-invalidation signal.</w:t>
      </w:r>
    </w:p>
    <w:p>
      <w:pPr>
        <w:pStyle w:val="ListBullet"/>
        <w:spacing w:after="40"/>
      </w:pPr>
      <w:r>
        <w:rPr>
          <w:b/>
        </w:rPr>
        <w:t xml:space="preserve">test:saved: </w:t>
      </w:r>
      <w:r>
        <w:t xml:space="preserve">Emitted when an educator persists an exam paper to SQLite. The </w:t>
      </w:r>
      <w:r>
        <w:rPr>
          <w:b/>
        </w:rPr>
        <w:t>AnalyticsHandler</w:t>
      </w:r>
      <w:r>
        <w:t xml:space="preserve"> captures metadata, updates test trend registries, and triggers analytics re-indexing.</w:t>
      </w:r>
    </w:p>
    <w:p>
      <w:pPr>
        <w:pStyle w:val="ListBullet"/>
        <w:spacing w:after="120"/>
      </w:pPr>
      <w:r>
        <w:rPr>
          <w:b/>
        </w:rPr>
        <w:t xml:space="preserve">analytics:rebuild:requested: </w:t>
      </w:r>
      <w:r>
        <w:t>Signals that historical stats, chapter coverage indices, or Bloom's taxonomy aggregates must be recalculated in the background.</w:t>
      </w:r>
    </w:p>
    <w:p>
      <w:pPr>
        <w:spacing w:before="160" w:after="60"/>
      </w:pPr>
      <w:r>
        <w:rPr>
          <w:b/>
          <w:color w:val="064E3B"/>
          <w:sz w:val="26"/>
        </w:rPr>
        <w:t>4. End-to-End Workflow &amp; Event Flow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</w:p>
          <w:p>
            <w:pPr>
              <w:spacing w:after="40" w:line="276" w:lineRule="auto"/>
            </w:pPr>
            <w:r>
              <w:rPr>
                <w:b/>
                <w:color w:val="059669"/>
                <w:sz w:val="17"/>
              </w:rPr>
              <w:t xml:space="preserve">[1] USER REQUEST: </w:t>
            </w:r>
            <w:r>
              <w:rPr>
                <w:color w:val="1F2937"/>
                <w:sz w:val="17"/>
              </w:rPr>
              <w:t>Educator selects Class, Subject, Chapters &amp; Blueprint on View (GeneratorWizard UI).</w:t>
            </w:r>
          </w:p>
          <w:p>
            <w:pPr>
              <w:spacing w:after="40" w:line="276" w:lineRule="auto"/>
            </w:pPr>
            <w:r>
              <w:rPr>
                <w:b/>
                <w:color w:val="059669"/>
                <w:sz w:val="17"/>
              </w:rPr>
              <w:t xml:space="preserve">[2] ROUTE ADAPTER: </w:t>
            </w:r>
            <w:r>
              <w:rPr>
                <w:color w:val="1F2937"/>
                <w:sz w:val="17"/>
              </w:rPr>
              <w:t>POST /api/generate-test validates blueprint schema &amp; delegates to TestController.</w:t>
            </w:r>
          </w:p>
          <w:p>
            <w:pPr>
              <w:spacing w:after="40" w:line="276" w:lineRule="auto"/>
            </w:pPr>
            <w:r>
              <w:rPr>
                <w:b/>
                <w:color w:val="059669"/>
                <w:sz w:val="17"/>
              </w:rPr>
              <w:t xml:space="preserve">[3] DATA RETRIEVAL: </w:t>
            </w:r>
            <w:r>
              <w:rPr>
                <w:color w:val="1F2937"/>
                <w:sz w:val="17"/>
              </w:rPr>
              <w:t>TestController queries QuestionModel (Supabase) for questions matching criteria.</w:t>
            </w:r>
          </w:p>
          <w:p>
            <w:pPr>
              <w:spacing w:after="40" w:line="276" w:lineRule="auto"/>
            </w:pPr>
            <w:r>
              <w:rPr>
                <w:b/>
                <w:color w:val="059669"/>
                <w:sz w:val="17"/>
              </w:rPr>
              <w:t xml:space="preserve">[4] AI SYNTHESIS: </w:t>
            </w:r>
            <w:r>
              <w:rPr>
                <w:color w:val="1F2937"/>
                <w:sz w:val="17"/>
              </w:rPr>
              <w:t>If question bank pool has shortfalls, Controller calls AIService (Z.ai SDK) to generate gaps.</w:t>
            </w:r>
          </w:p>
          <w:p>
            <w:pPr>
              <w:spacing w:after="40" w:line="276" w:lineRule="auto"/>
            </w:pPr>
            <w:r>
              <w:rPr>
                <w:b/>
                <w:color w:val="059669"/>
                <w:sz w:val="17"/>
              </w:rPr>
              <w:t xml:space="preserve">[5] ASYNC DISPATCH: </w:t>
            </w:r>
            <w:r>
              <w:rPr>
                <w:color w:val="1F2937"/>
                <w:sz w:val="17"/>
              </w:rPr>
              <w:t>TestController emits test:generation:completed onto EventBus without awaiting handlers.</w:t>
            </w:r>
          </w:p>
          <w:p>
            <w:pPr>
              <w:spacing w:after="40" w:line="276" w:lineRule="auto"/>
            </w:pPr>
            <w:r>
              <w:rPr>
                <w:b/>
                <w:color w:val="059669"/>
                <w:sz w:val="17"/>
              </w:rPr>
              <w:t xml:space="preserve">[6] IMMEDIATE 200: </w:t>
            </w:r>
            <w:r>
              <w:rPr>
                <w:color w:val="1F2937"/>
                <w:sz w:val="17"/>
              </w:rPr>
              <w:t>API sends assembled GeneratedTest JSON back to browser (zero latency penalty).</w:t>
            </w:r>
          </w:p>
          <w:p>
            <w:pPr>
              <w:spacing w:after="40" w:line="276" w:lineRule="auto"/>
            </w:pPr>
            <w:r>
              <w:rPr>
                <w:b/>
                <w:color w:val="059669"/>
                <w:sz w:val="17"/>
              </w:rPr>
              <w:t xml:space="preserve">[7] BACKGROUND JOB: </w:t>
            </w:r>
            <w:r>
              <w:rPr>
                <w:color w:val="1F2937"/>
                <w:sz w:val="17"/>
              </w:rPr>
              <w:t>TestGenHandler logs telemetry and triggers AnalyticsHandler to refresh dashboard metrics.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64E3B"/>
          <w:sz w:val="26"/>
        </w:rPr>
        <w:t>5. Extensibility &amp; Production Roadmap</w:t>
      </w:r>
    </w:p>
    <w:p>
      <w:r>
        <w:t xml:space="preserve">A paramount advantage of this Hybrid Architecture is its pluggable evolution path. Because Controllers and Handlers interact purely through the event contracts defined in </w:t>
      </w:r>
      <w:r>
        <w:rPr>
          <w:b/>
        </w:rPr>
        <w:t>src/events/events.ts</w:t>
      </w:r>
      <w:r>
        <w:t>, scaling to distributed infrastructure requires zero alterations to application business logic:</w:t>
        <w:br/>
      </w:r>
    </w:p>
    <w:p>
      <w:pPr>
        <w:pStyle w:val="ListBullet"/>
        <w:spacing w:after="40"/>
      </w:pPr>
      <w:r>
        <w:rPr>
          <w:b/>
        </w:rPr>
        <w:t xml:space="preserve">Pluggable Message Queue: </w:t>
      </w:r>
      <w:r>
        <w:t xml:space="preserve">The in-process EventEmitter in </w:t>
      </w:r>
      <w:r>
        <w:rPr>
          <w:i/>
        </w:rPr>
        <w:t>event-bus.ts</w:t>
      </w:r>
      <w:r>
        <w:t xml:space="preserve"> can be swapped for a distributed message broker (Redis Pub/Sub, BullMQ, AWS SQS, or Kafka) without modifying a single controller.</w:t>
      </w:r>
    </w:p>
    <w:p>
      <w:pPr>
        <w:pStyle w:val="ListBullet"/>
        <w:spacing w:after="40"/>
      </w:pPr>
      <w:r>
        <w:rPr>
          <w:b/>
        </w:rPr>
        <w:t xml:space="preserve">Independent Microservice Workers: </w:t>
      </w:r>
      <w:r>
        <w:t>Background listeners can be detached into standalone worker pods for heavy batch generation (e.g., generating 100 disjoint exam variants concurrently).</w:t>
      </w:r>
    </w:p>
    <w:p>
      <w:pPr>
        <w:pStyle w:val="ListBullet"/>
        <w:spacing w:after="80"/>
      </w:pPr>
      <w:r>
        <w:rPr>
          <w:b/>
        </w:rPr>
        <w:t xml:space="preserve">Backward Compatibility: </w:t>
      </w:r>
      <w:r>
        <w:t>Legacy entrypoints (</w:t>
      </w:r>
      <w:r>
        <w:rPr>
          <w:i/>
        </w:rPr>
        <w:t>lib/question-bank.ts</w:t>
      </w:r>
      <w:r>
        <w:t xml:space="preserve"> and </w:t>
      </w:r>
      <w:r>
        <w:rPr>
          <w:i/>
        </w:rPr>
        <w:t>lib/test-generator.ts</w:t>
      </w:r>
      <w:r>
        <w:t>) are maintained as lightweight re-export shims, guaranteeing that legacy scripts and external consumers continue functioning seamlessly.</w:t>
      </w:r>
    </w:p>
    <w:p>
      <w:pPr>
        <w:spacing w:before="200" w:after="0"/>
        <w:jc w:val="center"/>
      </w:pPr>
      <w:r>
        <w:rPr>
          <w:color w:val="6B7280"/>
          <w:sz w:val="17"/>
        </w:rPr>
        <w:t>TestForge · Hybrid MVC + Event-Driven Architecture · GitHub: https://github.com/mirza-zain-ali-baig/TestForge.git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