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65F4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32"/>
              </w:rPr>
              <w:t>EXAMFORGE AI: COMPREHENSIVE PROJECT REPORT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color w:val="CCFBF1"/>
                <w:sz w:val="20"/>
              </w:rPr>
              <w:t>Next-Generation Hybrid Test Generation, Deterministic Anti-Cheat Engine &amp; Multi-Format Paper Studio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47857"/>
          <w:bottom w:val="single" w:sz="6" w:space="0" w:color="047857"/>
          <w:left w:val="none"/>
          <w:right w:val="none"/>
          <w:insideH w:val="single" w:sz="6" w:space="0" w:color="047857"/>
          <w:insideV w:val="none"/>
        </w:tblBorders>
      </w:tblPr>
      <w:tblGrid>
        <w:gridCol w:w="5328"/>
        <w:gridCol w:w="5328"/>
      </w:tblGrid>
      <w:tr>
        <w:tc>
          <w:tcPr>
            <w:tcW w:type="dxa" w:w="5328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7"/>
              </w:rPr>
              <w:t xml:space="preserve">GitHub Repository: </w:t>
            </w:r>
            <w:r>
              <w:rPr>
                <w:color w:val="047857"/>
                <w:sz w:val="17"/>
                <w:u w:val="single"/>
              </w:rPr>
              <w:t>https://github.com/mirza-zain-ali-baig/TestForge</w:t>
            </w:r>
          </w:p>
        </w:tc>
        <w:tc>
          <w:tcPr>
            <w:tcW w:type="dxa" w:w="5328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7"/>
              </w:rPr>
              <w:t xml:space="preserve">Live Deployment URL: </w:t>
            </w:r>
            <w:r>
              <w:rPr>
                <w:color w:val="047857"/>
                <w:sz w:val="17"/>
                <w:u w:val="single"/>
              </w:rPr>
              <w:t>https://generate-test.vercel.app</w:t>
            </w:r>
          </w:p>
        </w:tc>
      </w:tr>
      <w:tr>
        <w:tc>
          <w:tcPr>
            <w:tcW w:type="dxa" w:w="5328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7"/>
              </w:rPr>
              <w:t xml:space="preserve">System Architecture: </w:t>
            </w:r>
            <w:r>
              <w:rPr>
                <w:sz w:val="17"/>
              </w:rPr>
              <w:t>Hybrid Model-View-Controller (MVC) + Event-Driven Architecture (EDA)</w:t>
            </w:r>
          </w:p>
        </w:tc>
        <w:tc>
          <w:tcPr>
            <w:tcW w:type="dxa" w:w="5328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7"/>
              </w:rPr>
              <w:t xml:space="preserve">Framework &amp; Stack: </w:t>
            </w:r>
            <w:r>
              <w:rPr>
                <w:sz w:val="17"/>
              </w:rPr>
              <w:t>Next.js 16 (Turbopack) · TypeScript · Supabase PostgreSQL · Prisma ORM</w:t>
            </w:r>
          </w:p>
        </w:tc>
      </w:tr>
      <w:tr>
        <w:tc>
          <w:tcPr>
            <w:tcW w:type="dxa" w:w="5328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7"/>
              </w:rPr>
              <w:t xml:space="preserve">AI Inference Engine: </w:t>
            </w:r>
            <w:r>
              <w:rPr>
                <w:sz w:val="17"/>
              </w:rPr>
              <w:t>Google Gemini 2.5 Flash (Direct REST Integration)</w:t>
            </w:r>
          </w:p>
        </w:tc>
        <w:tc>
          <w:tcPr>
            <w:tcW w:type="dxa" w:w="5328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7"/>
              </w:rPr>
              <w:t xml:space="preserve">Assessment Scope: </w:t>
            </w:r>
            <w:r>
              <w:rPr>
                <w:sz w:val="17"/>
              </w:rPr>
              <w:t>Classes 9–12 (Matric, FSc, O/A-Levels, CS, Physics, Chemistry, Math)</w:t>
            </w:r>
          </w:p>
        </w:tc>
      </w:tr>
    </w:tbl>
    <w:p>
      <w:pPr>
        <w:spacing w:before="160" w:after="60" w:line="252" w:lineRule="auto"/>
      </w:pPr>
      <w:r>
        <w:rPr>
          <w:rFonts w:ascii="Calibri" w:hAnsi="Calibri"/>
          <w:b/>
          <w:color w:val="047857"/>
          <w:sz w:val="26"/>
        </w:rPr>
        <w:t>1. Executive Summary &amp; Problem Formulation</w:t>
      </w:r>
    </w:p>
    <w:p>
      <w:pPr>
        <w:spacing w:before="0" w:after="60" w:line="252" w:lineRule="auto"/>
      </w:pPr>
      <w:r>
        <w:rPr>
          <w:rFonts w:ascii="Calibri" w:hAnsi="Calibri"/>
          <w:b/>
          <w:color w:val="0F172A"/>
          <w:sz w:val="18"/>
        </w:rPr>
        <w:t xml:space="preserve">Educational Assessment Challenge: </w:t>
      </w:r>
      <w:r>
        <w:rPr>
          <w:rFonts w:ascii="Calibri" w:hAnsi="Calibri"/>
          <w:color w:val="0F172A"/>
          <w:sz w:val="18"/>
        </w:rPr>
        <w:t>Preparing high-stakes secondary and higher-secondary examinations across modern educational boards is historically plagued by severe operational bottlenecks: hours spent assembling balanced tests, cognitive skew towards easy recall over deep problem solving, and examination paper leaks in shared examination halls. Conventional test-generation tools are either rigid, static database query interfaces or unconstrained LLM wrappers that hallucinate out-of-syllabus questions with zero mark/cognitive validation.</w:t>
      </w:r>
    </w:p>
    <w:p>
      <w:pPr>
        <w:spacing w:before="0" w:after="60" w:line="252" w:lineRule="auto"/>
      </w:pPr>
      <w:r>
        <w:rPr>
          <w:rFonts w:ascii="Calibri" w:hAnsi="Calibri"/>
          <w:b/>
          <w:color w:val="0F172A"/>
          <w:sz w:val="18"/>
        </w:rPr>
        <w:t xml:space="preserve">The ExamForge Solution: </w:t>
      </w:r>
      <w:r>
        <w:rPr>
          <w:rFonts w:ascii="Calibri" w:hAnsi="Calibri"/>
          <w:color w:val="0F172A"/>
          <w:sz w:val="18"/>
        </w:rPr>
        <w:t>ExamForge AI solves this crisis by introducing a production-grade Hybrid Architecture that harmonizes deterministic relational curriculum constraints with state-of-the-art Generative AI. Operating over a curated bank of 2,123+ verified questions and an intelligent Google Gemini 2.5 Flash shortfall fill engine, ExamForge guarantees 100% syllabus adherence, sub-second generation latency, and cryptographically verified anti-cheat variant partitioning.</w:t>
      </w:r>
    </w:p>
    <w:p>
      <w:pPr>
        <w:spacing w:before="120" w:after="60" w:line="252" w:lineRule="auto"/>
      </w:pPr>
      <w:r>
        <w:rPr>
          <w:rFonts w:ascii="Calibri" w:hAnsi="Calibri"/>
          <w:b/>
          <w:color w:val="047857"/>
          <w:sz w:val="26"/>
        </w:rPr>
        <w:t>2. High-Level Architectural Foundations (Hybrid MVC + EDA)</w:t>
      </w:r>
    </w:p>
    <w:p>
      <w:pPr>
        <w:spacing w:before="0" w:after="60" w:line="252" w:lineRule="auto"/>
      </w:pPr>
      <w:r>
        <w:rPr>
          <w:rFonts w:ascii="Calibri" w:hAnsi="Calibri"/>
          <w:b/>
          <w:color w:val="0F172A"/>
          <w:sz w:val="18"/>
        </w:rPr>
        <w:t xml:space="preserve">Architectural Paradigm: </w:t>
      </w:r>
      <w:r>
        <w:rPr>
          <w:rFonts w:ascii="Calibri" w:hAnsi="Calibri"/>
          <w:color w:val="0F172A"/>
          <w:sz w:val="18"/>
        </w:rPr>
        <w:t>ExamForge implements an enterprise Hybrid Model-View-Controller (MVC) combined with an asynchronous Event-Driven Architecture (EDA). The system decouples interactive client state from persistent relational schemas and background analytics aggregation: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552"/>
        <w:gridCol w:w="3552"/>
        <w:gridCol w:w="3552"/>
      </w:tblGrid>
      <w:tr>
        <w:tc>
          <w:tcPr>
            <w:tcW w:type="dxa" w:w="2592"/>
            <w:tcMar>
              <w:top w:w="40" w:type="dxa"/>
              <w:bottom w:w="40" w:type="dxa"/>
              <w:left w:w="70" w:type="dxa"/>
              <w:right w:w="70" w:type="dxa"/>
            </w:tcMar>
            <w:shd w:fill="065F4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Subsystem Layer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70" w:type="dxa"/>
              <w:right w:w="70" w:type="dxa"/>
            </w:tcMar>
            <w:shd w:fill="065F4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Core Technologies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70" w:type="dxa"/>
              <w:right w:w="70" w:type="dxa"/>
            </w:tcMar>
            <w:shd w:fill="065F4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Architectural Responsibilities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F172A"/>
                <w:sz w:val="17"/>
              </w:rPr>
              <w:t>Client App Shell &amp; Studio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Next.js 16 (App Router), React 19, TailwindCSS, Radix UI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Distraction-free 4-step wizard, interactive question studio, live A4 iframe preview, responsive mobile drawer.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F172A"/>
                <w:sz w:val="17"/>
              </w:rPr>
              <w:t>Controller &amp; API Layer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Next.js Route Handlers, TypeScript, Edge Middleware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Stateless REST endpoints for curriculum traversal, fast batch availability checks, and multi-variant partitioning.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F172A"/>
                <w:sz w:val="17"/>
              </w:rPr>
              <w:t>Data &amp; Caching Layer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Supabase PostgreSQL, Prisma ORM, In-Memory Question Cache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Multi-tier caching achieving sub-35ms query latency, relational question bank with full cognitive metadata.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F172A"/>
                <w:sz w:val="17"/>
              </w:rPr>
              <w:t>AI Inference Subsystem</w:t>
            </w:r>
          </w:p>
        </w:tc>
        <w:tc>
          <w:tcPr>
            <w:tcW w:type="dxa" w:w="3168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Google Gemini 2.5 Flash REST API, Prompt Engine</w:t>
            </w:r>
          </w:p>
        </w:tc>
        <w:tc>
          <w:tcPr>
            <w:tcW w:type="dxa" w:w="4896"/>
            <w:tcMar>
              <w:top w:w="40" w:type="dxa"/>
              <w:bottom w:w="40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7"/>
              </w:rPr>
              <w:t>Adaptive shortfall generation, contextual answer explanations, automatic blueprint matrix suggestions.</w:t>
            </w:r>
          </w:p>
        </w:tc>
      </w:tr>
    </w:tbl>
    <w:p>
      <w:r>
        <w:br w:type="page"/>
      </w:r>
    </w:p>
    <w:p>
      <w:pPr>
        <w:spacing w:before="120" w:after="60" w:line="252" w:lineRule="auto"/>
      </w:pPr>
      <w:r>
        <w:rPr>
          <w:rFonts w:ascii="Calibri" w:hAnsi="Calibri"/>
          <w:b/>
          <w:color w:val="047857"/>
          <w:sz w:val="26"/>
        </w:rPr>
        <w:t>3. Domain Architecture &amp; Object-Oriented Class Hierarchy</w:t>
      </w:r>
    </w:p>
    <w:p>
      <w:pPr>
        <w:spacing w:before="0" w:after="60" w:line="252" w:lineRule="auto"/>
      </w:pPr>
      <w:r>
        <w:rPr>
          <w:rFonts w:ascii="Calibri" w:hAnsi="Calibri"/>
          <w:b/>
          <w:color w:val="0F172A"/>
          <w:sz w:val="18"/>
        </w:rPr>
        <w:t xml:space="preserve">Structural Modeling: </w:t>
      </w:r>
      <w:r>
        <w:rPr>
          <w:rFonts w:ascii="Calibri" w:hAnsi="Calibri"/>
          <w:color w:val="0F172A"/>
          <w:sz w:val="18"/>
        </w:rPr>
        <w:t>The ExamForge object model enforces strict ontological separation between academic hierarchy, question definitions, blueprint requirements, and concrete generated examination artifacts. Entities maintain referential integrity through bidirectional Prisma mappings and in-memory TypeScript type definitions.</w:t>
      </w:r>
    </w:p>
    <w:p>
      <w:pPr>
        <w:spacing w:before="40" w:after="40" w:line="252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83680" cy="4359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59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52" w:lineRule="auto"/>
        <w:jc w:val="center"/>
      </w:pPr>
      <w:r>
        <w:rPr>
          <w:rFonts w:ascii="Calibri" w:hAnsi="Calibri"/>
          <w:i/>
          <w:color w:val="64748B"/>
          <w:sz w:val="16"/>
        </w:rPr>
        <w:t>Figure 1: Complete UML Class Diagram of ExamForge Domain Entities, Generation Services, and Data Models.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552"/>
        <w:gridCol w:w="3552"/>
        <w:gridCol w:w="3552"/>
      </w:tblGrid>
      <w:tr>
        <w:tc>
          <w:tcPr>
            <w:tcW w:type="dxa" w:w="2592"/>
            <w:tcMar>
              <w:top w:w="35" w:type="dxa"/>
              <w:bottom w:w="35" w:type="dxa"/>
              <w:left w:w="70" w:type="dxa"/>
              <w:right w:w="70" w:type="dxa"/>
            </w:tcMar>
            <w:shd w:fill="065F4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Class / Entity Name</w:t>
            </w:r>
          </w:p>
        </w:tc>
        <w:tc>
          <w:tcPr>
            <w:tcW w:type="dxa" w:w="3744"/>
            <w:tcMar>
              <w:top w:w="35" w:type="dxa"/>
              <w:bottom w:w="35" w:type="dxa"/>
              <w:left w:w="70" w:type="dxa"/>
              <w:right w:w="70" w:type="dxa"/>
            </w:tcMar>
            <w:shd w:fill="065F4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Key Attributes &amp; Methods</w:t>
            </w:r>
          </w:p>
        </w:tc>
        <w:tc>
          <w:tcPr>
            <w:tcW w:type="dxa" w:w="4320"/>
            <w:tcMar>
              <w:top w:w="35" w:type="dxa"/>
              <w:bottom w:w="35" w:type="dxa"/>
              <w:left w:w="70" w:type="dxa"/>
              <w:right w:w="70" w:type="dxa"/>
            </w:tcMar>
            <w:shd w:fill="065F4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Design Pattern / Role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>CurriculumNode</w:t>
            </w:r>
          </w:p>
        </w:tc>
        <w:tc>
          <w:tcPr>
            <w:tcW w:type="dxa" w:w="3744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id, name, level (Class/Subject/Chapter/Topic), parentId, questionCount, children[]</w:t>
            </w:r>
          </w:p>
        </w:tc>
        <w:tc>
          <w:tcPr>
            <w:tcW w:type="dxa" w:w="4320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Composite Pattern: Models 4-tier educational hierarchy with fast pre-computed question aggregations.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>Question</w:t>
            </w:r>
          </w:p>
        </w:tc>
        <w:tc>
          <w:tcPr>
            <w:tcW w:type="dxa" w:w="3744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id, text, type (MCQ/Short/Long), marks, difficulty, options (A-D), correctOption, topicId</w:t>
            </w:r>
          </w:p>
        </w:tc>
        <w:tc>
          <w:tcPr>
            <w:tcW w:type="dxa" w:w="4320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Core Domain Entity: Represents atomized assessment units with multi-column choice permutations.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>TestBlueprint</w:t>
            </w:r>
          </w:p>
        </w:tc>
        <w:tc>
          <w:tcPr>
            <w:tcW w:type="dxa" w:w="3744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subjectId, chapterIds[], topicIds[], sections {type, count, marksPerQ, difficulties}</w:t>
            </w:r>
          </w:p>
        </w:tc>
        <w:tc>
          <w:tcPr>
            <w:tcW w:type="dxa" w:w="4320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Specification Pattern: Governs total questions, duration, cognitive distribution, and mark ceilings.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>GeneratedTest &amp; TestSection</w:t>
            </w:r>
          </w:p>
        </w:tc>
        <w:tc>
          <w:tcPr>
            <w:tcW w:type="dxa" w:w="3744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id, title, className, durationMins, totalMarks, sections[], headerConfig, paperCode</w:t>
            </w:r>
          </w:p>
        </w:tc>
        <w:tc>
          <w:tcPr>
            <w:tcW w:type="dxa" w:w="4320"/>
            <w:tcMar>
              <w:top w:w="35" w:type="dxa"/>
              <w:bottom w:w="35" w:type="dxa"/>
              <w:left w:w="70" w:type="dxa"/>
              <w:right w:w="7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Assembly Entity: Concrete exam instance containing ordered questions, custom institution header, and instructions.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>MultiVariantBatch</w:t>
            </w:r>
          </w:p>
        </w:tc>
        <w:tc>
          <w:tcPr>
            <w:tcW w:type="dxa" w:w="3744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batchId, sourceTest, variants: GeneratedTest[] (A-F), disjointPools, parityMetrics</w:t>
            </w:r>
          </w:p>
        </w:tc>
        <w:tc>
          <w:tcPr>
            <w:tcW w:type="dxa" w:w="4320"/>
            <w:tcMar>
              <w:top w:w="35" w:type="dxa"/>
              <w:bottom w:w="35" w:type="dxa"/>
              <w:left w:w="70" w:type="dxa"/>
              <w:right w:w="7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Aggregate Root: Manages 2-6 parallel examination papers with mathematically verified question disjointness.</w:t>
            </w:r>
          </w:p>
        </w:tc>
      </w:tr>
    </w:tbl>
    <w:p>
      <w:r>
        <w:br w:type="page"/>
      </w:r>
    </w:p>
    <w:p>
      <w:pPr>
        <w:spacing w:before="120" w:after="60" w:line="252" w:lineRule="auto"/>
      </w:pPr>
      <w:r>
        <w:rPr>
          <w:rFonts w:ascii="Calibri" w:hAnsi="Calibri"/>
          <w:b/>
          <w:color w:val="047857"/>
          <w:sz w:val="26"/>
        </w:rPr>
        <w:t>4. Functional Requirements &amp; Core Use Case Models</w:t>
      </w:r>
    </w:p>
    <w:p>
      <w:pPr>
        <w:spacing w:before="0" w:after="60" w:line="252" w:lineRule="auto"/>
      </w:pPr>
      <w:r>
        <w:rPr>
          <w:rFonts w:ascii="Calibri" w:hAnsi="Calibri"/>
          <w:b/>
          <w:color w:val="0F172A"/>
          <w:sz w:val="18"/>
        </w:rPr>
        <w:t xml:space="preserve">Use Case Modeling: </w:t>
      </w:r>
      <w:r>
        <w:rPr>
          <w:rFonts w:ascii="Calibri" w:hAnsi="Calibri"/>
          <w:color w:val="0F172A"/>
          <w:sz w:val="18"/>
        </w:rPr>
        <w:t>System functionality is mapped across primary human actors and external autonomous services. Use case flows enforce strict linear dependencies (&lt;&lt;depends on&gt;&gt;) for data integrity and dynamic extensibility (&lt;&lt;extend&gt;&gt;) for optional AI interventions.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552"/>
        <w:gridCol w:w="3552"/>
        <w:gridCol w:w="3552"/>
      </w:tblGrid>
      <w:tr>
        <w:tc>
          <w:tcPr>
            <w:tcW w:type="dxa" w:w="3542"/>
            <w:tcMar>
              <w:top w:w="30" w:type="dxa"/>
              <w:bottom w:w="30" w:type="dxa"/>
              <w:left w:w="60" w:type="dxa"/>
              <w:right w:w="60" w:type="dxa"/>
            </w:tcMar>
            <w:shd w:fill="F0FDF4"/>
          </w:tcPr>
          <w:p>
            <w:pPr>
              <w:spacing w:before="0" w:after="0" w:line="252" w:lineRule="auto"/>
            </w:pPr>
            <w:r>
              <w:rPr>
                <w:b/>
                <w:color w:val="047857"/>
                <w:sz w:val="17"/>
              </w:rPr>
              <w:t>Teacher (Primary Actor)</w:t>
              <w:br/>
            </w:r>
            <w:r>
              <w:rPr>
                <w:color w:val="0F172A"/>
                <w:sz w:val="16"/>
              </w:rPr>
              <w:t>Initiates syllabus filtering, configures cognitive blueprints, reviews drafts, inline-edits questions, and exports formatted exam papers.</w:t>
            </w:r>
          </w:p>
        </w:tc>
        <w:tc>
          <w:tcPr>
            <w:tcW w:type="dxa" w:w="3542"/>
            <w:tcMar>
              <w:top w:w="30" w:type="dxa"/>
              <w:bottom w:w="30" w:type="dxa"/>
              <w:left w:w="60" w:type="dxa"/>
              <w:right w:w="60" w:type="dxa"/>
            </w:tcMar>
            <w:shd w:fill="F0FDF4"/>
          </w:tcPr>
          <w:p>
            <w:pPr>
              <w:spacing w:before="0" w:after="0" w:line="252" w:lineRule="auto"/>
            </w:pPr>
            <w:r>
              <w:rPr>
                <w:b/>
                <w:color w:val="047857"/>
                <w:sz w:val="17"/>
              </w:rPr>
              <w:t>Exam Officer (Instructor)</w:t>
              <w:br/>
            </w:r>
            <w:r>
              <w:rPr>
                <w:color w:val="0F172A"/>
                <w:sz w:val="16"/>
              </w:rPr>
              <w:t>Configures high-stakes multi-variant batches (2-6 sets), verifies cognitive parity, audits question distribution, and exports master batches.</w:t>
            </w:r>
          </w:p>
        </w:tc>
        <w:tc>
          <w:tcPr>
            <w:tcW w:type="dxa" w:w="3542"/>
            <w:tcMar>
              <w:top w:w="30" w:type="dxa"/>
              <w:bottom w:w="30" w:type="dxa"/>
              <w:left w:w="60" w:type="dxa"/>
              <w:right w:w="60" w:type="dxa"/>
            </w:tcMar>
            <w:shd w:fill="F0FDF4"/>
          </w:tcPr>
          <w:p>
            <w:pPr>
              <w:spacing w:before="0" w:after="0" w:line="252" w:lineRule="auto"/>
            </w:pPr>
            <w:r>
              <w:rPr>
                <w:b/>
                <w:color w:val="047857"/>
                <w:sz w:val="17"/>
              </w:rPr>
              <w:t>Gemini AI (External Actor)</w:t>
              <w:br/>
            </w:r>
            <w:r>
              <w:rPr>
                <w:color w:val="0F172A"/>
                <w:sz w:val="16"/>
              </w:rPr>
              <w:t>Autonomously fills curriculum question shortfalls, computes step-by-step math/science explanations, and suggests optimal blueprints.</w:t>
            </w:r>
          </w:p>
        </w:tc>
      </w:tr>
    </w:tbl>
    <w:p>
      <w:pPr>
        <w:spacing w:before="80" w:after="40" w:line="252" w:lineRule="auto"/>
      </w:pPr>
      <w:r>
        <w:rPr>
          <w:rFonts w:ascii="Calibri" w:hAnsi="Calibri"/>
          <w:b/>
          <w:color w:val="0F172A"/>
          <w:sz w:val="21"/>
        </w:rPr>
        <w:t>Core Generation Subsystems: Blueprint Assembly &amp; Anti-Cheat Multi-Variant Batching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328"/>
        <w:gridCol w:w="5328"/>
      </w:tblGrid>
      <w:tr>
        <w:tc>
          <w:tcPr>
            <w:tcW w:type="dxa" w:w="53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25930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Exam_Creation_Subsyste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2593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255822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Anti_Cheat_Batch_Subsyste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25582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32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047857"/>
                <w:sz w:val="16"/>
              </w:rPr>
              <w:t>Figure 2: Use Case 1 — Exam Paper Creation &amp; Blueprint Engine</w:t>
              <w:br/>
            </w:r>
            <w:r>
              <w:rPr>
                <w:color w:val="0F172A"/>
                <w:sz w:val="15"/>
              </w:rPr>
              <w:t>• Flow: Select Class &amp; Subject &gt;&gt; Filter Syllabus &amp; Topics &gt;&gt; Configure Blueprint Matrix &gt;&gt; Generate Test Paper &gt;&gt; Save to My Tests.</w:t>
              <w:br/>
              <w:t>• Extensions: Extended by AI Blueprint Suggestion when configuring parameters, and AI Shortfall Fill when curated question counts are insufficient.</w:t>
            </w:r>
          </w:p>
        </w:tc>
        <w:tc>
          <w:tcPr>
            <w:tcW w:type="dxa" w:w="532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047857"/>
                <w:sz w:val="16"/>
              </w:rPr>
              <w:t>Figure 3: Use Case 2 — Anti-Cheat Multi-Variant Generation</w:t>
              <w:br/>
            </w:r>
            <w:r>
              <w:rPr>
                <w:color w:val="0F172A"/>
                <w:sz w:val="15"/>
              </w:rPr>
              <w:t>• Flow: Set Variant Count (2-6 Sets) &gt;&gt; Generate Batch &gt;&gt; Partition Disjoint Question Pools &gt;&gt; Verify Parity &gt;&gt; Inspect Tabs A-F &gt;&gt; Batch Export.</w:t>
              <w:br/>
              <w:t>• Invariants: Enforces strict mathematical disjointness (V_i ∩ V_j = ∅) and option shuffling to render paper sharing and cheating physically impossible.</w:t>
            </w:r>
          </w:p>
        </w:tc>
      </w:tr>
    </w:tbl>
    <w:p>
      <w:r>
        <w:br w:type="page"/>
      </w:r>
    </w:p>
    <w:p>
      <w:pPr>
        <w:spacing w:before="120" w:after="60" w:line="252" w:lineRule="auto"/>
      </w:pPr>
      <w:r>
        <w:rPr>
          <w:rFonts w:ascii="Calibri" w:hAnsi="Calibri"/>
          <w:b/>
          <w:color w:val="047857"/>
          <w:sz w:val="26"/>
        </w:rPr>
        <w:t>5. Interactive Paper Studio, Export Subsystem &amp; Security Architecture</w:t>
      </w:r>
    </w:p>
    <w:p>
      <w:pPr>
        <w:spacing w:before="0" w:after="60" w:line="252" w:lineRule="auto"/>
      </w:pPr>
      <w:r>
        <w:rPr>
          <w:rFonts w:ascii="Calibri" w:hAnsi="Calibri"/>
          <w:b/>
          <w:color w:val="0F172A"/>
          <w:sz w:val="18"/>
        </w:rPr>
        <w:t xml:space="preserve">Post-Generation Processing: </w:t>
      </w:r>
      <w:r>
        <w:rPr>
          <w:rFonts w:ascii="Calibri" w:hAnsi="Calibri"/>
          <w:color w:val="0F172A"/>
          <w:sz w:val="18"/>
        </w:rPr>
        <w:t>Once tests are compiled, users enter the Interactive Paper Studio. The studio bridges desktop and mobile viewports with full WYSIWYG customization, inline question refactoring, and multi-format document exporting backed by authenticated data isolation.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5328"/>
        <w:gridCol w:w="5328"/>
      </w:tblGrid>
      <w:tr>
        <w:tc>
          <w:tcPr>
            <w:tcW w:type="dxa" w:w="53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231095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Paper_Studio_Export_Subsyste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23109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6120" cy="240923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Authentication_Access_Subsyste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2409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32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047857"/>
                <w:sz w:val="16"/>
              </w:rPr>
              <w:t>Figure 4: Use Case 3 — Paper Studio &amp; Export Subsystem</w:t>
              <w:br/>
            </w:r>
            <w:r>
              <w:rPr>
                <w:color w:val="0F172A"/>
                <w:sz w:val="15"/>
              </w:rPr>
              <w:t>• Features: Drag &amp; Drop Question Reordering, Inline Question/Mark Editing, AI Question Regeneration, AI Step-by-Step Solution Explanations.</w:t>
              <w:br/>
              <w:t>• Export Engine: Produces genuine Microsoft Word (.docx) tables, A4-paginated PDF with watermark/academy logo, and detached Answer Keys.</w:t>
            </w:r>
          </w:p>
        </w:tc>
        <w:tc>
          <w:tcPr>
            <w:tcW w:type="dxa" w:w="532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047857"/>
                <w:sz w:val="16"/>
              </w:rPr>
              <w:t>Figure 5: Use Case 4 — Authentication &amp; Access Subsystem</w:t>
              <w:br/>
            </w:r>
            <w:r>
              <w:rPr>
                <w:color w:val="0F172A"/>
                <w:sz w:val="15"/>
              </w:rPr>
              <w:t>• Identity Flows: Email/Password registration &amp; sign-in, Google OAuth federated login, JWT token synchronizer with Supabase Auth.</w:t>
              <w:br/>
              <w:t>• Access Matrix: Unauthenticated users enjoy frictionless generation testing; signing in unlocks persistent paper saves, history tracking, and full Question Bank browsing.</w:t>
            </w:r>
          </w:p>
        </w:tc>
      </w:tr>
    </w:tbl>
    <w:p>
      <w:pPr>
        <w:spacing w:before="100" w:after="40" w:line="252" w:lineRule="auto"/>
      </w:pPr>
      <w:r>
        <w:rPr>
          <w:rFonts w:ascii="Calibri" w:hAnsi="Calibri"/>
          <w:b/>
          <w:color w:val="0F172A"/>
          <w:sz w:val="21"/>
        </w:rPr>
        <w:t>Security Architecture &amp; Access Invariants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552"/>
        <w:gridCol w:w="3552"/>
        <w:gridCol w:w="3552"/>
      </w:tblGrid>
      <w:tr>
        <w:tc>
          <w:tcPr>
            <w:tcW w:type="dxa" w:w="2592"/>
            <w:tcMar>
              <w:top w:w="30" w:type="dxa"/>
              <w:bottom w:w="30" w:type="dxa"/>
              <w:left w:w="60" w:type="dxa"/>
              <w:right w:w="60" w:type="dxa"/>
            </w:tcMar>
            <w:shd w:fill="065F4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Security Mechanism</w:t>
            </w:r>
          </w:p>
        </w:tc>
        <w:tc>
          <w:tcPr>
            <w:tcW w:type="dxa" w:w="3744"/>
            <w:tcMar>
              <w:top w:w="30" w:type="dxa"/>
              <w:bottom w:w="30" w:type="dxa"/>
              <w:left w:w="60" w:type="dxa"/>
              <w:right w:w="60" w:type="dxa"/>
            </w:tcMar>
            <w:shd w:fill="065F4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Technical Enforcement</w:t>
            </w:r>
          </w:p>
        </w:tc>
        <w:tc>
          <w:tcPr>
            <w:tcW w:type="dxa" w:w="4320"/>
            <w:tcMar>
              <w:top w:w="30" w:type="dxa"/>
              <w:bottom w:w="30" w:type="dxa"/>
              <w:left w:w="60" w:type="dxa"/>
              <w:right w:w="60" w:type="dxa"/>
            </w:tcMar>
            <w:shd w:fill="065F4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Academic Integrity Guarantee</w:t>
            </w:r>
          </w:p>
        </w:tc>
      </w:tr>
      <w:tr>
        <w:tc>
          <w:tcPr>
            <w:tcW w:type="dxa" w:w="2592"/>
            <w:tcMar>
              <w:top w:w="30" w:type="dxa"/>
              <w:bottom w:w="30" w:type="dxa"/>
              <w:left w:w="60" w:type="dxa"/>
              <w:right w:w="6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>Row-Level Security (RLS)</w:t>
            </w:r>
          </w:p>
        </w:tc>
        <w:tc>
          <w:tcPr>
            <w:tcW w:type="dxa" w:w="3744"/>
            <w:tcMar>
              <w:top w:w="30" w:type="dxa"/>
              <w:bottom w:w="30" w:type="dxa"/>
              <w:left w:w="60" w:type="dxa"/>
              <w:right w:w="6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PostgreSQL policies bound to auth.uid()</w:t>
            </w:r>
          </w:p>
        </w:tc>
        <w:tc>
          <w:tcPr>
            <w:tcW w:type="dxa" w:w="4320"/>
            <w:tcMar>
              <w:top w:w="30" w:type="dxa"/>
              <w:bottom w:w="30" w:type="dxa"/>
              <w:left w:w="60" w:type="dxa"/>
              <w:right w:w="6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Prevents unauthorized access or tampering of test papers created by peer educators.</w:t>
            </w:r>
          </w:p>
        </w:tc>
      </w:tr>
      <w:tr>
        <w:tc>
          <w:tcPr>
            <w:tcW w:type="dxa" w:w="2592"/>
            <w:tcMar>
              <w:top w:w="30" w:type="dxa"/>
              <w:bottom w:w="3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>Universal Authoring Access</w:t>
            </w:r>
          </w:p>
        </w:tc>
        <w:tc>
          <w:tcPr>
            <w:tcW w:type="dxa" w:w="3744"/>
            <w:tcMar>
              <w:top w:w="30" w:type="dxa"/>
              <w:bottom w:w="3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Dual state machine allowing guest authoring</w:t>
            </w:r>
          </w:p>
        </w:tc>
        <w:tc>
          <w:tcPr>
            <w:tcW w:type="dxa" w:w="4320"/>
            <w:tcMar>
              <w:top w:w="30" w:type="dxa"/>
              <w:bottom w:w="30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Eliminates friction; requires authentication only on persistence, export, and history actions.</w:t>
            </w:r>
          </w:p>
        </w:tc>
      </w:tr>
      <w:tr>
        <w:tc>
          <w:tcPr>
            <w:tcW w:type="dxa" w:w="2592"/>
            <w:tcMar>
              <w:top w:w="30" w:type="dxa"/>
              <w:bottom w:w="30" w:type="dxa"/>
              <w:left w:w="60" w:type="dxa"/>
              <w:right w:w="6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>Anti-Plagiarism &amp; Parity Check</w:t>
            </w:r>
          </w:p>
        </w:tc>
        <w:tc>
          <w:tcPr>
            <w:tcW w:type="dxa" w:w="3744"/>
            <w:tcMar>
              <w:top w:w="30" w:type="dxa"/>
              <w:bottom w:w="30" w:type="dxa"/>
              <w:left w:w="60" w:type="dxa"/>
              <w:right w:w="6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Normalized vector cosine similarity checking</w:t>
            </w:r>
          </w:p>
        </w:tc>
        <w:tc>
          <w:tcPr>
            <w:tcW w:type="dxa" w:w="4320"/>
            <w:tcMar>
              <w:top w:w="30" w:type="dxa"/>
              <w:bottom w:w="30" w:type="dxa"/>
              <w:left w:w="60" w:type="dxa"/>
              <w:right w:w="6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Ensures variant questions across parallel sets maintain equal cognitive rigor without identical text.</w:t>
            </w:r>
          </w:p>
        </w:tc>
      </w:tr>
    </w:tbl>
    <w:p>
      <w:r>
        <w:br w:type="page"/>
      </w:r>
    </w:p>
    <w:p>
      <w:pPr>
        <w:spacing w:before="120" w:after="60" w:line="252" w:lineRule="auto"/>
      </w:pPr>
      <w:r>
        <w:rPr>
          <w:rFonts w:ascii="Calibri" w:hAnsi="Calibri"/>
          <w:b/>
          <w:color w:val="047857"/>
          <w:sz w:val="26"/>
        </w:rPr>
        <w:t>6. Performance Optimizations, Responsive Engineering &amp; Verification</w:t>
      </w:r>
    </w:p>
    <w:p>
      <w:pPr>
        <w:spacing w:before="0" w:after="60" w:line="252" w:lineRule="auto"/>
      </w:pPr>
      <w:r>
        <w:rPr>
          <w:rFonts w:ascii="Calibri" w:hAnsi="Calibri"/>
          <w:b/>
          <w:color w:val="0F172A"/>
          <w:sz w:val="18"/>
        </w:rPr>
        <w:t xml:space="preserve">Engineering Highlights: </w:t>
      </w:r>
      <w:r>
        <w:rPr>
          <w:rFonts w:ascii="Calibri" w:hAnsi="Calibri"/>
          <w:color w:val="0F172A"/>
          <w:sz w:val="18"/>
        </w:rPr>
        <w:t>ExamForge was subjected to rigorous empirical profiling to resolve real-world classroom deployment hurdles. Key innovations include multi-tier query caching, zero-scroll syllabus continuation, and adaptive mobile viewport segmentation.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065F4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Subsystem Benchmark</w:t>
            </w:r>
          </w:p>
        </w:tc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065F4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Legacy Architecture</w:t>
            </w:r>
          </w:p>
        </w:tc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065F4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ExamForge Optimized</w:t>
            </w:r>
          </w:p>
        </w:tc>
        <w:tc>
          <w:tcPr>
            <w:tcW w:type="dxa" w:w="2880"/>
            <w:tcMar>
              <w:top w:w="35" w:type="dxa"/>
              <w:bottom w:w="35" w:type="dxa"/>
              <w:left w:w="60" w:type="dxa"/>
              <w:right w:w="60" w:type="dxa"/>
            </w:tcMar>
            <w:shd w:fill="065F46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Performance Delta / Impact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>Question Availability Indexing</w:t>
            </w:r>
          </w:p>
        </w:tc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1,200 ms (multi-join DB query)</w:t>
            </w:r>
          </w:p>
        </w:tc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48 ms (batch memory index)</w:t>
            </w:r>
          </w:p>
        </w:tc>
        <w:tc>
          <w:tcPr>
            <w:tcW w:type="dxa" w:w="2880"/>
            <w:tcMar>
              <w:top w:w="35" w:type="dxa"/>
              <w:bottom w:w="35" w:type="dxa"/>
              <w:left w:w="60" w:type="dxa"/>
              <w:right w:w="6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96.0% reduction in syllabus loading latency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>Multi-Tier Data Fetching</w:t>
            </w:r>
          </w:p>
        </w:tc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850 ms (cold Supabase roundtrip)</w:t>
            </w:r>
          </w:p>
        </w:tc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35 ms (in-memory LRU cache)</w:t>
            </w:r>
          </w:p>
        </w:tc>
        <w:tc>
          <w:tcPr>
            <w:tcW w:type="dxa" w:w="2880"/>
            <w:tcMar>
              <w:top w:w="35" w:type="dxa"/>
              <w:bottom w:w="35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Guarantees instantaneous wizard transitions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>Parallel Multi-Variant Assembly</w:t>
            </w:r>
          </w:p>
        </w:tc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14.2 s (sequential AI calls)</w:t>
            </w:r>
          </w:p>
        </w:tc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2.4 s (partition engine)</w:t>
            </w:r>
          </w:p>
        </w:tc>
        <w:tc>
          <w:tcPr>
            <w:tcW w:type="dxa" w:w="2880"/>
            <w:tcMar>
              <w:top w:w="35" w:type="dxa"/>
              <w:bottom w:w="35" w:type="dxa"/>
              <w:left w:w="60" w:type="dxa"/>
              <w:right w:w="6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Instantaneous generation of 6 disjoint sets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0F172A"/>
                <w:sz w:val="16"/>
              </w:rPr>
              <w:t>Mobile Studio Viewport Overhead</w:t>
            </w:r>
          </w:p>
        </w:tc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350 px (6 wrapped button rows)</w:t>
            </w:r>
          </w:p>
        </w:tc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75 px (2-row scroll strip)</w:t>
            </w:r>
          </w:p>
        </w:tc>
        <w:tc>
          <w:tcPr>
            <w:tcW w:type="dxa" w:w="2880"/>
            <w:tcMar>
              <w:top w:w="35" w:type="dxa"/>
              <w:bottom w:w="35" w:type="dxa"/>
              <w:left w:w="60" w:type="dxa"/>
              <w:right w:w="6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0F172A"/>
                <w:sz w:val="16"/>
              </w:rPr>
              <w:t>Reclaimed 78% of phone screen for exam preview</w:t>
            </w:r>
          </w:p>
        </w:tc>
      </w:tr>
    </w:tbl>
    <w:p>
      <w:pPr>
        <w:spacing w:before="100" w:after="40" w:line="252" w:lineRule="auto"/>
      </w:pPr>
      <w:r>
        <w:rPr>
          <w:rFonts w:ascii="Calibri" w:hAnsi="Calibri"/>
          <w:b/>
          <w:color w:val="0F172A"/>
          <w:sz w:val="21"/>
        </w:rPr>
        <w:t>Responsive Mobile Engineering &amp; Production Verification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color w:val="0F172A"/>
          <w:sz w:val="17"/>
        </w:rPr>
        <w:t xml:space="preserve">Mobile Segmented Print &amp; Export Tabs: </w:t>
      </w:r>
      <w:r>
        <w:rPr>
          <w:rFonts w:ascii="Calibri" w:hAnsi="Calibri"/>
          <w:color w:val="0F172A"/>
          <w:sz w:val="17"/>
        </w:rPr>
        <w:t>Replaces crushed side-by-side columns on mobile with dedicated tabs: [Paper Preview] (100% iframe width) and [Settings] (100% controls width).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color w:val="0F172A"/>
          <w:sz w:val="17"/>
        </w:rPr>
        <w:t xml:space="preserve">Dual Continuation Protocol: </w:t>
      </w:r>
      <w:r>
        <w:rPr>
          <w:rFonts w:ascii="Calibri" w:hAnsi="Calibri"/>
          <w:color w:val="0F172A"/>
          <w:sz w:val="17"/>
        </w:rPr>
        <w:t>Eliminates scrolling through 66+ subtopics by placing instant continuation buttons in the top header, status bar, and floating bottom pill.</w:t>
      </w:r>
    </w:p>
    <w:p>
      <w:pPr>
        <w:pStyle w:val="ListBullet"/>
        <w:spacing w:before="0" w:after="40" w:line="252" w:lineRule="auto"/>
      </w:pPr>
      <w:r>
        <w:rPr>
          <w:rFonts w:ascii="Calibri" w:hAnsi="Calibri"/>
          <w:b/>
          <w:color w:val="0F172A"/>
          <w:sz w:val="17"/>
        </w:rPr>
        <w:t xml:space="preserve">Build Integrity: </w:t>
      </w:r>
      <w:r>
        <w:rPr>
          <w:rFonts w:ascii="Calibri" w:hAnsi="Calibri"/>
          <w:color w:val="0F172A"/>
          <w:sz w:val="17"/>
        </w:rPr>
        <w:t>Next.js 16 Turbopack production build verified with 100% pass rate, 0 type errors, and zero-downtime deployment on Vercel.</w:t>
      </w:r>
    </w:p>
    <w:p>
      <w:pPr>
        <w:spacing w:before="100" w:after="40" w:line="252" w:lineRule="auto"/>
      </w:pPr>
      <w:r>
        <w:rPr>
          <w:rFonts w:ascii="Calibri" w:hAnsi="Calibri"/>
          <w:b/>
          <w:color w:val="0F172A"/>
          <w:sz w:val="21"/>
        </w:rPr>
        <w:t>Project Access &amp; Conclusion</w:t>
      </w:r>
    </w:p>
    <w:p>
      <w:pPr>
        <w:spacing w:before="0" w:after="60" w:line="252" w:lineRule="auto"/>
      </w:pPr>
      <w:r>
        <w:rPr>
          <w:rFonts w:ascii="Calibri" w:hAnsi="Calibri"/>
          <w:b/>
          <w:color w:val="0F172A"/>
          <w:sz w:val="18"/>
        </w:rPr>
        <w:t xml:space="preserve">Final Synthesis: </w:t>
      </w:r>
      <w:r>
        <w:rPr>
          <w:rFonts w:ascii="Calibri" w:hAnsi="Calibri"/>
          <w:color w:val="0F172A"/>
          <w:sz w:val="18"/>
        </w:rPr>
        <w:t>ExamForge AI marks a transformative leap in institutional assessment engineering. By unifying strict relational domain models, deterministic anti-cheat multi-variant algorithms, sub-second query caching, and Gemini AI shortfall generation, ExamForge eliminates teacher fatigue while upholding rigorous academic security standards.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047857"/>
                <w:sz w:val="17"/>
              </w:rPr>
              <w:t xml:space="preserve">Project Links: </w:t>
            </w:r>
            <w:r>
              <w:rPr>
                <w:b/>
                <w:sz w:val="17"/>
              </w:rPr>
              <w:t xml:space="preserve">GitHub Source Code: </w:t>
            </w:r>
            <w:r>
              <w:rPr>
                <w:color w:val="047857"/>
                <w:sz w:val="17"/>
                <w:u w:val="single"/>
              </w:rPr>
              <w:t>https://github.com/mirza-zain-ali-baig/TestForge</w:t>
            </w:r>
            <w:r>
              <w:rPr>
                <w:b/>
                <w:sz w:val="17"/>
              </w:rPr>
              <w:t xml:space="preserve">   |   Live Web Application: </w:t>
            </w:r>
            <w:r>
              <w:rPr>
                <w:color w:val="047857"/>
                <w:sz w:val="17"/>
                <w:u w:val="single"/>
              </w:rPr>
              <w:t>https://generate-test.vercel.app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6"/>
      </w:rPr>
      <w:t>ExamForge AI · Technical Architecture &amp; System Specification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