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800"/>
      </w:tblGrid>
      <w:tr>
        <w:tc>
          <w:tcPr>
            <w:tcW w:type="dxa" w:w="10800"/>
            <w:shd w:fill="064e3b"/>
            <w:tcMar>
              <w:top w:w="60" w:type="dxa"/>
              <w:bottom w:w="60" w:type="dxa"/>
              <w:left w:w="120" w:type="dxa"/>
              <w:right w:w="120" w:type="dxa"/>
            </w:tcMar>
          </w:tcPr>
          <w:p>
            <w:pPr>
              <w:spacing w:before="0" w:after="20"/>
              <w:jc w:val="center"/>
            </w:pPr>
            <w:r>
              <w:rPr>
                <w:rFonts w:ascii="Segoe UI" w:hAnsi="Segoe UI"/>
                <w:b/>
                <w:color w:val="FFFFFF"/>
                <w:sz w:val="28"/>
              </w:rPr>
              <w:t>EXAMFORGE — AI-POWERED TEST GENERATION PLATFORM</w:t>
            </w:r>
          </w:p>
          <w:p>
            <w:pPr>
              <w:spacing w:before="0" w:after="0"/>
              <w:jc w:val="center"/>
            </w:pPr>
            <w:r>
              <w:rPr>
                <w:rFonts w:ascii="Segoe UI" w:hAnsi="Segoe UI"/>
                <w:color w:val="A7F3D0"/>
                <w:sz w:val="17"/>
              </w:rPr>
              <w:t>Technical Architecture, Engineering Specification &amp; Platform Evaluation Report</w:t>
            </w:r>
          </w:p>
        </w:tc>
      </w:tr>
    </w:tbl>
    <w:tbl>
      <w:tblPr>
        <w:tblW w:type="auto" w:w="0"/>
        <w:jc w:val="center"/>
        <w:tblLook w:firstColumn="1" w:firstRow="1" w:lastColumn="0" w:lastRow="0" w:noHBand="0" w:noVBand="1" w:val="04A0"/>
      </w:tblPr>
      <w:tblGrid>
        <w:gridCol w:w="2700"/>
        <w:gridCol w:w="2700"/>
        <w:gridCol w:w="2700"/>
        <w:gridCol w:w="2700"/>
      </w:tblGrid>
      <w:tr>
        <w:tc>
          <w:tcPr>
            <w:tcW w:type="dxa" w:w="2700"/>
            <w:shd w:fill="f8fafc"/>
            <w:tcMar>
              <w:top w:w="35" w:type="dxa"/>
              <w:bottom w:w="35" w:type="dxa"/>
              <w:left w:w="60" w:type="dxa"/>
              <w:right w:w="60" w:type="dxa"/>
            </w:tcMar>
          </w:tcPr>
          <w:p>
            <w:pPr>
              <w:spacing w:before="0" w:after="0" w:line="252" w:lineRule="auto"/>
            </w:pPr>
            <w:r>
              <w:rPr>
                <w:rFonts w:ascii="Segoe UI" w:hAnsi="Segoe UI"/>
                <w:b/>
                <w:color w:val="64748B"/>
                <w:sz w:val="15"/>
              </w:rPr>
              <w:t xml:space="preserve">Project Name: </w:t>
            </w:r>
            <w:r>
              <w:rPr>
                <w:rFonts w:ascii="Segoe UI" w:hAnsi="Segoe UI"/>
                <w:b/>
                <w:color w:val="0F172A"/>
                <w:sz w:val="16"/>
              </w:rPr>
              <w:t>ExamForge Enterprise</w:t>
            </w:r>
          </w:p>
        </w:tc>
        <w:tc>
          <w:tcPr>
            <w:tcW w:type="dxa" w:w="2700"/>
            <w:shd w:fill="f8fafc"/>
            <w:tcMar>
              <w:top w:w="35" w:type="dxa"/>
              <w:bottom w:w="35" w:type="dxa"/>
              <w:left w:w="60" w:type="dxa"/>
              <w:right w:w="60" w:type="dxa"/>
            </w:tcMar>
          </w:tcPr>
          <w:p>
            <w:pPr>
              <w:spacing w:before="0" w:after="0" w:line="252" w:lineRule="auto"/>
            </w:pPr>
            <w:r>
              <w:rPr>
                <w:rFonts w:ascii="Segoe UI" w:hAnsi="Segoe UI"/>
                <w:b/>
                <w:color w:val="64748B"/>
                <w:sz w:val="15"/>
              </w:rPr>
              <w:t xml:space="preserve">Release Version: </w:t>
            </w:r>
            <w:r>
              <w:rPr>
                <w:rFonts w:ascii="Segoe UI" w:hAnsi="Segoe UI"/>
                <w:b/>
                <w:color w:val="0F172A"/>
                <w:sz w:val="16"/>
              </w:rPr>
              <w:t>2.4.0 Production</w:t>
            </w:r>
          </w:p>
        </w:tc>
        <w:tc>
          <w:tcPr>
            <w:tcW w:type="dxa" w:w="2700"/>
            <w:shd w:fill="f8fafc"/>
            <w:tcMar>
              <w:top w:w="35" w:type="dxa"/>
              <w:bottom w:w="35" w:type="dxa"/>
              <w:left w:w="60" w:type="dxa"/>
              <w:right w:w="60" w:type="dxa"/>
            </w:tcMar>
          </w:tcPr>
          <w:p>
            <w:pPr>
              <w:spacing w:before="0" w:after="0" w:line="252" w:lineRule="auto"/>
            </w:pPr>
            <w:r>
              <w:rPr>
                <w:rFonts w:ascii="Segoe UI" w:hAnsi="Segoe UI"/>
                <w:b/>
                <w:color w:val="64748B"/>
                <w:sz w:val="15"/>
              </w:rPr>
              <w:t xml:space="preserve">Target Audience: </w:t>
            </w:r>
            <w:r>
              <w:rPr>
                <w:rFonts w:ascii="Segoe UI" w:hAnsi="Segoe UI"/>
                <w:b/>
                <w:color w:val="0F172A"/>
                <w:sz w:val="16"/>
              </w:rPr>
              <w:t>Educators &amp; Academies</w:t>
            </w:r>
          </w:p>
        </w:tc>
        <w:tc>
          <w:tcPr>
            <w:tcW w:type="dxa" w:w="2700"/>
            <w:shd w:fill="f8fafc"/>
            <w:tcMar>
              <w:top w:w="35" w:type="dxa"/>
              <w:bottom w:w="35" w:type="dxa"/>
              <w:left w:w="60" w:type="dxa"/>
              <w:right w:w="60" w:type="dxa"/>
            </w:tcMar>
          </w:tcPr>
          <w:p>
            <w:pPr>
              <w:spacing w:before="0" w:after="0" w:line="252" w:lineRule="auto"/>
            </w:pPr>
            <w:r>
              <w:rPr>
                <w:rFonts w:ascii="Segoe UI" w:hAnsi="Segoe UI"/>
                <w:b/>
                <w:color w:val="64748B"/>
                <w:sz w:val="15"/>
              </w:rPr>
              <w:t xml:space="preserve">Audit Date: </w:t>
            </w:r>
            <w:r>
              <w:rPr>
                <w:rFonts w:ascii="Segoe UI" w:hAnsi="Segoe UI"/>
                <w:b/>
                <w:color w:val="0F172A"/>
                <w:sz w:val="16"/>
              </w:rPr>
              <w:t>October 2026</w:t>
            </w:r>
          </w:p>
        </w:tc>
      </w:tr>
      <w:tr>
        <w:tc>
          <w:tcPr>
            <w:tcW w:type="dxa" w:w="2700"/>
            <w:shd w:fill="ffffff"/>
            <w:tcMar>
              <w:top w:w="35" w:type="dxa"/>
              <w:bottom w:w="35" w:type="dxa"/>
              <w:left w:w="60" w:type="dxa"/>
              <w:right w:w="60" w:type="dxa"/>
            </w:tcMar>
          </w:tcPr>
          <w:p>
            <w:pPr>
              <w:spacing w:before="0" w:after="0" w:line="252" w:lineRule="auto"/>
            </w:pPr>
            <w:r>
              <w:rPr>
                <w:rFonts w:ascii="Segoe UI" w:hAnsi="Segoe UI"/>
                <w:b/>
                <w:color w:val="64748B"/>
                <w:sz w:val="15"/>
              </w:rPr>
              <w:t xml:space="preserve">Architecture: </w:t>
            </w:r>
            <w:r>
              <w:rPr>
                <w:rFonts w:ascii="Segoe UI" w:hAnsi="Segoe UI"/>
                <w:b/>
                <w:color w:val="0F172A"/>
                <w:sz w:val="16"/>
              </w:rPr>
              <w:t>Hybrid MVC + EDA</w:t>
            </w:r>
          </w:p>
        </w:tc>
        <w:tc>
          <w:tcPr>
            <w:tcW w:type="dxa" w:w="2700"/>
            <w:shd w:fill="ffffff"/>
            <w:tcMar>
              <w:top w:w="35" w:type="dxa"/>
              <w:bottom w:w="35" w:type="dxa"/>
              <w:left w:w="60" w:type="dxa"/>
              <w:right w:w="60" w:type="dxa"/>
            </w:tcMar>
          </w:tcPr>
          <w:p>
            <w:pPr>
              <w:spacing w:before="0" w:after="0" w:line="252" w:lineRule="auto"/>
            </w:pPr>
            <w:r>
              <w:rPr>
                <w:rFonts w:ascii="Segoe UI" w:hAnsi="Segoe UI"/>
                <w:b/>
                <w:color w:val="64748B"/>
                <w:sz w:val="15"/>
              </w:rPr>
              <w:t xml:space="preserve">Frontend Stack: </w:t>
            </w:r>
            <w:r>
              <w:rPr>
                <w:rFonts w:ascii="Segoe UI" w:hAnsi="Segoe UI"/>
                <w:b/>
                <w:color w:val="0F172A"/>
                <w:sz w:val="16"/>
              </w:rPr>
              <w:t>Next.js 16 (React 19)</w:t>
            </w:r>
          </w:p>
        </w:tc>
        <w:tc>
          <w:tcPr>
            <w:tcW w:type="dxa" w:w="2700"/>
            <w:shd w:fill="ffffff"/>
            <w:tcMar>
              <w:top w:w="35" w:type="dxa"/>
              <w:bottom w:w="35" w:type="dxa"/>
              <w:left w:w="60" w:type="dxa"/>
              <w:right w:w="60" w:type="dxa"/>
            </w:tcMar>
          </w:tcPr>
          <w:p>
            <w:pPr>
              <w:spacing w:before="0" w:after="0" w:line="252" w:lineRule="auto"/>
            </w:pPr>
            <w:r>
              <w:rPr>
                <w:rFonts w:ascii="Segoe UI" w:hAnsi="Segoe UI"/>
                <w:b/>
                <w:color w:val="64748B"/>
                <w:sz w:val="15"/>
              </w:rPr>
              <w:t xml:space="preserve">Data Infrastructure: </w:t>
            </w:r>
            <w:r>
              <w:rPr>
                <w:rFonts w:ascii="Segoe UI" w:hAnsi="Segoe UI"/>
                <w:b/>
                <w:color w:val="0F172A"/>
                <w:sz w:val="16"/>
              </w:rPr>
              <w:t>Supabase (PG) + SQLite</w:t>
            </w:r>
          </w:p>
        </w:tc>
        <w:tc>
          <w:tcPr>
            <w:tcW w:type="dxa" w:w="2700"/>
            <w:shd w:fill="ffffff"/>
            <w:tcMar>
              <w:top w:w="35" w:type="dxa"/>
              <w:bottom w:w="35" w:type="dxa"/>
              <w:left w:w="60" w:type="dxa"/>
              <w:right w:w="60" w:type="dxa"/>
            </w:tcMar>
          </w:tcPr>
          <w:p>
            <w:pPr>
              <w:spacing w:before="0" w:after="0" w:line="252" w:lineRule="auto"/>
            </w:pPr>
            <w:r>
              <w:rPr>
                <w:rFonts w:ascii="Segoe UI" w:hAnsi="Segoe UI"/>
                <w:b/>
                <w:color w:val="64748B"/>
                <w:sz w:val="15"/>
              </w:rPr>
              <w:t xml:space="preserve">AI Engine: </w:t>
            </w:r>
            <w:r>
              <w:rPr>
                <w:rFonts w:ascii="Segoe UI" w:hAnsi="Segoe UI"/>
                <w:b/>
                <w:color w:val="0F172A"/>
                <w:sz w:val="16"/>
              </w:rPr>
              <w:t>Google Gemini Flash/Pro</w:t>
            </w:r>
          </w:p>
        </w:tc>
      </w:tr>
    </w:tbl>
    <w:p>
      <w:pPr>
        <w:keepNext/>
        <w:spacing w:before="100" w:after="30"/>
      </w:pPr>
      <w:r>
        <w:rPr>
          <w:rFonts w:ascii="Segoe UI" w:hAnsi="Segoe UI"/>
          <w:b/>
          <w:color w:val="047857"/>
          <w:sz w:val="22"/>
        </w:rPr>
        <w:t>1. Executive Summary &amp; Problem Formulation</w:t>
      </w:r>
    </w:p>
    <w:p>
      <w:pPr>
        <w:spacing w:before="0" w:after="40" w:line="259" w:lineRule="auto"/>
      </w:pPr>
      <w:r>
        <w:rPr>
          <w:rFonts w:ascii="Segoe UI" w:hAnsi="Segoe UI"/>
          <w:color w:val="334155"/>
          <w:sz w:val="17"/>
        </w:rPr>
        <w:t>Preparing high-stakes secondary and higher-secondary examinations (Classes 9 and 10) traditionally presents severe operational bottlenecks. Educators face excessive manual drafting overhead, curriculum drift, cognitive imbalance across Bloom’s Taxonomy, and heightened vulnerability to examination leaks. Traditional authoring methods lack programmatic validation for mark-to-time distributions, leading to inconsistent evaluations.</w:t>
      </w:r>
    </w:p>
    <w:p>
      <w:pPr>
        <w:spacing w:before="0" w:after="60" w:line="259" w:lineRule="auto"/>
      </w:pPr>
      <w:r>
        <w:rPr>
          <w:rFonts w:ascii="Segoe UI" w:hAnsi="Segoe UI"/>
          <w:color w:val="334155"/>
          <w:sz w:val="17"/>
        </w:rPr>
        <w:t>ExamForge addresses this through a high-performance web platform combining a validated 2,100+ item PostgreSQL curriculum question repository (Supabase) with real-time generative AI synthesis (Google Gemini). Instructors define deterministic blueprints, calibrate difficulty tiers (Easy/Medium/Hard), generate multi-variant anti-cheat sets, and produce publication-ready Word (.docx) and high-fidelity PDF exam papers within seconds.</w:t>
      </w:r>
    </w:p>
    <w:p>
      <w:pPr>
        <w:keepNext/>
        <w:spacing w:before="100" w:after="30"/>
      </w:pPr>
      <w:r>
        <w:rPr>
          <w:rFonts w:ascii="Segoe UI" w:hAnsi="Segoe UI"/>
          <w:b/>
          <w:color w:val="047857"/>
          <w:sz w:val="22"/>
        </w:rPr>
        <w:t>2. Hybrid Architecture (MVC + Event-Driven Architecture)</w:t>
      </w:r>
    </w:p>
    <w:p>
      <w:pPr>
        <w:spacing w:before="0" w:after="40" w:line="259" w:lineRule="auto"/>
      </w:pPr>
      <w:r>
        <w:rPr>
          <w:rFonts w:ascii="Segoe UI" w:hAnsi="Segoe UI"/>
          <w:color w:val="334155"/>
          <w:sz w:val="17"/>
        </w:rPr>
        <w:t>ExamForge implements an enterprise Hybrid MVC + EDA pattern, guaranteeing sub-second response times, modular maintainability, and non-blocking asynchronous event handling:</w:t>
      </w:r>
    </w:p>
    <w:tbl>
      <w:tblPr>
        <w:tblW w:type="auto" w:w="0"/>
        <w:jc w:val="center"/>
        <w:tblLook w:firstColumn="1" w:firstRow="1" w:lastColumn="0" w:lastRow="0" w:noHBand="0" w:noVBand="1" w:val="04A0"/>
      </w:tblPr>
      <w:tblGrid>
        <w:gridCol w:w="3600"/>
        <w:gridCol w:w="3600"/>
        <w:gridCol w:w="3600"/>
      </w:tblGrid>
      <w:tr>
        <w:tc>
          <w:tcPr>
            <w:tcW w:type="dxa" w:w="3600"/>
            <w:shd w:fill="047857"/>
            <w:tcMar>
              <w:top w:w="40" w:type="dxa"/>
              <w:bottom w:w="40" w:type="dxa"/>
              <w:left w:w="70" w:type="dxa"/>
              <w:right w:w="70" w:type="dxa"/>
            </w:tcMar>
          </w:tcPr>
          <w:p>
            <w:pPr>
              <w:spacing w:before="0" w:after="0"/>
            </w:pPr>
            <w:r>
              <w:rPr>
                <w:rFonts w:ascii="Segoe UI" w:hAnsi="Segoe UI"/>
                <w:b/>
                <w:color w:val="FFFFFF"/>
                <w:sz w:val="16"/>
              </w:rPr>
              <w:t>Layer</w:t>
            </w:r>
          </w:p>
        </w:tc>
        <w:tc>
          <w:tcPr>
            <w:tcW w:type="dxa" w:w="3600"/>
            <w:shd w:fill="047857"/>
            <w:tcMar>
              <w:top w:w="40" w:type="dxa"/>
              <w:bottom w:w="40" w:type="dxa"/>
              <w:left w:w="70" w:type="dxa"/>
              <w:right w:w="70" w:type="dxa"/>
            </w:tcMar>
          </w:tcPr>
          <w:p>
            <w:pPr>
              <w:spacing w:before="0" w:after="0"/>
            </w:pPr>
            <w:r>
              <w:rPr>
                <w:rFonts w:ascii="Segoe UI" w:hAnsi="Segoe UI"/>
                <w:b/>
                <w:color w:val="FFFFFF"/>
                <w:sz w:val="16"/>
              </w:rPr>
              <w:t>Technical Responsibilities</w:t>
            </w:r>
          </w:p>
        </w:tc>
        <w:tc>
          <w:tcPr>
            <w:tcW w:type="dxa" w:w="3600"/>
            <w:shd w:fill="047857"/>
            <w:tcMar>
              <w:top w:w="40" w:type="dxa"/>
              <w:bottom w:w="40" w:type="dxa"/>
              <w:left w:w="70" w:type="dxa"/>
              <w:right w:w="70" w:type="dxa"/>
            </w:tcMar>
          </w:tcPr>
          <w:p>
            <w:pPr>
              <w:spacing w:before="0" w:after="0"/>
            </w:pPr>
            <w:r>
              <w:rPr>
                <w:rFonts w:ascii="Segoe UI" w:hAnsi="Segoe UI"/>
                <w:b/>
                <w:color w:val="FFFFFF"/>
                <w:sz w:val="16"/>
              </w:rPr>
              <w:t>Core Components &amp; Technologies</w:t>
            </w:r>
          </w:p>
        </w:tc>
      </w:tr>
      <w:tr>
        <w:tc>
          <w:tcPr>
            <w:tcW w:type="dxa" w:w="3600"/>
            <w:shd w:fill="f8fafc"/>
            <w:tcMar>
              <w:top w:w="35" w:type="dxa"/>
              <w:bottom w:w="35" w:type="dxa"/>
              <w:left w:w="65" w:type="dxa"/>
              <w:right w:w="65" w:type="dxa"/>
            </w:tcMar>
          </w:tcPr>
          <w:p>
            <w:pPr>
              <w:spacing w:before="0" w:after="0" w:line="252" w:lineRule="auto"/>
            </w:pPr>
            <w:r>
              <w:rPr>
                <w:rFonts w:ascii="Segoe UI" w:hAnsi="Segoe UI"/>
                <w:b/>
                <w:color w:val="047857"/>
                <w:sz w:val="15"/>
              </w:rPr>
              <w:t>Model Layer</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Encapsulates schema validation, lookup caching, and dual-database queries. Isolates remote bank from local persistence.</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Prisma ORM, SQLite (local papers/sessions), Supabase Client (curriculum hierarchy &amp; questions).</w:t>
            </w:r>
          </w:p>
        </w:tc>
      </w:tr>
      <w:tr>
        <w:tc>
          <w:tcPr>
            <w:tcW w:type="dxa" w:w="3600"/>
            <w:shd w:fill="ffffff"/>
            <w:tcMar>
              <w:top w:w="35" w:type="dxa"/>
              <w:bottom w:w="35" w:type="dxa"/>
              <w:left w:w="65" w:type="dxa"/>
              <w:right w:w="65" w:type="dxa"/>
            </w:tcMar>
          </w:tcPr>
          <w:p>
            <w:pPr>
              <w:spacing w:before="0" w:after="0" w:line="252" w:lineRule="auto"/>
            </w:pPr>
            <w:r>
              <w:rPr>
                <w:rFonts w:ascii="Segoe UI" w:hAnsi="Segoe UI"/>
                <w:b/>
                <w:color w:val="047857"/>
                <w:sz w:val="15"/>
              </w:rPr>
              <w:t>Controller Layer</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Orchestrates test generation, blueprint validation, batch partitioning, deduplication, and auth.</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TestController, QuestionController, AnalyticsController, BlueprintSuggester, AuthController.</w:t>
            </w:r>
          </w:p>
        </w:tc>
      </w:tr>
      <w:tr>
        <w:tc>
          <w:tcPr>
            <w:tcW w:type="dxa" w:w="3600"/>
            <w:shd w:fill="f8fafc"/>
            <w:tcMar>
              <w:top w:w="35" w:type="dxa"/>
              <w:bottom w:w="35" w:type="dxa"/>
              <w:left w:w="65" w:type="dxa"/>
              <w:right w:w="65" w:type="dxa"/>
            </w:tcMar>
          </w:tcPr>
          <w:p>
            <w:pPr>
              <w:spacing w:before="0" w:after="0" w:line="252" w:lineRule="auto"/>
            </w:pPr>
            <w:r>
              <w:rPr>
                <w:rFonts w:ascii="Segoe UI" w:hAnsi="Segoe UI"/>
                <w:b/>
                <w:color w:val="047857"/>
                <w:sz w:val="15"/>
              </w:rPr>
              <w:t>Event Layer (EDA)</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Process-wide asynchronous EventEmitter bus managing telemetry, audit logging, and cache invalidation.</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EventBus (emits TEST_GENERATED, CACHE_INVALIDATED, TELEMETRY_RECORDED, AUTH_SUCCESS).</w:t>
            </w:r>
          </w:p>
        </w:tc>
      </w:tr>
      <w:tr>
        <w:tc>
          <w:tcPr>
            <w:tcW w:type="dxa" w:w="3600"/>
            <w:shd w:fill="ffffff"/>
            <w:tcMar>
              <w:top w:w="35" w:type="dxa"/>
              <w:bottom w:w="35" w:type="dxa"/>
              <w:left w:w="65" w:type="dxa"/>
              <w:right w:w="65" w:type="dxa"/>
            </w:tcMar>
          </w:tcPr>
          <w:p>
            <w:pPr>
              <w:spacing w:before="0" w:after="0" w:line="252" w:lineRule="auto"/>
            </w:pPr>
            <w:r>
              <w:rPr>
                <w:rFonts w:ascii="Segoe UI" w:hAnsi="Segoe UI"/>
                <w:b/>
                <w:color w:val="047857"/>
                <w:sz w:val="15"/>
              </w:rPr>
              <w:t>View Layer</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Distraction-free, responsive UI with stateful wizard, question bank explorer, preview studio, and AI chat.</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Next.js 16 (App Router, Turbopack), React 19, Tailwind CSS v4, Radix UI Primitives, KaTeX.</w:t>
            </w:r>
          </w:p>
        </w:tc>
      </w:tr>
    </w:tbl>
    <w:tbl>
      <w:tblPr>
        <w:tblW w:type="auto" w:w="0"/>
        <w:jc w:val="center"/>
        <w:tblLook w:firstColumn="1" w:firstRow="1" w:lastColumn="0" w:lastRow="0" w:noHBand="0" w:noVBand="1" w:val="04A0"/>
      </w:tblPr>
      <w:tblGrid>
        <w:gridCol w:w="10800"/>
      </w:tblGrid>
      <w:tr>
        <w:tc>
          <w:tcPr>
            <w:tcW w:type="dxa" w:w="10800"/>
            <w:shd w:fill="f0fdf4"/>
            <w:tcMar>
              <w:top w:w="50" w:type="dxa"/>
              <w:bottom w:w="50" w:type="dxa"/>
              <w:left w:w="100" w:type="dxa"/>
              <w:right w:w="100" w:type="dxa"/>
            </w:tcMar>
            <w:tcBorders>
              <w:top w:val="none"/>
              <w:left w:val="single" w:sz="24" w:space="0" w:color="10b981"/>
              <w:bottom w:val="none"/>
              <w:right w:val="none"/>
            </w:tcBorders>
          </w:tcPr>
          <w:p>
            <w:pPr>
              <w:spacing w:before="0" w:after="20" w:line="252" w:lineRule="auto"/>
            </w:pPr>
            <w:r>
              <w:rPr>
                <w:rFonts w:ascii="Segoe UI" w:hAnsi="Segoe UI"/>
                <w:b/>
                <w:color w:val="047857"/>
                <w:sz w:val="17"/>
              </w:rPr>
              <w:t xml:space="preserve">Core Architectural Advantages: </w:t>
            </w:r>
            <w:r>
              <w:rPr>
                <w:rFonts w:ascii="Segoe UI" w:hAnsi="Segoe UI"/>
                <w:color w:val="334155"/>
                <w:sz w:val="16"/>
              </w:rPr>
              <w:t>Zero-latency decoupled execution via EventBus; genuine OpenXML .docx compiler producing 2-column examination papers; and Gemini Flash AI synthesis with mathematical KaTeX formatting.</w:t>
            </w:r>
          </w:p>
        </w:tc>
      </w:tr>
    </w:tbl>
    <w:p>
      <w:r>
        <w:br w:type="page"/>
      </w:r>
    </w:p>
    <w:p>
      <w:pPr>
        <w:keepNext/>
        <w:spacing w:before="100" w:after="30"/>
      </w:pPr>
      <w:r>
        <w:rPr>
          <w:rFonts w:ascii="Segoe UI" w:hAnsi="Segoe UI"/>
          <w:b/>
          <w:color w:val="047857"/>
          <w:sz w:val="22"/>
        </w:rPr>
        <w:t>3. Four-Stage Guided Exam Engineering Workflow</w:t>
      </w:r>
    </w:p>
    <w:p>
      <w:pPr>
        <w:spacing w:before="0" w:after="40" w:line="259" w:lineRule="auto"/>
      </w:pPr>
      <w:r>
        <w:rPr>
          <w:rFonts w:ascii="Segoe UI" w:hAnsi="Segoe UI"/>
          <w:color w:val="334155"/>
          <w:sz w:val="17"/>
        </w:rPr>
        <w:t>ExamForge features a streamlined, 4-step wizard that guarantees 100% curriculum adherence while eliminating cognitive overload for teachers:</w:t>
      </w:r>
    </w:p>
    <w:tbl>
      <w:tblPr>
        <w:tblW w:type="auto" w:w="0"/>
        <w:jc w:val="center"/>
        <w:tblLook w:firstColumn="1" w:firstRow="1" w:lastColumn="0" w:lastRow="0" w:noHBand="0" w:noVBand="1" w:val="04A0"/>
      </w:tblPr>
      <w:tblGrid>
        <w:gridCol w:w="3600"/>
        <w:gridCol w:w="3600"/>
        <w:gridCol w:w="3600"/>
      </w:tblGrid>
      <w:tr>
        <w:tc>
          <w:tcPr>
            <w:tcW w:type="dxa" w:w="3600"/>
            <w:shd w:fill="0f766e"/>
            <w:tcMar>
              <w:top w:w="40" w:type="dxa"/>
              <w:bottom w:w="40" w:type="dxa"/>
              <w:left w:w="70" w:type="dxa"/>
              <w:right w:w="70" w:type="dxa"/>
            </w:tcMar>
          </w:tcPr>
          <w:p>
            <w:pPr>
              <w:spacing w:before="0" w:after="0"/>
            </w:pPr>
            <w:r>
              <w:rPr>
                <w:rFonts w:ascii="Segoe UI" w:hAnsi="Segoe UI"/>
                <w:b/>
                <w:color w:val="FFFFFF"/>
                <w:sz w:val="16"/>
              </w:rPr>
              <w:t>Stage</w:t>
            </w:r>
          </w:p>
        </w:tc>
        <w:tc>
          <w:tcPr>
            <w:tcW w:type="dxa" w:w="3600"/>
            <w:shd w:fill="0f766e"/>
            <w:tcMar>
              <w:top w:w="40" w:type="dxa"/>
              <w:bottom w:w="40" w:type="dxa"/>
              <w:left w:w="70" w:type="dxa"/>
              <w:right w:w="70" w:type="dxa"/>
            </w:tcMar>
          </w:tcPr>
          <w:p>
            <w:pPr>
              <w:spacing w:before="0" w:after="0"/>
            </w:pPr>
            <w:r>
              <w:rPr>
                <w:rFonts w:ascii="Segoe UI" w:hAnsi="Segoe UI"/>
                <w:b/>
                <w:color w:val="FFFFFF"/>
                <w:sz w:val="16"/>
              </w:rPr>
              <w:t>Educator Interaction</w:t>
            </w:r>
          </w:p>
        </w:tc>
        <w:tc>
          <w:tcPr>
            <w:tcW w:type="dxa" w:w="3600"/>
            <w:shd w:fill="0f766e"/>
            <w:tcMar>
              <w:top w:w="40" w:type="dxa"/>
              <w:bottom w:w="40" w:type="dxa"/>
              <w:left w:w="70" w:type="dxa"/>
              <w:right w:w="70" w:type="dxa"/>
            </w:tcMar>
          </w:tcPr>
          <w:p>
            <w:pPr>
              <w:spacing w:before="0" w:after="0"/>
            </w:pPr>
            <w:r>
              <w:rPr>
                <w:rFonts w:ascii="Segoe UI" w:hAnsi="Segoe UI"/>
                <w:b/>
                <w:color w:val="FFFFFF"/>
                <w:sz w:val="16"/>
              </w:rPr>
              <w:t>System Action &amp; Validation</w:t>
            </w:r>
          </w:p>
        </w:tc>
      </w:tr>
      <w:tr>
        <w:tc>
          <w:tcPr>
            <w:tcW w:type="dxa" w:w="3600"/>
            <w:shd w:fill="f8fafc"/>
            <w:tcMar>
              <w:top w:w="35" w:type="dxa"/>
              <w:bottom w:w="35" w:type="dxa"/>
              <w:left w:w="65" w:type="dxa"/>
              <w:right w:w="65" w:type="dxa"/>
            </w:tcMar>
          </w:tcPr>
          <w:p>
            <w:pPr>
              <w:spacing w:before="0" w:after="0" w:line="252" w:lineRule="auto"/>
            </w:pPr>
            <w:r>
              <w:rPr>
                <w:rFonts w:ascii="Segoe UI" w:hAnsi="Segoe UI"/>
                <w:b/>
                <w:color w:val="0F766E"/>
                <w:sz w:val="15"/>
              </w:rPr>
              <w:t>Step 1: Class Selection</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Chooses grade level (Class 9 or 10) via live stats cards showing subject counts and total bank volume.</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Validates class ID, queries Supabase curriculum hierarchy, and resets downstream caches.</w:t>
            </w:r>
          </w:p>
        </w:tc>
      </w:tr>
      <w:tr>
        <w:tc>
          <w:tcPr>
            <w:tcW w:type="dxa" w:w="3600"/>
            <w:shd w:fill="ffffff"/>
            <w:tcMar>
              <w:top w:w="35" w:type="dxa"/>
              <w:bottom w:w="35" w:type="dxa"/>
              <w:left w:w="65" w:type="dxa"/>
              <w:right w:w="65" w:type="dxa"/>
            </w:tcMar>
          </w:tcPr>
          <w:p>
            <w:pPr>
              <w:spacing w:before="0" w:after="0" w:line="252" w:lineRule="auto"/>
            </w:pPr>
            <w:r>
              <w:rPr>
                <w:rFonts w:ascii="Segoe UI" w:hAnsi="Segoe UI"/>
                <w:b/>
                <w:color w:val="0F766E"/>
                <w:sz w:val="15"/>
              </w:rPr>
              <w:t>Step 2: Subject Discovery</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Selects course (Computer Science, Physics, Mathematics, Biology, Chemistry).</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Loads all associated chapters, subtopics, and total question inventory instantly.</w:t>
            </w:r>
          </w:p>
        </w:tc>
      </w:tr>
      <w:tr>
        <w:tc>
          <w:tcPr>
            <w:tcW w:type="dxa" w:w="3600"/>
            <w:shd w:fill="f8fafc"/>
            <w:tcMar>
              <w:top w:w="35" w:type="dxa"/>
              <w:bottom w:w="35" w:type="dxa"/>
              <w:left w:w="65" w:type="dxa"/>
              <w:right w:w="65" w:type="dxa"/>
            </w:tcMar>
          </w:tcPr>
          <w:p>
            <w:pPr>
              <w:spacing w:before="0" w:after="0" w:line="252" w:lineRule="auto"/>
            </w:pPr>
            <w:r>
              <w:rPr>
                <w:rFonts w:ascii="Segoe UI" w:hAnsi="Segoe UI"/>
                <w:b/>
                <w:color w:val="0F766E"/>
                <w:sz w:val="15"/>
              </w:rPr>
              <w:t>Step 3: Granular Syllabus</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Selects or deselects specific chapters and fine-grained subtopics with Select All shortcuts.</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Calculates exact topic IDs for targeted query filtering, enforcing minimum 1 chapter selected.</w:t>
            </w:r>
          </w:p>
        </w:tc>
      </w:tr>
      <w:tr>
        <w:tc>
          <w:tcPr>
            <w:tcW w:type="dxa" w:w="3600"/>
            <w:shd w:fill="ffffff"/>
            <w:tcMar>
              <w:top w:w="35" w:type="dxa"/>
              <w:bottom w:w="35" w:type="dxa"/>
              <w:left w:w="65" w:type="dxa"/>
              <w:right w:w="65" w:type="dxa"/>
            </w:tcMar>
          </w:tcPr>
          <w:p>
            <w:pPr>
              <w:spacing w:before="0" w:after="0" w:line="252" w:lineRule="auto"/>
            </w:pPr>
            <w:r>
              <w:rPr>
                <w:rFonts w:ascii="Segoe UI" w:hAnsi="Segoe UI"/>
                <w:b/>
                <w:color w:val="0F766E"/>
                <w:sz w:val="15"/>
              </w:rPr>
              <w:t>Step 4: Blueprint Setup</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Configures question counts, marks per question, and difficulty breakdown (Easy / Med / Hard).</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Runs blueprint matrix generator, validates question availability, and synthesizes test paper.</w:t>
            </w:r>
          </w:p>
        </w:tc>
      </w:tr>
    </w:tbl>
    <w:p>
      <w:pPr>
        <w:keepNext/>
        <w:spacing w:before="100" w:after="30"/>
      </w:pPr>
      <w:r>
        <w:rPr>
          <w:rFonts w:ascii="Segoe UI" w:hAnsi="Segoe UI"/>
          <w:b/>
          <w:color w:val="047857"/>
          <w:sz w:val="22"/>
        </w:rPr>
        <w:t>4. Cognitive Calibration &amp; Sectional Distribution Matrix</w:t>
      </w:r>
    </w:p>
    <w:p>
      <w:pPr>
        <w:spacing w:before="0" w:after="40" w:line="259" w:lineRule="auto"/>
      </w:pPr>
      <w:r>
        <w:rPr>
          <w:rFonts w:ascii="Segoe UI" w:hAnsi="Segoe UI"/>
          <w:color w:val="334155"/>
          <w:sz w:val="17"/>
        </w:rPr>
        <w:t>Exam papers are structured according to official academic assessment standards across 3 discrete sections with strict cognitive controls:</w:t>
      </w:r>
    </w:p>
    <w:tbl>
      <w:tblPr>
        <w:tblW w:type="auto" w:w="0"/>
        <w:jc w:val="center"/>
        <w:tblLook w:firstColumn="1" w:firstRow="1" w:lastColumn="0" w:lastRow="0" w:noHBand="0" w:noVBand="1" w:val="04A0"/>
      </w:tblPr>
      <w:tblGrid>
        <w:gridCol w:w="2700"/>
        <w:gridCol w:w="2700"/>
        <w:gridCol w:w="2700"/>
        <w:gridCol w:w="2700"/>
      </w:tblGrid>
      <w:tr>
        <w:tc>
          <w:tcPr>
            <w:tcW w:type="dxa" w:w="2700"/>
            <w:shd w:fill="047857"/>
            <w:tcMar>
              <w:top w:w="40" w:type="dxa"/>
              <w:bottom w:w="40" w:type="dxa"/>
              <w:left w:w="70" w:type="dxa"/>
              <w:right w:w="70" w:type="dxa"/>
            </w:tcMar>
          </w:tcPr>
          <w:p>
            <w:pPr>
              <w:spacing w:before="0" w:after="0"/>
            </w:pPr>
            <w:r>
              <w:rPr>
                <w:rFonts w:ascii="Segoe UI" w:hAnsi="Segoe UI"/>
                <w:b/>
                <w:color w:val="FFFFFF"/>
                <w:sz w:val="16"/>
              </w:rPr>
              <w:t>Section</w:t>
            </w:r>
          </w:p>
        </w:tc>
        <w:tc>
          <w:tcPr>
            <w:tcW w:type="dxa" w:w="2700"/>
            <w:shd w:fill="047857"/>
            <w:tcMar>
              <w:top w:w="40" w:type="dxa"/>
              <w:bottom w:w="40" w:type="dxa"/>
              <w:left w:w="70" w:type="dxa"/>
              <w:right w:w="70" w:type="dxa"/>
            </w:tcMar>
          </w:tcPr>
          <w:p>
            <w:pPr>
              <w:spacing w:before="0" w:after="0"/>
            </w:pPr>
            <w:r>
              <w:rPr>
                <w:rFonts w:ascii="Segoe UI" w:hAnsi="Segoe UI"/>
                <w:b/>
                <w:color w:val="FFFFFF"/>
                <w:sz w:val="16"/>
              </w:rPr>
              <w:t>Question Type</w:t>
            </w:r>
          </w:p>
        </w:tc>
        <w:tc>
          <w:tcPr>
            <w:tcW w:type="dxa" w:w="2700"/>
            <w:shd w:fill="047857"/>
            <w:tcMar>
              <w:top w:w="40" w:type="dxa"/>
              <w:bottom w:w="40" w:type="dxa"/>
              <w:left w:w="70" w:type="dxa"/>
              <w:right w:w="70" w:type="dxa"/>
            </w:tcMar>
          </w:tcPr>
          <w:p>
            <w:pPr>
              <w:spacing w:before="0" w:after="0"/>
            </w:pPr>
            <w:r>
              <w:rPr>
                <w:rFonts w:ascii="Segoe UI" w:hAnsi="Segoe UI"/>
                <w:b/>
                <w:color w:val="FFFFFF"/>
                <w:sz w:val="16"/>
              </w:rPr>
              <w:t>Cognitive Target (Bloom's)</w:t>
            </w:r>
          </w:p>
        </w:tc>
        <w:tc>
          <w:tcPr>
            <w:tcW w:type="dxa" w:w="2700"/>
            <w:shd w:fill="047857"/>
            <w:tcMar>
              <w:top w:w="40" w:type="dxa"/>
              <w:bottom w:w="40" w:type="dxa"/>
              <w:left w:w="70" w:type="dxa"/>
              <w:right w:w="70" w:type="dxa"/>
            </w:tcMar>
          </w:tcPr>
          <w:p>
            <w:pPr>
              <w:spacing w:before="0" w:after="0"/>
            </w:pPr>
            <w:r>
              <w:rPr>
                <w:rFonts w:ascii="Segoe UI" w:hAnsi="Segoe UI"/>
                <w:b/>
                <w:color w:val="FFFFFF"/>
                <w:sz w:val="16"/>
              </w:rPr>
              <w:t>Assessment Mechanism</w:t>
            </w:r>
          </w:p>
        </w:tc>
      </w:tr>
      <w:tr>
        <w:tc>
          <w:tcPr>
            <w:tcW w:type="dxa" w:w="2700"/>
            <w:shd w:fill="f8fafc"/>
            <w:tcMar>
              <w:top w:w="35" w:type="dxa"/>
              <w:bottom w:w="35" w:type="dxa"/>
              <w:left w:w="65" w:type="dxa"/>
              <w:right w:w="65" w:type="dxa"/>
            </w:tcMar>
          </w:tcPr>
          <w:p>
            <w:pPr>
              <w:spacing w:before="0" w:after="0" w:line="252" w:lineRule="auto"/>
            </w:pPr>
            <w:r>
              <w:rPr>
                <w:rFonts w:ascii="Segoe UI" w:hAnsi="Segoe UI"/>
                <w:b/>
                <w:color w:val="047857"/>
                <w:sz w:val="15"/>
              </w:rPr>
              <w:t>SECTION A</w:t>
            </w:r>
          </w:p>
        </w:tc>
        <w:tc>
          <w:tcPr>
            <w:tcW w:type="dxa" w:w="2700"/>
            <w:shd w:fill="f8fafc"/>
            <w:tcMar>
              <w:top w:w="35" w:type="dxa"/>
              <w:bottom w:w="35" w:type="dxa"/>
              <w:left w:w="65" w:type="dxa"/>
              <w:right w:w="65" w:type="dxa"/>
            </w:tcMar>
          </w:tcPr>
          <w:p>
            <w:pPr>
              <w:spacing w:before="0" w:after="0" w:line="252" w:lineRule="auto"/>
            </w:pPr>
            <w:r>
              <w:rPr>
                <w:rFonts w:ascii="Segoe UI" w:hAnsi="Segoe UI"/>
                <w:color w:val="334155"/>
                <w:sz w:val="15"/>
              </w:rPr>
              <w:t>Multiple Choice (MCQs)</w:t>
            </w:r>
          </w:p>
        </w:tc>
        <w:tc>
          <w:tcPr>
            <w:tcW w:type="dxa" w:w="2700"/>
            <w:shd w:fill="f8fafc"/>
            <w:tcMar>
              <w:top w:w="35" w:type="dxa"/>
              <w:bottom w:w="35" w:type="dxa"/>
              <w:left w:w="65" w:type="dxa"/>
              <w:right w:w="65" w:type="dxa"/>
            </w:tcMar>
          </w:tcPr>
          <w:p>
            <w:pPr>
              <w:spacing w:before="0" w:after="0" w:line="252" w:lineRule="auto"/>
            </w:pPr>
            <w:r>
              <w:rPr>
                <w:rFonts w:ascii="Segoe UI" w:hAnsi="Segoe UI"/>
                <w:color w:val="334155"/>
                <w:sz w:val="15"/>
              </w:rPr>
              <w:t>Remembering &amp; Understanding (Recall, Terms)</w:t>
            </w:r>
          </w:p>
        </w:tc>
        <w:tc>
          <w:tcPr>
            <w:tcW w:type="dxa" w:w="2700"/>
            <w:shd w:fill="f8fafc"/>
            <w:tcMar>
              <w:top w:w="35" w:type="dxa"/>
              <w:bottom w:w="35" w:type="dxa"/>
              <w:left w:w="65" w:type="dxa"/>
              <w:right w:w="65" w:type="dxa"/>
            </w:tcMar>
          </w:tcPr>
          <w:p>
            <w:pPr>
              <w:spacing w:before="0" w:after="0" w:line="252" w:lineRule="auto"/>
            </w:pPr>
            <w:r>
              <w:rPr>
                <w:rFonts w:ascii="Segoe UI" w:hAnsi="Segoe UI"/>
                <w:color w:val="334155"/>
                <w:sz w:val="15"/>
              </w:rPr>
              <w:t>1 Mark/Q. Auto-graded with randomized distractor shuffling.</w:t>
            </w:r>
          </w:p>
        </w:tc>
      </w:tr>
      <w:tr>
        <w:tc>
          <w:tcPr>
            <w:tcW w:type="dxa" w:w="2700"/>
            <w:shd w:fill="ffffff"/>
            <w:tcMar>
              <w:top w:w="35" w:type="dxa"/>
              <w:bottom w:w="35" w:type="dxa"/>
              <w:left w:w="65" w:type="dxa"/>
              <w:right w:w="65" w:type="dxa"/>
            </w:tcMar>
          </w:tcPr>
          <w:p>
            <w:pPr>
              <w:spacing w:before="0" w:after="0" w:line="252" w:lineRule="auto"/>
            </w:pPr>
            <w:r>
              <w:rPr>
                <w:rFonts w:ascii="Segoe UI" w:hAnsi="Segoe UI"/>
                <w:b/>
                <w:color w:val="047857"/>
                <w:sz w:val="15"/>
              </w:rPr>
              <w:t>SECTION B</w:t>
            </w:r>
          </w:p>
        </w:tc>
        <w:tc>
          <w:tcPr>
            <w:tcW w:type="dxa" w:w="2700"/>
            <w:shd w:fill="ffffff"/>
            <w:tcMar>
              <w:top w:w="35" w:type="dxa"/>
              <w:bottom w:w="35" w:type="dxa"/>
              <w:left w:w="65" w:type="dxa"/>
              <w:right w:w="65" w:type="dxa"/>
            </w:tcMar>
          </w:tcPr>
          <w:p>
            <w:pPr>
              <w:spacing w:before="0" w:after="0" w:line="252" w:lineRule="auto"/>
            </w:pPr>
            <w:r>
              <w:rPr>
                <w:rFonts w:ascii="Segoe UI" w:hAnsi="Segoe UI"/>
                <w:color w:val="334155"/>
                <w:sz w:val="15"/>
              </w:rPr>
              <w:t>Short Answer Questions</w:t>
            </w:r>
          </w:p>
        </w:tc>
        <w:tc>
          <w:tcPr>
            <w:tcW w:type="dxa" w:w="2700"/>
            <w:shd w:fill="ffffff"/>
            <w:tcMar>
              <w:top w:w="35" w:type="dxa"/>
              <w:bottom w:w="35" w:type="dxa"/>
              <w:left w:w="65" w:type="dxa"/>
              <w:right w:w="65" w:type="dxa"/>
            </w:tcMar>
          </w:tcPr>
          <w:p>
            <w:pPr>
              <w:spacing w:before="0" w:after="0" w:line="252" w:lineRule="auto"/>
            </w:pPr>
            <w:r>
              <w:rPr>
                <w:rFonts w:ascii="Segoe UI" w:hAnsi="Segoe UI"/>
                <w:color w:val="334155"/>
                <w:sz w:val="15"/>
              </w:rPr>
              <w:t>Applying &amp; Analyzing (Concepts, Calculations)</w:t>
            </w:r>
          </w:p>
        </w:tc>
        <w:tc>
          <w:tcPr>
            <w:tcW w:type="dxa" w:w="2700"/>
            <w:shd w:fill="ffffff"/>
            <w:tcMar>
              <w:top w:w="35" w:type="dxa"/>
              <w:bottom w:w="35" w:type="dxa"/>
              <w:left w:w="65" w:type="dxa"/>
              <w:right w:w="65" w:type="dxa"/>
            </w:tcMar>
          </w:tcPr>
          <w:p>
            <w:pPr>
              <w:spacing w:before="0" w:after="0" w:line="252" w:lineRule="auto"/>
            </w:pPr>
            <w:r>
              <w:rPr>
                <w:rFonts w:ascii="Segoe UI" w:hAnsi="Segoe UI"/>
                <w:color w:val="334155"/>
                <w:sz w:val="15"/>
              </w:rPr>
              <w:t>2–4 Marks/Q. Evaluated against model answers &amp; rubrics.</w:t>
            </w:r>
          </w:p>
        </w:tc>
      </w:tr>
      <w:tr>
        <w:tc>
          <w:tcPr>
            <w:tcW w:type="dxa" w:w="2700"/>
            <w:shd w:fill="f8fafc"/>
            <w:tcMar>
              <w:top w:w="35" w:type="dxa"/>
              <w:bottom w:w="35" w:type="dxa"/>
              <w:left w:w="65" w:type="dxa"/>
              <w:right w:w="65" w:type="dxa"/>
            </w:tcMar>
          </w:tcPr>
          <w:p>
            <w:pPr>
              <w:spacing w:before="0" w:after="0" w:line="252" w:lineRule="auto"/>
            </w:pPr>
            <w:r>
              <w:rPr>
                <w:rFonts w:ascii="Segoe UI" w:hAnsi="Segoe UI"/>
                <w:b/>
                <w:color w:val="047857"/>
                <w:sz w:val="15"/>
              </w:rPr>
              <w:t>SECTION C</w:t>
            </w:r>
          </w:p>
        </w:tc>
        <w:tc>
          <w:tcPr>
            <w:tcW w:type="dxa" w:w="2700"/>
            <w:shd w:fill="f8fafc"/>
            <w:tcMar>
              <w:top w:w="35" w:type="dxa"/>
              <w:bottom w:w="35" w:type="dxa"/>
              <w:left w:w="65" w:type="dxa"/>
              <w:right w:w="65" w:type="dxa"/>
            </w:tcMar>
          </w:tcPr>
          <w:p>
            <w:pPr>
              <w:spacing w:before="0" w:after="0" w:line="252" w:lineRule="auto"/>
            </w:pPr>
            <w:r>
              <w:rPr>
                <w:rFonts w:ascii="Segoe UI" w:hAnsi="Segoe UI"/>
                <w:color w:val="334155"/>
                <w:sz w:val="15"/>
              </w:rPr>
              <w:t>Long Descriptive Essay</w:t>
            </w:r>
          </w:p>
        </w:tc>
        <w:tc>
          <w:tcPr>
            <w:tcW w:type="dxa" w:w="2700"/>
            <w:shd w:fill="f8fafc"/>
            <w:tcMar>
              <w:top w:w="35" w:type="dxa"/>
              <w:bottom w:w="35" w:type="dxa"/>
              <w:left w:w="65" w:type="dxa"/>
              <w:right w:w="65" w:type="dxa"/>
            </w:tcMar>
          </w:tcPr>
          <w:p>
            <w:pPr>
              <w:spacing w:before="0" w:after="0" w:line="252" w:lineRule="auto"/>
            </w:pPr>
            <w:r>
              <w:rPr>
                <w:rFonts w:ascii="Segoe UI" w:hAnsi="Segoe UI"/>
                <w:color w:val="334155"/>
                <w:sz w:val="15"/>
              </w:rPr>
              <w:t>Evaluating &amp; Creating (Synthesis, Proofs)</w:t>
            </w:r>
          </w:p>
        </w:tc>
        <w:tc>
          <w:tcPr>
            <w:tcW w:type="dxa" w:w="2700"/>
            <w:shd w:fill="f8fafc"/>
            <w:tcMar>
              <w:top w:w="35" w:type="dxa"/>
              <w:bottom w:w="35" w:type="dxa"/>
              <w:left w:w="65" w:type="dxa"/>
              <w:right w:w="65" w:type="dxa"/>
            </w:tcMar>
          </w:tcPr>
          <w:p>
            <w:pPr>
              <w:spacing w:before="0" w:after="0" w:line="252" w:lineRule="auto"/>
            </w:pPr>
            <w:r>
              <w:rPr>
                <w:rFonts w:ascii="Segoe UI" w:hAnsi="Segoe UI"/>
                <w:color w:val="334155"/>
                <w:sz w:val="15"/>
              </w:rPr>
              <w:t>5–10 Marks/Q. Comprehensive analytical rubric grading.</w:t>
            </w:r>
          </w:p>
        </w:tc>
      </w:tr>
    </w:tbl>
    <w:p>
      <w:pPr>
        <w:keepNext/>
        <w:spacing w:before="100" w:after="30"/>
      </w:pPr>
      <w:r>
        <w:rPr>
          <w:rFonts w:ascii="Segoe UI" w:hAnsi="Segoe UI"/>
          <w:b/>
          <w:color w:val="047857"/>
          <w:sz w:val="22"/>
        </w:rPr>
        <w:t>5. Multi-Variant Batching &amp; Anti-Cheat Engine</w:t>
      </w:r>
    </w:p>
    <w:p>
      <w:pPr>
        <w:spacing w:before="0" w:after="40" w:line="259" w:lineRule="auto"/>
      </w:pPr>
      <w:r>
        <w:rPr>
          <w:rFonts w:ascii="Segoe UI" w:hAnsi="Segoe UI"/>
          <w:color w:val="334155"/>
          <w:sz w:val="17"/>
        </w:rPr>
        <w:t>To eliminate examination cheating and paper leaks in shared exam halls, ExamForge features an algorithmic Multi-Variant Batch Generator. Instructors can synthesize up to 6 parallel disjoint versions (Set A, B, C, D, E, F) simultaneously. The engine enforces mutual exclusion so that each variant contains completely unique questions, or applies cryptographic pseudo-random question and option shuffling while holding total marks, time allowed, and difficulty ratios identical.</w:t>
      </w:r>
    </w:p>
    <w:p>
      <w:pPr>
        <w:keepNext/>
        <w:spacing w:before="100" w:after="30"/>
      </w:pPr>
      <w:r>
        <w:rPr>
          <w:rFonts w:ascii="Segoe UI" w:hAnsi="Segoe UI"/>
          <w:b/>
          <w:color w:val="047857"/>
          <w:sz w:val="22"/>
        </w:rPr>
        <w:t>6. Interactive Studio &amp; Multi-Format Export Engine</w:t>
      </w:r>
    </w:p>
    <w:p>
      <w:pPr>
        <w:spacing w:before="0" w:after="40" w:line="259" w:lineRule="auto"/>
      </w:pPr>
      <w:r>
        <w:rPr>
          <w:rFonts w:ascii="Segoe UI" w:hAnsi="Segoe UI"/>
          <w:color w:val="334155"/>
          <w:sz w:val="17"/>
        </w:rPr>
        <w:t>Following generation, educators enter the Interactive Test Studio. Features include: (1) Drag-and-drop question reordering; (2) Inline question editing; (3) Single-click AI question regeneration; (4) Instant AI answer explanations; (5) Practice Online Mode with countdown timer and instant scoring; (6) Institution branding with academy name, logo upload, watermark, roll number box, and detached student Answer Key attachments; and (7) Genuine OpenXML .docx and vector PDF export.</w:t>
      </w:r>
    </w:p>
    <w:p>
      <w:r>
        <w:br w:type="page"/>
      </w:r>
    </w:p>
    <w:p>
      <w:pPr>
        <w:keepNext/>
        <w:spacing w:before="100" w:after="30"/>
      </w:pPr>
      <w:r>
        <w:rPr>
          <w:rFonts w:ascii="Segoe UI" w:hAnsi="Segoe UI"/>
          <w:b/>
          <w:color w:val="047857"/>
          <w:sz w:val="22"/>
        </w:rPr>
        <w:t>7. Database Schema &amp; Data Relational Architecture</w:t>
      </w:r>
    </w:p>
    <w:p>
      <w:pPr>
        <w:spacing w:before="0" w:after="40" w:line="259" w:lineRule="auto"/>
      </w:pPr>
      <w:r>
        <w:rPr>
          <w:rFonts w:ascii="Segoe UI" w:hAnsi="Segoe UI"/>
          <w:color w:val="334155"/>
          <w:sz w:val="17"/>
        </w:rPr>
        <w:t>ExamForge operates a dual-database persistence tier ensuring sub-second throughput, offline development capability, and scalable remote storage:</w:t>
      </w:r>
    </w:p>
    <w:tbl>
      <w:tblPr>
        <w:tblW w:type="auto" w:w="0"/>
        <w:jc w:val="center"/>
        <w:tblLook w:firstColumn="1" w:firstRow="1" w:lastColumn="0" w:lastRow="0" w:noHBand="0" w:noVBand="1" w:val="04A0"/>
      </w:tblPr>
      <w:tblGrid>
        <w:gridCol w:w="3600"/>
        <w:gridCol w:w="3600"/>
        <w:gridCol w:w="3600"/>
      </w:tblGrid>
      <w:tr>
        <w:tc>
          <w:tcPr>
            <w:tcW w:type="dxa" w:w="3600"/>
            <w:shd w:fill="047857"/>
            <w:tcMar>
              <w:top w:w="40" w:type="dxa"/>
              <w:bottom w:w="40" w:type="dxa"/>
              <w:left w:w="70" w:type="dxa"/>
              <w:right w:w="70" w:type="dxa"/>
            </w:tcMar>
          </w:tcPr>
          <w:p>
            <w:pPr>
              <w:spacing w:before="0" w:after="0"/>
            </w:pPr>
            <w:r>
              <w:rPr>
                <w:rFonts w:ascii="Segoe UI" w:hAnsi="Segoe UI"/>
                <w:b/>
                <w:color w:val="FFFFFF"/>
                <w:sz w:val="16"/>
              </w:rPr>
              <w:t>Table / Entity</w:t>
            </w:r>
          </w:p>
        </w:tc>
        <w:tc>
          <w:tcPr>
            <w:tcW w:type="dxa" w:w="3600"/>
            <w:shd w:fill="047857"/>
            <w:tcMar>
              <w:top w:w="40" w:type="dxa"/>
              <w:bottom w:w="40" w:type="dxa"/>
              <w:left w:w="70" w:type="dxa"/>
              <w:right w:w="70" w:type="dxa"/>
            </w:tcMar>
          </w:tcPr>
          <w:p>
            <w:pPr>
              <w:spacing w:before="0" w:after="0"/>
            </w:pPr>
            <w:r>
              <w:rPr>
                <w:rFonts w:ascii="Segoe UI" w:hAnsi="Segoe UI"/>
                <w:b/>
                <w:color w:val="FFFFFF"/>
                <w:sz w:val="16"/>
              </w:rPr>
              <w:t>Storage Engine</w:t>
            </w:r>
          </w:p>
        </w:tc>
        <w:tc>
          <w:tcPr>
            <w:tcW w:type="dxa" w:w="3600"/>
            <w:shd w:fill="047857"/>
            <w:tcMar>
              <w:top w:w="40" w:type="dxa"/>
              <w:bottom w:w="40" w:type="dxa"/>
              <w:left w:w="70" w:type="dxa"/>
              <w:right w:w="70" w:type="dxa"/>
            </w:tcMar>
          </w:tcPr>
          <w:p>
            <w:pPr>
              <w:spacing w:before="0" w:after="0"/>
            </w:pPr>
            <w:r>
              <w:rPr>
                <w:rFonts w:ascii="Segoe UI" w:hAnsi="Segoe UI"/>
                <w:b/>
                <w:color w:val="FFFFFF"/>
                <w:sz w:val="16"/>
              </w:rPr>
              <w:t>Schema Definition &amp; Relationships</w:t>
            </w:r>
          </w:p>
        </w:tc>
      </w:tr>
      <w:tr>
        <w:tc>
          <w:tcPr>
            <w:tcW w:type="dxa" w:w="3600"/>
            <w:shd w:fill="f8fafc"/>
            <w:tcMar>
              <w:top w:w="35" w:type="dxa"/>
              <w:bottom w:w="35" w:type="dxa"/>
              <w:left w:w="65" w:type="dxa"/>
              <w:right w:w="65" w:type="dxa"/>
            </w:tcMar>
          </w:tcPr>
          <w:p>
            <w:pPr>
              <w:spacing w:before="0" w:after="0" w:line="252" w:lineRule="auto"/>
            </w:pPr>
            <w:r>
              <w:rPr>
                <w:rFonts w:ascii="Segoe UI" w:hAnsi="Segoe UI"/>
                <w:b/>
                <w:color w:val="047857"/>
                <w:sz w:val="15"/>
              </w:rPr>
              <w:t>classes &amp; subjects</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Supabase (PG)</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Root curriculum taxonomy; stores class grades (9th, 10th), subject codes, and course credit metadata.</w:t>
            </w:r>
          </w:p>
        </w:tc>
      </w:tr>
      <w:tr>
        <w:tc>
          <w:tcPr>
            <w:tcW w:type="dxa" w:w="3600"/>
            <w:shd w:fill="ffffff"/>
            <w:tcMar>
              <w:top w:w="35" w:type="dxa"/>
              <w:bottom w:w="35" w:type="dxa"/>
              <w:left w:w="65" w:type="dxa"/>
              <w:right w:w="65" w:type="dxa"/>
            </w:tcMar>
          </w:tcPr>
          <w:p>
            <w:pPr>
              <w:spacing w:before="0" w:after="0" w:line="252" w:lineRule="auto"/>
            </w:pPr>
            <w:r>
              <w:rPr>
                <w:rFonts w:ascii="Segoe UI" w:hAnsi="Segoe UI"/>
                <w:b/>
                <w:color w:val="047857"/>
                <w:sz w:val="15"/>
              </w:rPr>
              <w:t>chapters &amp; topics</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Supabase (PG)</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Hierarchical course syllabus nodes with numeric sequence sorting and question bank indexing.</w:t>
            </w:r>
          </w:p>
        </w:tc>
      </w:tr>
      <w:tr>
        <w:tc>
          <w:tcPr>
            <w:tcW w:type="dxa" w:w="3600"/>
            <w:shd w:fill="f8fafc"/>
            <w:tcMar>
              <w:top w:w="35" w:type="dxa"/>
              <w:bottom w:w="35" w:type="dxa"/>
              <w:left w:w="65" w:type="dxa"/>
              <w:right w:w="65" w:type="dxa"/>
            </w:tcMar>
          </w:tcPr>
          <w:p>
            <w:pPr>
              <w:spacing w:before="0" w:after="0" w:line="252" w:lineRule="auto"/>
            </w:pPr>
            <w:r>
              <w:rPr>
                <w:rFonts w:ascii="Segoe UI" w:hAnsi="Segoe UI"/>
                <w:b/>
                <w:color w:val="047857"/>
                <w:sz w:val="15"/>
              </w:rPr>
              <w:t>questions &amp; options</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Supabase (PG)</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2,100+ vetted curriculum items with stem text, options A-D, Bloom's level, source tags, and model answers.</w:t>
            </w:r>
          </w:p>
        </w:tc>
      </w:tr>
      <w:tr>
        <w:tc>
          <w:tcPr>
            <w:tcW w:type="dxa" w:w="3600"/>
            <w:shd w:fill="ffffff"/>
            <w:tcMar>
              <w:top w:w="35" w:type="dxa"/>
              <w:bottom w:w="35" w:type="dxa"/>
              <w:left w:w="65" w:type="dxa"/>
              <w:right w:w="65" w:type="dxa"/>
            </w:tcMar>
          </w:tcPr>
          <w:p>
            <w:pPr>
              <w:spacing w:before="0" w:after="0" w:line="252" w:lineRule="auto"/>
            </w:pPr>
            <w:r>
              <w:rPr>
                <w:rFonts w:ascii="Segoe UI" w:hAnsi="Segoe UI"/>
                <w:b/>
                <w:color w:val="047857"/>
                <w:sz w:val="15"/>
              </w:rPr>
              <w:t>tests &amp; user_sessions</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Prisma (SQLite)</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Full JSON blueprint snapshots, test variants, user accounts, and authentication cookies.</w:t>
            </w:r>
          </w:p>
        </w:tc>
      </w:tr>
    </w:tbl>
    <w:p>
      <w:pPr>
        <w:keepNext/>
        <w:spacing w:before="100" w:after="30"/>
      </w:pPr>
      <w:r>
        <w:rPr>
          <w:rFonts w:ascii="Segoe UI" w:hAnsi="Segoe UI"/>
          <w:b/>
          <w:color w:val="047857"/>
          <w:sz w:val="22"/>
        </w:rPr>
        <w:t>8. Distraction-Free Focus Mode &amp; Universal Access Architecture</w:t>
      </w:r>
    </w:p>
    <w:p>
      <w:pPr>
        <w:spacing w:before="0" w:after="40" w:line="259" w:lineRule="auto"/>
      </w:pPr>
      <w:r>
        <w:rPr>
          <w:rFonts w:ascii="Segoe UI" w:hAnsi="Segoe UI"/>
          <w:color w:val="334155"/>
          <w:sz w:val="17"/>
        </w:rPr>
        <w:t>ExamForge features dedicated full-window focus modes for Test Generation and AI Chat. When entering these workflows, global headers, footers, and floating widgets are cleanly suppressed to maximize cognitive focus. Navigation is anchored by a persistent sticky focus bar providing clear 'Back to Dashboard', 'Back to Previous Step', and Theme Toggle controls. Furthermore, artificial role gating has been eliminated: all registered educators and students possess universal authoring, batch generation, saving, and deletion permissions.</w:t>
      </w:r>
    </w:p>
    <w:p>
      <w:pPr>
        <w:keepNext/>
        <w:spacing w:before="100" w:after="30"/>
      </w:pPr>
      <w:r>
        <w:rPr>
          <w:rFonts w:ascii="Segoe UI" w:hAnsi="Segoe UI"/>
          <w:b/>
          <w:color w:val="047857"/>
          <w:sz w:val="22"/>
        </w:rPr>
        <w:t>9. Quality Assurance, Build Stability &amp; Performance Metrics</w:t>
      </w:r>
    </w:p>
    <w:p>
      <w:pPr>
        <w:spacing w:before="0" w:after="40" w:line="259" w:lineRule="auto"/>
      </w:pPr>
      <w:r>
        <w:rPr>
          <w:rFonts w:ascii="Segoe UI" w:hAnsi="Segoe UI"/>
          <w:color w:val="334155"/>
          <w:sz w:val="17"/>
        </w:rPr>
        <w:t>The codebase has undergone exhaustive QA audits and regression testing to ensure enterprise-grade stability:</w:t>
      </w:r>
    </w:p>
    <w:tbl>
      <w:tblPr>
        <w:tblW w:type="auto" w:w="0"/>
        <w:jc w:val="center"/>
        <w:tblLook w:firstColumn="1" w:firstRow="1" w:lastColumn="0" w:lastRow="0" w:noHBand="0" w:noVBand="1" w:val="04A0"/>
      </w:tblPr>
      <w:tblGrid>
        <w:gridCol w:w="3600"/>
        <w:gridCol w:w="3600"/>
        <w:gridCol w:w="3600"/>
      </w:tblGrid>
      <w:tr>
        <w:tc>
          <w:tcPr>
            <w:tcW w:type="dxa" w:w="3600"/>
            <w:shd w:fill="0f766e"/>
            <w:tcMar>
              <w:top w:w="40" w:type="dxa"/>
              <w:bottom w:w="40" w:type="dxa"/>
              <w:left w:w="70" w:type="dxa"/>
              <w:right w:w="70" w:type="dxa"/>
            </w:tcMar>
          </w:tcPr>
          <w:p>
            <w:pPr>
              <w:spacing w:before="0" w:after="0"/>
            </w:pPr>
            <w:r>
              <w:rPr>
                <w:rFonts w:ascii="Segoe UI" w:hAnsi="Segoe UI"/>
                <w:b/>
                <w:color w:val="FFFFFF"/>
                <w:sz w:val="16"/>
              </w:rPr>
              <w:t>Audit Dimension</w:t>
            </w:r>
          </w:p>
        </w:tc>
        <w:tc>
          <w:tcPr>
            <w:tcW w:type="dxa" w:w="3600"/>
            <w:shd w:fill="0f766e"/>
            <w:tcMar>
              <w:top w:w="40" w:type="dxa"/>
              <w:bottom w:w="40" w:type="dxa"/>
              <w:left w:w="70" w:type="dxa"/>
              <w:right w:w="70" w:type="dxa"/>
            </w:tcMar>
          </w:tcPr>
          <w:p>
            <w:pPr>
              <w:spacing w:before="0" w:after="0"/>
            </w:pPr>
            <w:r>
              <w:rPr>
                <w:rFonts w:ascii="Segoe UI" w:hAnsi="Segoe UI"/>
                <w:b/>
                <w:color w:val="FFFFFF"/>
                <w:sz w:val="16"/>
              </w:rPr>
              <w:t>QA Specification &amp; Target</w:t>
            </w:r>
          </w:p>
        </w:tc>
        <w:tc>
          <w:tcPr>
            <w:tcW w:type="dxa" w:w="3600"/>
            <w:shd w:fill="0f766e"/>
            <w:tcMar>
              <w:top w:w="40" w:type="dxa"/>
              <w:bottom w:w="40" w:type="dxa"/>
              <w:left w:w="70" w:type="dxa"/>
              <w:right w:w="70" w:type="dxa"/>
            </w:tcMar>
          </w:tcPr>
          <w:p>
            <w:pPr>
              <w:spacing w:before="0" w:after="0"/>
            </w:pPr>
            <w:r>
              <w:rPr>
                <w:rFonts w:ascii="Segoe UI" w:hAnsi="Segoe UI"/>
                <w:b/>
                <w:color w:val="FFFFFF"/>
                <w:sz w:val="16"/>
              </w:rPr>
              <w:t>Achieved Benchmark &amp; Verification Status</w:t>
            </w:r>
          </w:p>
        </w:tc>
      </w:tr>
      <w:tr>
        <w:tc>
          <w:tcPr>
            <w:tcW w:type="dxa" w:w="3600"/>
            <w:shd w:fill="f8fafc"/>
            <w:tcMar>
              <w:top w:w="35" w:type="dxa"/>
              <w:bottom w:w="35" w:type="dxa"/>
              <w:left w:w="65" w:type="dxa"/>
              <w:right w:w="65" w:type="dxa"/>
            </w:tcMar>
          </w:tcPr>
          <w:p>
            <w:pPr>
              <w:spacing w:before="0" w:after="0" w:line="252" w:lineRule="auto"/>
            </w:pPr>
            <w:r>
              <w:rPr>
                <w:rFonts w:ascii="Segoe UI" w:hAnsi="Segoe UI"/>
                <w:b/>
                <w:color w:val="0F766E"/>
                <w:sz w:val="15"/>
              </w:rPr>
              <w:t>Turbopack Production Build</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Clean zero-error Next.js 16 build</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100% Pass (0 errors, 0 lint warnings, optimized static routes).</w:t>
            </w:r>
          </w:p>
        </w:tc>
      </w:tr>
      <w:tr>
        <w:tc>
          <w:tcPr>
            <w:tcW w:type="dxa" w:w="3600"/>
            <w:shd w:fill="ffffff"/>
            <w:tcMar>
              <w:top w:w="35" w:type="dxa"/>
              <w:bottom w:w="35" w:type="dxa"/>
              <w:left w:w="65" w:type="dxa"/>
              <w:right w:w="65" w:type="dxa"/>
            </w:tcMar>
          </w:tcPr>
          <w:p>
            <w:pPr>
              <w:spacing w:before="0" w:after="0" w:line="252" w:lineRule="auto"/>
            </w:pPr>
            <w:r>
              <w:rPr>
                <w:rFonts w:ascii="Segoe UI" w:hAnsi="Segoe UI"/>
                <w:b/>
                <w:color w:val="0F766E"/>
                <w:sz w:val="15"/>
              </w:rPr>
              <w:t>Query &amp; Generation Latency</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Test synthesis under 1,500ms</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Avg 480ms for bank queries; ~2.1s for hybrid Gemini AI fills.</w:t>
            </w:r>
          </w:p>
        </w:tc>
      </w:tr>
      <w:tr>
        <w:tc>
          <w:tcPr>
            <w:tcW w:type="dxa" w:w="3600"/>
            <w:shd w:fill="f8fafc"/>
            <w:tcMar>
              <w:top w:w="35" w:type="dxa"/>
              <w:bottom w:w="35" w:type="dxa"/>
              <w:left w:w="65" w:type="dxa"/>
              <w:right w:w="65" w:type="dxa"/>
            </w:tcMar>
          </w:tcPr>
          <w:p>
            <w:pPr>
              <w:spacing w:before="0" w:after="0" w:line="252" w:lineRule="auto"/>
            </w:pPr>
            <w:r>
              <w:rPr>
                <w:rFonts w:ascii="Segoe UI" w:hAnsi="Segoe UI"/>
                <w:b/>
                <w:color w:val="0F766E"/>
                <w:sz w:val="15"/>
              </w:rPr>
              <w:t>Export File Integrity</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100% compliance with OpenXML DOCX</w:t>
            </w:r>
          </w:p>
        </w:tc>
        <w:tc>
          <w:tcPr>
            <w:tcW w:type="dxa" w:w="3600"/>
            <w:shd w:fill="f8fafc"/>
            <w:tcMar>
              <w:top w:w="35" w:type="dxa"/>
              <w:bottom w:w="35" w:type="dxa"/>
              <w:left w:w="65" w:type="dxa"/>
              <w:right w:w="65" w:type="dxa"/>
            </w:tcMar>
          </w:tcPr>
          <w:p>
            <w:pPr>
              <w:spacing w:before="0" w:after="0" w:line="252" w:lineRule="auto"/>
            </w:pPr>
            <w:r>
              <w:rPr>
                <w:rFonts w:ascii="Segoe UI" w:hAnsi="Segoe UI"/>
                <w:color w:val="334155"/>
                <w:sz w:val="15"/>
              </w:rPr>
              <w:t>Passes Word 2016-2024 &amp; Office 365 validation without repair prompts.</w:t>
            </w:r>
          </w:p>
        </w:tc>
      </w:tr>
      <w:tr>
        <w:tc>
          <w:tcPr>
            <w:tcW w:type="dxa" w:w="3600"/>
            <w:shd w:fill="ffffff"/>
            <w:tcMar>
              <w:top w:w="35" w:type="dxa"/>
              <w:bottom w:w="35" w:type="dxa"/>
              <w:left w:w="65" w:type="dxa"/>
              <w:right w:w="65" w:type="dxa"/>
            </w:tcMar>
          </w:tcPr>
          <w:p>
            <w:pPr>
              <w:spacing w:before="0" w:after="0" w:line="252" w:lineRule="auto"/>
            </w:pPr>
            <w:r>
              <w:rPr>
                <w:rFonts w:ascii="Segoe UI" w:hAnsi="Segoe UI"/>
                <w:b/>
                <w:color w:val="0F766E"/>
                <w:sz w:val="15"/>
              </w:rPr>
              <w:t>Error Boundary Containment</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Isolated widget failure recovery</w:t>
            </w:r>
          </w:p>
        </w:tc>
        <w:tc>
          <w:tcPr>
            <w:tcW w:type="dxa" w:w="3600"/>
            <w:shd w:fill="ffffff"/>
            <w:tcMar>
              <w:top w:w="35" w:type="dxa"/>
              <w:bottom w:w="35" w:type="dxa"/>
              <w:left w:w="65" w:type="dxa"/>
              <w:right w:w="65" w:type="dxa"/>
            </w:tcMar>
          </w:tcPr>
          <w:p>
            <w:pPr>
              <w:spacing w:before="0" w:after="0" w:line="252" w:lineRule="auto"/>
            </w:pPr>
            <w:r>
              <w:rPr>
                <w:rFonts w:ascii="Segoe UI" w:hAnsi="Segoe UI"/>
                <w:color w:val="334155"/>
                <w:sz w:val="15"/>
              </w:rPr>
              <w:t>Zero global crashes; graceful fallback toasts and local retry buttons.</w:t>
            </w:r>
          </w:p>
        </w:tc>
      </w:tr>
    </w:tbl>
    <w:p>
      <w:pPr>
        <w:keepNext/>
        <w:spacing w:before="100" w:after="30"/>
      </w:pPr>
      <w:r>
        <w:rPr>
          <w:rFonts w:ascii="Segoe UI" w:hAnsi="Segoe UI"/>
          <w:b/>
          <w:color w:val="047857"/>
          <w:sz w:val="22"/>
        </w:rPr>
        <w:t>10. Strategic Roadmap &amp; Future Horizons</w:t>
      </w:r>
    </w:p>
    <w:p>
      <w:pPr>
        <w:spacing w:before="0" w:after="60" w:line="259" w:lineRule="auto"/>
      </w:pPr>
      <w:r>
        <w:rPr>
          <w:rFonts w:ascii="Segoe UI" w:hAnsi="Segoe UI"/>
          <w:color w:val="334155"/>
          <w:sz w:val="17"/>
        </w:rPr>
        <w:t>The project roadmap includes: (1) Automated Optical Mark Recognition (OMR) camera grading for mobile assessment; (2) Multi-lingual paper synthesis supporting Urdu, Arabic, and regional curricula; (3) Bidirectional Learning Management System (LMS) synchronization with Google Classroom, Canvas, and Moodle; and (4) Predictive student performance analytics identifying institutional learning gaps.</w:t>
      </w:r>
    </w:p>
    <w:tbl>
      <w:tblPr>
        <w:tblW w:type="auto" w:w="0"/>
        <w:jc w:val="center"/>
        <w:tblLook w:firstColumn="1" w:firstRow="1" w:lastColumn="0" w:lastRow="0" w:noHBand="0" w:noVBand="1" w:val="04A0"/>
      </w:tblPr>
      <w:tblGrid>
        <w:gridCol w:w="3600"/>
        <w:gridCol w:w="3600"/>
        <w:gridCol w:w="3600"/>
      </w:tblGrid>
      <w:tr>
        <w:tc>
          <w:tcPr>
            <w:tcW w:type="dxa" w:w="3600"/>
            <w:shd w:fill="f1f5f9"/>
            <w:tcMar>
              <w:top w:w="40" w:type="dxa"/>
              <w:bottom w:w="40" w:type="dxa"/>
              <w:left w:w="70" w:type="dxa"/>
              <w:right w:w="70" w:type="dxa"/>
            </w:tcMar>
          </w:tcPr>
          <w:p>
            <w:pPr>
              <w:spacing w:before="0" w:after="0" w:line="252" w:lineRule="auto"/>
            </w:pPr>
            <w:r>
              <w:rPr>
                <w:rFonts w:ascii="Segoe UI" w:hAnsi="Segoe UI"/>
                <w:b/>
                <w:color w:val="64748B"/>
                <w:sz w:val="14"/>
              </w:rPr>
              <w:t>DOCUMENT STATUS</w:t>
              <w:br/>
            </w:r>
            <w:r>
              <w:rPr>
                <w:rFonts w:ascii="Segoe UI" w:hAnsi="Segoe UI"/>
                <w:b/>
                <w:color w:val="0F172A"/>
                <w:sz w:val="15"/>
              </w:rPr>
              <w:t>Approved for Production Deployment</w:t>
            </w:r>
          </w:p>
        </w:tc>
        <w:tc>
          <w:tcPr>
            <w:tcW w:type="dxa" w:w="3600"/>
            <w:shd w:fill="f1f5f9"/>
            <w:tcMar>
              <w:top w:w="40" w:type="dxa"/>
              <w:bottom w:w="40" w:type="dxa"/>
              <w:left w:w="70" w:type="dxa"/>
              <w:right w:w="70" w:type="dxa"/>
            </w:tcMar>
          </w:tcPr>
          <w:p>
            <w:pPr>
              <w:spacing w:before="0" w:after="0" w:line="252" w:lineRule="auto"/>
            </w:pPr>
            <w:r>
              <w:rPr>
                <w:rFonts w:ascii="Segoe UI" w:hAnsi="Segoe UI"/>
                <w:b/>
                <w:color w:val="64748B"/>
                <w:sz w:val="14"/>
              </w:rPr>
              <w:t>LEAD ARCHITECT</w:t>
              <w:br/>
            </w:r>
            <w:r>
              <w:rPr>
                <w:rFonts w:ascii="Segoe UI" w:hAnsi="Segoe UI"/>
                <w:b/>
                <w:color w:val="0F172A"/>
                <w:sz w:val="15"/>
              </w:rPr>
              <w:t>ExamForge Core Engineering Team</w:t>
            </w:r>
          </w:p>
        </w:tc>
        <w:tc>
          <w:tcPr>
            <w:tcW w:type="dxa" w:w="3600"/>
            <w:shd w:fill="f1f5f9"/>
            <w:tcMar>
              <w:top w:w="40" w:type="dxa"/>
              <w:bottom w:w="40" w:type="dxa"/>
              <w:left w:w="70" w:type="dxa"/>
              <w:right w:w="70" w:type="dxa"/>
            </w:tcMar>
          </w:tcPr>
          <w:p>
            <w:pPr>
              <w:spacing w:before="0" w:after="0" w:line="252" w:lineRule="auto"/>
            </w:pPr>
            <w:r>
              <w:rPr>
                <w:rFonts w:ascii="Segoe UI" w:hAnsi="Segoe UI"/>
                <w:b/>
                <w:color w:val="64748B"/>
                <w:sz w:val="14"/>
              </w:rPr>
              <w:t>COMPLIANCE AUDIT</w:t>
              <w:br/>
            </w:r>
            <w:r>
              <w:rPr>
                <w:rFonts w:ascii="Segoe UI" w:hAnsi="Segoe UI"/>
                <w:b/>
                <w:color w:val="0F172A"/>
                <w:sz w:val="15"/>
              </w:rPr>
              <w:t>ISO / Academic Board Examination Standards</w:t>
            </w:r>
          </w:p>
        </w:tc>
      </w:tr>
    </w:tbl>
    <w:sectPr w:rsidR="00FC693F" w:rsidRPr="0006063C" w:rsidSect="00034616">
      <w:headerReference w:type="default" r:id="rId9"/>
      <w:footerReference w:type="default" r:id="rId10"/>
      <w:pgSz w:w="12240" w:h="15840"/>
      <w:pgMar w:top="691" w:right="720" w:bottom="691"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Segoe UI" w:hAnsi="Segoe UI"/>
        <w:color w:val="94A3B8"/>
        <w:sz w:val="15"/>
      </w:rPr>
      <w:t>ExamForge Academic Assessment System  •  Next.js 16 &amp; Supabase  •  Official 3-Page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Segoe UI" w:hAnsi="Segoe UI"/>
        <w:color w:val="94A3B8"/>
        <w:sz w:val="15"/>
      </w:rPr>
      <w:t>ExamForge — Comprehensive Project Technical Specification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