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6DBF5" w14:textId="77777777" w:rsidR="005E0736" w:rsidRPr="00B15766" w:rsidRDefault="00000000">
      <w:pPr>
        <w:pStyle w:val="Title"/>
        <w:spacing w:after="120"/>
        <w:rPr>
          <w:sz w:val="72"/>
          <w:szCs w:val="72"/>
        </w:rPr>
      </w:pPr>
      <w:r w:rsidRPr="00B15766">
        <w:rPr>
          <w:sz w:val="72"/>
          <w:szCs w:val="72"/>
        </w:rPr>
        <w:t>Future Directions &amp; Next Steps</w:t>
      </w:r>
    </w:p>
    <w:p w14:paraId="07A12398" w14:textId="77777777" w:rsidR="005E0736" w:rsidRPr="00B15766" w:rsidRDefault="00000000">
      <w:pPr>
        <w:spacing w:after="240"/>
        <w:rPr>
          <w:sz w:val="22"/>
          <w:szCs w:val="22"/>
        </w:rPr>
      </w:pPr>
      <w:r w:rsidRPr="00B15766">
        <w:rPr>
          <w:i/>
          <w:iCs/>
          <w:color w:val="555555"/>
          <w:sz w:val="22"/>
          <w:szCs w:val="22"/>
        </w:rPr>
        <w:t>Cichlid Transposable Element (TE) Radiation Project</w:t>
      </w:r>
    </w:p>
    <w:p w14:paraId="4BDF2CAD" w14:textId="3BA831CC" w:rsidR="005E0736" w:rsidRPr="00B15766" w:rsidRDefault="00000000">
      <w:pPr>
        <w:spacing w:after="160"/>
        <w:rPr>
          <w:sz w:val="22"/>
          <w:szCs w:val="22"/>
        </w:rPr>
      </w:pPr>
      <w:r w:rsidRPr="00B15766">
        <w:rPr>
          <w:sz w:val="22"/>
          <w:szCs w:val="22"/>
        </w:rPr>
        <w:t xml:space="preserve">This document collects the </w:t>
      </w:r>
      <w:r w:rsidR="005E30C9" w:rsidRPr="00B15766">
        <w:rPr>
          <w:sz w:val="22"/>
          <w:szCs w:val="22"/>
        </w:rPr>
        <w:t>potential</w:t>
      </w:r>
      <w:r w:rsidRPr="00B15766">
        <w:rPr>
          <w:sz w:val="22"/>
          <w:szCs w:val="22"/>
        </w:rPr>
        <w:t xml:space="preserve"> next steps and open ideas for the cichlid TE project, drawn from the project meetings. It is meant to orient the work </w:t>
      </w:r>
      <w:r w:rsidR="005E30C9" w:rsidRPr="00B15766">
        <w:rPr>
          <w:sz w:val="22"/>
          <w:szCs w:val="22"/>
        </w:rPr>
        <w:t>moving forward</w:t>
      </w:r>
      <w:r w:rsidRPr="00B15766">
        <w:rPr>
          <w:sz w:val="22"/>
          <w:szCs w:val="22"/>
        </w:rPr>
        <w:t>. Items are roughly ordered from most immediate and agreed to longer-term.</w:t>
      </w:r>
    </w:p>
    <w:p w14:paraId="4BC1B400" w14:textId="3E8B2099" w:rsidR="005E0736" w:rsidRPr="00B15766" w:rsidRDefault="00000000">
      <w:pPr>
        <w:pStyle w:val="Heading1"/>
        <w:spacing w:before="200" w:after="120"/>
        <w:rPr>
          <w:b/>
          <w:bCs/>
          <w:sz w:val="36"/>
          <w:szCs w:val="36"/>
        </w:rPr>
      </w:pPr>
      <w:r w:rsidRPr="00B15766">
        <w:rPr>
          <w:b/>
          <w:bCs/>
          <w:sz w:val="36"/>
          <w:szCs w:val="36"/>
        </w:rPr>
        <w:t xml:space="preserve">1. Port the pipeline to the South American cichlids </w:t>
      </w:r>
    </w:p>
    <w:p w14:paraId="125F54B3" w14:textId="6BB99EA8" w:rsidR="005E30C9" w:rsidRPr="00B15766" w:rsidRDefault="005E30C9">
      <w:pPr>
        <w:spacing w:after="160"/>
        <w:rPr>
          <w:sz w:val="22"/>
          <w:szCs w:val="22"/>
        </w:rPr>
      </w:pPr>
      <w:r w:rsidRPr="00B15766">
        <w:rPr>
          <w:sz w:val="22"/>
          <w:szCs w:val="22"/>
        </w:rPr>
        <w:t>Currently, we have the pipeline functional for the 4 African Cichlid species.</w:t>
      </w:r>
      <w:r w:rsidR="00000000" w:rsidRPr="00B15766">
        <w:rPr>
          <w:sz w:val="22"/>
          <w:szCs w:val="22"/>
        </w:rPr>
        <w:t xml:space="preserve"> The agreed next move is to run the same analysis on the South American cichlids. Th</w:t>
      </w:r>
      <w:r w:rsidRPr="00B15766">
        <w:rPr>
          <w:sz w:val="22"/>
          <w:szCs w:val="22"/>
        </w:rPr>
        <w:t>e pipeline logic should more or less transfer to work with the South American Cichlid data.</w:t>
      </w:r>
    </w:p>
    <w:p w14:paraId="2119467E" w14:textId="6674C530" w:rsidR="005E0736" w:rsidRPr="00B15766" w:rsidRDefault="00000000">
      <w:pPr>
        <w:spacing w:after="160"/>
        <w:rPr>
          <w:sz w:val="22"/>
          <w:szCs w:val="22"/>
        </w:rPr>
      </w:pPr>
      <w:r w:rsidRPr="00B15766">
        <w:rPr>
          <w:sz w:val="22"/>
          <w:szCs w:val="22"/>
        </w:rPr>
        <w:t xml:space="preserve">The challenge is that the South American genomes are more fragmented and not as cleanly annotated, so orthologs may be split across contigs. </w:t>
      </w:r>
      <w:r w:rsidR="005E30C9" w:rsidRPr="00B15766">
        <w:rPr>
          <w:sz w:val="22"/>
          <w:szCs w:val="22"/>
        </w:rPr>
        <w:t>Therefore, here are potential approaches:</w:t>
      </w:r>
    </w:p>
    <w:p w14:paraId="61B2214B" w14:textId="26871290" w:rsidR="005E0736" w:rsidRPr="00B15766" w:rsidRDefault="00000000">
      <w:pPr>
        <w:pStyle w:val="ListParagraph"/>
        <w:numPr>
          <w:ilvl w:val="0"/>
          <w:numId w:val="2"/>
        </w:numPr>
        <w:spacing w:after="120"/>
        <w:rPr>
          <w:sz w:val="22"/>
          <w:szCs w:val="22"/>
        </w:rPr>
      </w:pPr>
      <w:r w:rsidRPr="00B15766">
        <w:rPr>
          <w:b/>
          <w:bCs/>
          <w:sz w:val="22"/>
          <w:szCs w:val="22"/>
        </w:rPr>
        <w:t xml:space="preserve">Start small, not with ~8,000 </w:t>
      </w:r>
      <w:r w:rsidR="005E30C9" w:rsidRPr="00B15766">
        <w:rPr>
          <w:b/>
          <w:bCs/>
          <w:sz w:val="22"/>
          <w:szCs w:val="22"/>
        </w:rPr>
        <w:t>orthogroups (as done for the African Cichlids)</w:t>
      </w:r>
      <w:r w:rsidRPr="00B15766">
        <w:rPr>
          <w:b/>
          <w:bCs/>
          <w:sz w:val="22"/>
          <w:szCs w:val="22"/>
        </w:rPr>
        <w:t xml:space="preserve">. </w:t>
      </w:r>
      <w:r w:rsidR="005E30C9" w:rsidRPr="00B15766">
        <w:rPr>
          <w:sz w:val="22"/>
          <w:szCs w:val="22"/>
        </w:rPr>
        <w:t>Potentially,</w:t>
      </w:r>
      <w:r w:rsidR="005E30C9" w:rsidRPr="00B15766">
        <w:rPr>
          <w:b/>
          <w:bCs/>
          <w:sz w:val="22"/>
          <w:szCs w:val="22"/>
        </w:rPr>
        <w:t xml:space="preserve"> </w:t>
      </w:r>
      <w:r w:rsidRPr="00B15766">
        <w:rPr>
          <w:sz w:val="22"/>
          <w:szCs w:val="22"/>
        </w:rPr>
        <w:t xml:space="preserve">Begin with roughly 100 of the best </w:t>
      </w:r>
      <w:r w:rsidR="005E30C9" w:rsidRPr="00B15766">
        <w:rPr>
          <w:sz w:val="22"/>
          <w:szCs w:val="22"/>
        </w:rPr>
        <w:t xml:space="preserve">candidate single-copy orthogroups. This will make things </w:t>
      </w:r>
      <w:r w:rsidRPr="00B15766">
        <w:rPr>
          <w:sz w:val="22"/>
          <w:szCs w:val="22"/>
        </w:rPr>
        <w:t xml:space="preserve">easier to </w:t>
      </w:r>
      <w:proofErr w:type="gramStart"/>
      <w:r w:rsidRPr="00B15766">
        <w:rPr>
          <w:sz w:val="22"/>
          <w:szCs w:val="22"/>
        </w:rPr>
        <w:t xml:space="preserve">parse, </w:t>
      </w:r>
      <w:r w:rsidR="005E30C9" w:rsidRPr="00B15766">
        <w:rPr>
          <w:sz w:val="22"/>
          <w:szCs w:val="22"/>
        </w:rPr>
        <w:t>and</w:t>
      </w:r>
      <w:proofErr w:type="gramEnd"/>
      <w:r w:rsidR="005E30C9" w:rsidRPr="00B15766">
        <w:rPr>
          <w:sz w:val="22"/>
          <w:szCs w:val="22"/>
        </w:rPr>
        <w:t xml:space="preserve"> can always be scaled up when needed.</w:t>
      </w:r>
    </w:p>
    <w:p w14:paraId="09B42C11" w14:textId="05683F95" w:rsidR="005E0736" w:rsidRPr="00B15766" w:rsidRDefault="00853238">
      <w:pPr>
        <w:pStyle w:val="ListParagraph"/>
        <w:numPr>
          <w:ilvl w:val="0"/>
          <w:numId w:val="2"/>
        </w:numPr>
        <w:spacing w:after="120"/>
        <w:rPr>
          <w:sz w:val="22"/>
          <w:szCs w:val="22"/>
        </w:rPr>
      </w:pPr>
      <w:r w:rsidRPr="00B15766">
        <w:rPr>
          <w:b/>
          <w:bCs/>
          <w:sz w:val="22"/>
          <w:szCs w:val="22"/>
        </w:rPr>
        <w:t xml:space="preserve">These 100 or so candidates can be chosen </w:t>
      </w:r>
      <w:r w:rsidR="00000000" w:rsidRPr="00B15766">
        <w:rPr>
          <w:b/>
          <w:bCs/>
          <w:sz w:val="22"/>
          <w:szCs w:val="22"/>
        </w:rPr>
        <w:t xml:space="preserve">by how confidently the full </w:t>
      </w:r>
      <w:r w:rsidRPr="00B15766">
        <w:rPr>
          <w:b/>
          <w:bCs/>
          <w:sz w:val="22"/>
          <w:szCs w:val="22"/>
        </w:rPr>
        <w:t>candidate gene</w:t>
      </w:r>
      <w:r w:rsidR="00000000" w:rsidRPr="00B15766">
        <w:rPr>
          <w:b/>
          <w:bCs/>
          <w:sz w:val="22"/>
          <w:szCs w:val="22"/>
        </w:rPr>
        <w:t xml:space="preserve"> can be recovered. </w:t>
      </w:r>
      <w:r w:rsidR="00000000" w:rsidRPr="00B15766">
        <w:rPr>
          <w:sz w:val="22"/>
          <w:szCs w:val="22"/>
        </w:rPr>
        <w:t xml:space="preserve">Take each African ortholog protein and </w:t>
      </w:r>
      <w:proofErr w:type="spellStart"/>
      <w:r w:rsidR="00000000" w:rsidRPr="00B15766">
        <w:rPr>
          <w:sz w:val="22"/>
          <w:szCs w:val="22"/>
        </w:rPr>
        <w:t>tblastn</w:t>
      </w:r>
      <w:proofErr w:type="spellEnd"/>
      <w:r w:rsidR="00000000" w:rsidRPr="00B15766">
        <w:rPr>
          <w:sz w:val="22"/>
          <w:szCs w:val="22"/>
        </w:rPr>
        <w:t xml:space="preserve"> it against the South American genome (“pseudo-annotation”). Prefer orthologs where the full length of the sequence is recovered in one place. If the gene comes back as fragments on different contigs, it </w:t>
      </w:r>
      <w:r w:rsidRPr="00B15766">
        <w:rPr>
          <w:sz w:val="22"/>
          <w:szCs w:val="22"/>
        </w:rPr>
        <w:t>may be</w:t>
      </w:r>
      <w:r w:rsidR="00000000" w:rsidRPr="00B15766">
        <w:rPr>
          <w:sz w:val="22"/>
          <w:szCs w:val="22"/>
        </w:rPr>
        <w:t xml:space="preserve"> a bad candidate</w:t>
      </w:r>
      <w:r w:rsidRPr="00B15766">
        <w:rPr>
          <w:sz w:val="22"/>
          <w:szCs w:val="22"/>
        </w:rPr>
        <w:t>.</w:t>
      </w:r>
    </w:p>
    <w:p w14:paraId="600B3847" w14:textId="77777777" w:rsidR="005E0736" w:rsidRPr="00B15766" w:rsidRDefault="00000000">
      <w:pPr>
        <w:pStyle w:val="ListParagraph"/>
        <w:numPr>
          <w:ilvl w:val="0"/>
          <w:numId w:val="2"/>
        </w:numPr>
        <w:spacing w:after="120"/>
        <w:rPr>
          <w:sz w:val="22"/>
          <w:szCs w:val="22"/>
        </w:rPr>
      </w:pPr>
      <w:r w:rsidRPr="00B15766">
        <w:rPr>
          <w:b/>
          <w:bCs/>
          <w:sz w:val="22"/>
          <w:szCs w:val="22"/>
        </w:rPr>
        <w:t xml:space="preserve">Then run OrthoFinder </w:t>
      </w:r>
      <w:r w:rsidRPr="00B15766">
        <w:rPr>
          <w:sz w:val="22"/>
          <w:szCs w:val="22"/>
        </w:rPr>
        <w:t>on the confident set to polish the orthology assignment.</w:t>
      </w:r>
    </w:p>
    <w:p w14:paraId="673AC4BC" w14:textId="77777777" w:rsidR="005E0736" w:rsidRPr="00B15766" w:rsidRDefault="00000000">
      <w:pPr>
        <w:pStyle w:val="Heading1"/>
        <w:spacing w:before="200" w:after="120"/>
        <w:rPr>
          <w:b/>
          <w:bCs/>
          <w:sz w:val="36"/>
          <w:szCs w:val="36"/>
        </w:rPr>
      </w:pPr>
      <w:r w:rsidRPr="00B15766">
        <w:rPr>
          <w:b/>
          <w:bCs/>
          <w:sz w:val="36"/>
          <w:szCs w:val="36"/>
        </w:rPr>
        <w:t>2. Improve the top-10 ortholog neighborhood figures</w:t>
      </w:r>
    </w:p>
    <w:p w14:paraId="549A5782" w14:textId="77777777" w:rsidR="005E0736" w:rsidRPr="00B15766" w:rsidRDefault="00000000">
      <w:pPr>
        <w:spacing w:after="160"/>
        <w:rPr>
          <w:sz w:val="22"/>
          <w:szCs w:val="22"/>
        </w:rPr>
      </w:pPr>
      <w:r w:rsidRPr="00B15766">
        <w:rPr>
          <w:sz w:val="22"/>
          <w:szCs w:val="22"/>
        </w:rPr>
        <w:t>These are the per-ortholog neighborhood plots from top10_ortholog_neighborhoods.R. The following refinements were discussed:</w:t>
      </w:r>
    </w:p>
    <w:p w14:paraId="401BEFB1" w14:textId="2E85B464" w:rsidR="005E0736" w:rsidRPr="00B15766" w:rsidRDefault="00000000">
      <w:pPr>
        <w:pStyle w:val="ListParagraph"/>
        <w:numPr>
          <w:ilvl w:val="0"/>
          <w:numId w:val="2"/>
        </w:numPr>
        <w:spacing w:after="120"/>
        <w:rPr>
          <w:sz w:val="22"/>
          <w:szCs w:val="22"/>
        </w:rPr>
      </w:pPr>
      <w:r w:rsidRPr="00B15766">
        <w:rPr>
          <w:b/>
          <w:bCs/>
          <w:sz w:val="22"/>
          <w:szCs w:val="22"/>
        </w:rPr>
        <w:t xml:space="preserve">Reorder the species by speciation age (youngest to oldest), top to bottom: </w:t>
      </w:r>
      <w:proofErr w:type="spellStart"/>
      <w:r w:rsidRPr="00B15766">
        <w:rPr>
          <w:sz w:val="22"/>
          <w:szCs w:val="22"/>
        </w:rPr>
        <w:t>Metriaclima</w:t>
      </w:r>
      <w:proofErr w:type="spellEnd"/>
      <w:r w:rsidRPr="00B15766">
        <w:rPr>
          <w:sz w:val="22"/>
          <w:szCs w:val="22"/>
        </w:rPr>
        <w:t xml:space="preserve"> → </w:t>
      </w:r>
      <w:proofErr w:type="spellStart"/>
      <w:r w:rsidRPr="00B15766">
        <w:rPr>
          <w:sz w:val="22"/>
          <w:szCs w:val="22"/>
        </w:rPr>
        <w:t>Pundamilia</w:t>
      </w:r>
      <w:proofErr w:type="spellEnd"/>
      <w:r w:rsidRPr="00B15766">
        <w:rPr>
          <w:sz w:val="22"/>
          <w:szCs w:val="22"/>
        </w:rPr>
        <w:t xml:space="preserve"> → </w:t>
      </w:r>
      <w:proofErr w:type="spellStart"/>
      <w:r w:rsidRPr="00B15766">
        <w:rPr>
          <w:sz w:val="22"/>
          <w:szCs w:val="22"/>
        </w:rPr>
        <w:t>Neolamprologus</w:t>
      </w:r>
      <w:proofErr w:type="spellEnd"/>
      <w:r w:rsidRPr="00B15766">
        <w:rPr>
          <w:sz w:val="22"/>
          <w:szCs w:val="22"/>
        </w:rPr>
        <w:t xml:space="preserve"> → Oreochromis. </w:t>
      </w:r>
    </w:p>
    <w:p w14:paraId="0AC72E7F" w14:textId="0687A748" w:rsidR="005E0736" w:rsidRDefault="00000000">
      <w:pPr>
        <w:pStyle w:val="ListParagraph"/>
        <w:numPr>
          <w:ilvl w:val="0"/>
          <w:numId w:val="2"/>
        </w:numPr>
        <w:spacing w:after="120"/>
        <w:rPr>
          <w:sz w:val="22"/>
          <w:szCs w:val="22"/>
        </w:rPr>
      </w:pPr>
      <w:r w:rsidRPr="00B15766">
        <w:rPr>
          <w:b/>
          <w:bCs/>
          <w:sz w:val="22"/>
          <w:szCs w:val="22"/>
        </w:rPr>
        <w:t xml:space="preserve">Distinguish introns from exons on the gene bar. </w:t>
      </w:r>
      <w:r w:rsidRPr="00B15766">
        <w:rPr>
          <w:sz w:val="22"/>
          <w:szCs w:val="22"/>
        </w:rPr>
        <w:t xml:space="preserve">Right now the gene is a single solid box. Recolour it so intron vs exon regions are visually distinct — the convention </w:t>
      </w:r>
      <w:r w:rsidR="00B15766">
        <w:rPr>
          <w:sz w:val="22"/>
          <w:szCs w:val="22"/>
        </w:rPr>
        <w:t>commonly</w:t>
      </w:r>
      <w:r w:rsidRPr="00B15766">
        <w:rPr>
          <w:sz w:val="22"/>
          <w:szCs w:val="22"/>
        </w:rPr>
        <w:t xml:space="preserve"> use</w:t>
      </w:r>
      <w:r w:rsidR="00B15766">
        <w:rPr>
          <w:sz w:val="22"/>
          <w:szCs w:val="22"/>
        </w:rPr>
        <w:t>d</w:t>
      </w:r>
      <w:r w:rsidRPr="00B15766">
        <w:rPr>
          <w:sz w:val="22"/>
          <w:szCs w:val="22"/>
        </w:rPr>
        <w:t xml:space="preserve"> is box = exon, line = intron (the gene body is drawn as boxes for exons connected by a thin line segment for introns). This requires reading exon/CDS features from the GFF3. It would let us see which TEs sit inside introns vs exons</w:t>
      </w:r>
      <w:r w:rsidR="00B15766">
        <w:rPr>
          <w:sz w:val="22"/>
          <w:szCs w:val="22"/>
        </w:rPr>
        <w:t>.</w:t>
      </w:r>
    </w:p>
    <w:p w14:paraId="07D74C23" w14:textId="470F8A50" w:rsidR="00B15766" w:rsidRPr="00B15766" w:rsidRDefault="00B15766" w:rsidP="00B15766">
      <w:pPr>
        <w:pStyle w:val="ListParagraph"/>
        <w:numPr>
          <w:ilvl w:val="0"/>
          <w:numId w:val="2"/>
        </w:numPr>
        <w:spacing w:after="160"/>
        <w:rPr>
          <w:sz w:val="22"/>
          <w:szCs w:val="22"/>
        </w:rPr>
      </w:pPr>
      <w:r w:rsidRPr="00B15766">
        <w:rPr>
          <w:sz w:val="22"/>
          <w:szCs w:val="22"/>
        </w:rPr>
        <w:t>A way to quantify how different the four species’ TE neighborhoods actually are for a given ortholog, beyond eyeballing the plots</w:t>
      </w:r>
      <w:r>
        <w:rPr>
          <w:sz w:val="22"/>
          <w:szCs w:val="22"/>
        </w:rPr>
        <w:t>, is to build a TE-profile similarity matrix within each orthogroup.</w:t>
      </w:r>
    </w:p>
    <w:p w14:paraId="528DE38D" w14:textId="77777777" w:rsidR="0046598C" w:rsidRDefault="00B15766" w:rsidP="0046598C">
      <w:pPr>
        <w:pStyle w:val="ListParagraph"/>
        <w:numPr>
          <w:ilvl w:val="1"/>
          <w:numId w:val="2"/>
        </w:numPr>
        <w:spacing w:after="120"/>
        <w:rPr>
          <w:sz w:val="22"/>
          <w:szCs w:val="22"/>
        </w:rPr>
      </w:pPr>
      <w:r w:rsidRPr="00B15766">
        <w:rPr>
          <w:b/>
          <w:bCs/>
          <w:sz w:val="22"/>
          <w:szCs w:val="22"/>
        </w:rPr>
        <w:t>Compare by the ORDER in which TE classes appear along the sequence</w:t>
      </w:r>
      <w:r>
        <w:rPr>
          <w:b/>
          <w:bCs/>
          <w:sz w:val="22"/>
          <w:szCs w:val="22"/>
        </w:rPr>
        <w:t>.</w:t>
      </w:r>
      <w:r w:rsidRPr="00B15766">
        <w:rPr>
          <w:b/>
          <w:bCs/>
          <w:sz w:val="22"/>
          <w:szCs w:val="22"/>
        </w:rPr>
        <w:t xml:space="preserve"> </w:t>
      </w:r>
      <w:r w:rsidRPr="00B15766">
        <w:rPr>
          <w:sz w:val="22"/>
          <w:szCs w:val="22"/>
        </w:rPr>
        <w:t xml:space="preserve">Coordinates shift because introns inflate spacing, so exact positions are not </w:t>
      </w:r>
      <w:proofErr w:type="gramStart"/>
      <w:r w:rsidRPr="00B15766">
        <w:rPr>
          <w:sz w:val="22"/>
          <w:szCs w:val="22"/>
        </w:rPr>
        <w:t>comparable</w:t>
      </w:r>
      <w:proofErr w:type="gramEnd"/>
      <w:r w:rsidR="0046598C">
        <w:rPr>
          <w:sz w:val="22"/>
          <w:szCs w:val="22"/>
        </w:rPr>
        <w:t xml:space="preserve"> b</w:t>
      </w:r>
      <w:r w:rsidRPr="00B15766">
        <w:rPr>
          <w:sz w:val="22"/>
          <w:szCs w:val="22"/>
        </w:rPr>
        <w:t>ut the sequence/order of TE classes is. Two species would be scored 100% similar for an ortholog if they share the same ordered series of TE classes (e.g. LINE → SINE → Helitron → Crypton → …).</w:t>
      </w:r>
    </w:p>
    <w:p w14:paraId="5560998D" w14:textId="4DBFCFA6" w:rsidR="00B15766" w:rsidRPr="0046598C" w:rsidRDefault="00B15766" w:rsidP="0046598C">
      <w:pPr>
        <w:pStyle w:val="ListParagraph"/>
        <w:numPr>
          <w:ilvl w:val="1"/>
          <w:numId w:val="2"/>
        </w:numPr>
        <w:spacing w:after="120"/>
        <w:rPr>
          <w:sz w:val="22"/>
          <w:szCs w:val="22"/>
        </w:rPr>
      </w:pPr>
      <w:r w:rsidRPr="0046598C">
        <w:rPr>
          <w:b/>
          <w:bCs/>
          <w:sz w:val="22"/>
          <w:szCs w:val="22"/>
        </w:rPr>
        <w:t xml:space="preserve">Catalog which TE classes are conserved vs churning. </w:t>
      </w:r>
      <w:r w:rsidRPr="0046598C">
        <w:rPr>
          <w:sz w:val="22"/>
          <w:szCs w:val="22"/>
        </w:rPr>
        <w:t>For each orthogroup, record which TE classes (DNA transposons, SINEs, LTRs, etc.) are consistently present across all four species versus which appear/disappear seemingly at random.</w:t>
      </w:r>
    </w:p>
    <w:p w14:paraId="057F8679" w14:textId="7A12CA6D" w:rsidR="005E0736" w:rsidRPr="0046598C" w:rsidRDefault="0046598C">
      <w:pPr>
        <w:pStyle w:val="Heading1"/>
        <w:spacing w:before="200" w:after="120"/>
        <w:rPr>
          <w:b/>
          <w:bCs/>
          <w:sz w:val="36"/>
          <w:szCs w:val="36"/>
        </w:rPr>
      </w:pPr>
      <w:r w:rsidRPr="0046598C">
        <w:rPr>
          <w:b/>
          <w:bCs/>
          <w:sz w:val="36"/>
          <w:szCs w:val="36"/>
        </w:rPr>
        <w:lastRenderedPageBreak/>
        <w:t>3</w:t>
      </w:r>
      <w:r w:rsidR="00000000" w:rsidRPr="0046598C">
        <w:rPr>
          <w:b/>
          <w:bCs/>
          <w:sz w:val="36"/>
          <w:szCs w:val="36"/>
        </w:rPr>
        <w:t>. Broaden the comparative scope</w:t>
      </w:r>
    </w:p>
    <w:p w14:paraId="085691AC" w14:textId="77777777" w:rsidR="005E0736" w:rsidRPr="00B15766" w:rsidRDefault="00000000">
      <w:pPr>
        <w:pStyle w:val="ListParagraph"/>
        <w:numPr>
          <w:ilvl w:val="0"/>
          <w:numId w:val="2"/>
        </w:numPr>
        <w:spacing w:after="120"/>
        <w:rPr>
          <w:sz w:val="22"/>
          <w:szCs w:val="22"/>
        </w:rPr>
      </w:pPr>
      <w:r w:rsidRPr="00B15766">
        <w:rPr>
          <w:b/>
          <w:bCs/>
          <w:sz w:val="22"/>
          <w:szCs w:val="22"/>
        </w:rPr>
        <w:t xml:space="preserve">Three axes of comparison: </w:t>
      </w:r>
      <w:r w:rsidRPr="00B15766">
        <w:rPr>
          <w:sz w:val="22"/>
          <w:szCs w:val="22"/>
        </w:rPr>
        <w:t>differences within the African cichlids, differences within the South American cichlids, and differences across the two families. Are there TEs/patterns shared across the entire group, and are there ones that are strikingly different between the two cichlid families?</w:t>
      </w:r>
    </w:p>
    <w:p w14:paraId="7C1F326C" w14:textId="77777777" w:rsidR="005E0736" w:rsidRPr="00B15766" w:rsidRDefault="00000000">
      <w:pPr>
        <w:pStyle w:val="ListParagraph"/>
        <w:numPr>
          <w:ilvl w:val="0"/>
          <w:numId w:val="2"/>
        </w:numPr>
        <w:spacing w:after="120"/>
        <w:rPr>
          <w:sz w:val="22"/>
          <w:szCs w:val="22"/>
        </w:rPr>
      </w:pPr>
      <w:r w:rsidRPr="00B15766">
        <w:rPr>
          <w:b/>
          <w:bCs/>
          <w:sz w:val="22"/>
          <w:szCs w:val="22"/>
        </w:rPr>
        <w:t xml:space="preserve">Move beyond single-copy orthologs. </w:t>
      </w:r>
      <w:r w:rsidRPr="00B15766">
        <w:rPr>
          <w:sz w:val="22"/>
          <w:szCs w:val="22"/>
        </w:rPr>
        <w:t>The current pipeline is restricted to single-copy orthologs (clean 1:1 comparisons). Down the line, the non-single-copy orthologs (gene families with duplications) could be analyzed too — more complex, but potentially where a lot of TE-driven expansion lives.</w:t>
      </w:r>
    </w:p>
    <w:p w14:paraId="4C9738E1" w14:textId="1A0AEBC7" w:rsidR="005E0736" w:rsidRPr="00B15766" w:rsidRDefault="005E0736">
      <w:pPr>
        <w:pBdr>
          <w:top w:val="single" w:sz="6" w:space="8" w:color="CCCCCC"/>
        </w:pBdr>
        <w:spacing w:before="320"/>
        <w:rPr>
          <w:sz w:val="22"/>
          <w:szCs w:val="22"/>
        </w:rPr>
      </w:pPr>
    </w:p>
    <w:sectPr w:rsidR="005E0736" w:rsidRPr="00B15766" w:rsidSect="0046598C">
      <w:pgSz w:w="12240" w:h="15840"/>
      <w:pgMar w:top="1440" w:right="1440" w:bottom="1276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82227"/>
    <w:multiLevelType w:val="hybridMultilevel"/>
    <w:tmpl w:val="E3F48334"/>
    <w:lvl w:ilvl="0" w:tplc="DFAA16B8">
      <w:start w:val="1"/>
      <w:numFmt w:val="bullet"/>
      <w:lvlText w:val="•"/>
      <w:lvlJc w:val="left"/>
      <w:pPr>
        <w:ind w:left="460" w:hanging="260"/>
      </w:pPr>
    </w:lvl>
    <w:lvl w:ilvl="1" w:tplc="1A36F4E4">
      <w:start w:val="1"/>
      <w:numFmt w:val="bullet"/>
      <w:lvlText w:val="◦"/>
      <w:lvlJc w:val="left"/>
      <w:pPr>
        <w:ind w:left="920" w:hanging="260"/>
      </w:pPr>
    </w:lvl>
    <w:lvl w:ilvl="2" w:tplc="657C9E06">
      <w:numFmt w:val="decimal"/>
      <w:lvlText w:val=""/>
      <w:lvlJc w:val="left"/>
    </w:lvl>
    <w:lvl w:ilvl="3" w:tplc="F742605E">
      <w:numFmt w:val="decimal"/>
      <w:lvlText w:val=""/>
      <w:lvlJc w:val="left"/>
    </w:lvl>
    <w:lvl w:ilvl="4" w:tplc="54A6BBB0">
      <w:numFmt w:val="decimal"/>
      <w:lvlText w:val=""/>
      <w:lvlJc w:val="left"/>
    </w:lvl>
    <w:lvl w:ilvl="5" w:tplc="BDFCFFFC">
      <w:numFmt w:val="decimal"/>
      <w:lvlText w:val=""/>
      <w:lvlJc w:val="left"/>
    </w:lvl>
    <w:lvl w:ilvl="6" w:tplc="0E705E96">
      <w:numFmt w:val="decimal"/>
      <w:lvlText w:val=""/>
      <w:lvlJc w:val="left"/>
    </w:lvl>
    <w:lvl w:ilvl="7" w:tplc="3CB8C030">
      <w:numFmt w:val="decimal"/>
      <w:lvlText w:val=""/>
      <w:lvlJc w:val="left"/>
    </w:lvl>
    <w:lvl w:ilvl="8" w:tplc="786A098E">
      <w:numFmt w:val="decimal"/>
      <w:lvlText w:val=""/>
      <w:lvlJc w:val="left"/>
    </w:lvl>
  </w:abstractNum>
  <w:abstractNum w:abstractNumId="1" w15:restartNumberingAfterBreak="0">
    <w:nsid w:val="732E7B1A"/>
    <w:multiLevelType w:val="hybridMultilevel"/>
    <w:tmpl w:val="F2508B76"/>
    <w:lvl w:ilvl="0" w:tplc="C6CADF7C">
      <w:start w:val="1"/>
      <w:numFmt w:val="bullet"/>
      <w:lvlText w:val="●"/>
      <w:lvlJc w:val="left"/>
      <w:pPr>
        <w:ind w:left="720" w:hanging="360"/>
      </w:pPr>
    </w:lvl>
    <w:lvl w:ilvl="1" w:tplc="220C694A">
      <w:start w:val="1"/>
      <w:numFmt w:val="bullet"/>
      <w:lvlText w:val="○"/>
      <w:lvlJc w:val="left"/>
      <w:pPr>
        <w:ind w:left="1440" w:hanging="360"/>
      </w:pPr>
    </w:lvl>
    <w:lvl w:ilvl="2" w:tplc="B404A9EE">
      <w:start w:val="1"/>
      <w:numFmt w:val="bullet"/>
      <w:lvlText w:val="■"/>
      <w:lvlJc w:val="left"/>
      <w:pPr>
        <w:ind w:left="2160" w:hanging="360"/>
      </w:pPr>
    </w:lvl>
    <w:lvl w:ilvl="3" w:tplc="8F66B8CA">
      <w:start w:val="1"/>
      <w:numFmt w:val="bullet"/>
      <w:lvlText w:val="●"/>
      <w:lvlJc w:val="left"/>
      <w:pPr>
        <w:ind w:left="2880" w:hanging="360"/>
      </w:pPr>
    </w:lvl>
    <w:lvl w:ilvl="4" w:tplc="C7DE2742">
      <w:start w:val="1"/>
      <w:numFmt w:val="bullet"/>
      <w:lvlText w:val="○"/>
      <w:lvlJc w:val="left"/>
      <w:pPr>
        <w:ind w:left="3600" w:hanging="360"/>
      </w:pPr>
    </w:lvl>
    <w:lvl w:ilvl="5" w:tplc="8984F6E4">
      <w:start w:val="1"/>
      <w:numFmt w:val="bullet"/>
      <w:lvlText w:val="■"/>
      <w:lvlJc w:val="left"/>
      <w:pPr>
        <w:ind w:left="4320" w:hanging="360"/>
      </w:pPr>
    </w:lvl>
    <w:lvl w:ilvl="6" w:tplc="13889034">
      <w:start w:val="1"/>
      <w:numFmt w:val="bullet"/>
      <w:lvlText w:val="●"/>
      <w:lvlJc w:val="left"/>
      <w:pPr>
        <w:ind w:left="5040" w:hanging="360"/>
      </w:pPr>
    </w:lvl>
    <w:lvl w:ilvl="7" w:tplc="C6E614F2">
      <w:start w:val="1"/>
      <w:numFmt w:val="bullet"/>
      <w:lvlText w:val="●"/>
      <w:lvlJc w:val="left"/>
      <w:pPr>
        <w:ind w:left="5760" w:hanging="360"/>
      </w:pPr>
    </w:lvl>
    <w:lvl w:ilvl="8" w:tplc="FA764AB4">
      <w:start w:val="1"/>
      <w:numFmt w:val="bullet"/>
      <w:lvlText w:val="●"/>
      <w:lvlJc w:val="left"/>
      <w:pPr>
        <w:ind w:left="6480" w:hanging="360"/>
      </w:pPr>
    </w:lvl>
  </w:abstractNum>
  <w:num w:numId="1" w16cid:durableId="1875653334">
    <w:abstractNumId w:val="1"/>
    <w:lvlOverride w:ilvl="0">
      <w:startOverride w:val="1"/>
    </w:lvlOverride>
  </w:num>
  <w:num w:numId="2" w16cid:durableId="2605722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0736"/>
    <w:rsid w:val="0046598C"/>
    <w:rsid w:val="005E0736"/>
    <w:rsid w:val="005E30C9"/>
    <w:rsid w:val="00853238"/>
    <w:rsid w:val="00B15766"/>
    <w:rsid w:val="00EB0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A1EC82"/>
  <w15:docId w15:val="{9B5813D8-8276-4C38-9036-20444E6E2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543</Words>
  <Characters>3098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Mirza Ahmadi</cp:lastModifiedBy>
  <cp:revision>3</cp:revision>
  <dcterms:created xsi:type="dcterms:W3CDTF">2026-08-14T21:13:00Z</dcterms:created>
  <dcterms:modified xsi:type="dcterms:W3CDTF">2026-08-16T00:24:00Z</dcterms:modified>
</cp:coreProperties>
</file>