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B Nazanin" w:hAnsi="B Nazanin" w:eastAsia="B Nazanin"/>
          <w:sz w:val="24"/>
        </w:rPr>
        <w:t>62443-3-3 © IEC:2013(E) - 23 -</w:t>
      </w:r>
    </w:p>
    <w:p>
      <w:pPr>
        <w:jc w:val="right"/>
        <w:bidi/>
      </w:pPr>
    </w:p>
    <w:p>
      <w:pPr>
        <w:jc w:val="right"/>
        <w:bidi/>
      </w:pPr>
      <w:r>
        <w:rPr>
          <w:rFonts w:ascii="B Nazanin" w:hAnsi="B Nazanin" w:eastAsia="B Nazanin"/>
          <w:sz w:val="24"/>
        </w:rPr>
        <w:t>این استاندارد برای تحقق طراحی شده است. این بند و بندهای خاص FR بعدی، مواد هنجاری لازم را برای ایجاد برنامه‌های افزودنی برای امنیت سازمانی موجود فراهم می‌کند تا از یکپارچگی و الزامات دسترسی دقیق مورد نیاز IACS پشتیبانی کند.</w:t>
      </w:r>
    </w:p>
    <w:p>
      <w:pPr>
        <w:jc w:val="right"/>
        <w:bidi/>
      </w:pPr>
    </w:p>
    <w:p>
      <w:pPr>
        <w:jc w:val="right"/>
        <w:bidi/>
      </w:pPr>
      <w:r>
        <w:rPr>
          <w:rFonts w:ascii="B Nazanin" w:hAnsi="B Nazanin" w:eastAsia="B Nazanin"/>
          <w:sz w:val="24"/>
        </w:rPr>
        <w:t>توجه: محتوای این بند در نهایت در IEC 62443-1-1 گنجانده می شود.</w:t>
      </w:r>
    </w:p>
    <w:p>
      <w:pPr>
        <w:jc w:val="right"/>
        <w:bidi/>
      </w:pPr>
    </w:p>
    <w:p>
      <w:pPr>
        <w:jc w:val="right"/>
        <w:bidi/>
      </w:pPr>
      <w:r>
        <w:rPr>
          <w:rFonts w:ascii="B Nazanin" w:hAnsi="B Nazanin" w:eastAsia="B Nazanin"/>
          <w:sz w:val="24"/>
        </w:rPr>
        <w:t>پشتیبانی از توابع ضروری</w:t>
      </w:r>
    </w:p>
    <w:p>
      <w:pPr>
        <w:jc w:val="right"/>
        <w:bidi/>
      </w:pPr>
      <w:r>
        <w:rPr>
          <w:rFonts w:ascii="B Nazanin" w:hAnsi="B Nazanin" w:eastAsia="B Nazanin"/>
          <w:sz w:val="24"/>
        </w:rPr>
        <w:t>همانطور که در 3.1.22 مستند شده است، یک عملکرد ضروری "عملکرد یا قابلیتی است که برای حفظ سلامت، ایمنی، محیط زیست و در دسترس بودن تجهیزات تحت کنترل لازم است."</w:t>
      </w:r>
    </w:p>
    <w:p>
      <w:pPr>
        <w:jc w:val="right"/>
        <w:bidi/>
      </w:pPr>
      <w:r>
        <w:rPr>
          <w:rFonts w:ascii="B Nazanin" w:hAnsi="B Nazanin" w:eastAsia="B Nazanin"/>
          <w:sz w:val="24"/>
        </w:rPr>
        <w:t>اقدامات امنیتی نباید بر عملکردهای اساسی یک IACS با قابلیت دسترسی بالا تأثیر منفی بگذارد مگر اینکه توسط ارزیابی ریسک پشتیبانی شود.</w:t>
      </w:r>
    </w:p>
    <w:p>
      <w:pPr>
        <w:jc w:val="right"/>
        <w:bidi/>
      </w:pPr>
      <w:r>
        <w:rPr>
          <w:rFonts w:ascii="B Nazanin" w:hAnsi="B Nazanin" w:eastAsia="B Nazanin"/>
          <w:sz w:val="24"/>
        </w:rPr>
        <w:t>توجه به IEC 62443-2-1 در مورد الزامات مستندات مرتبط با ارزیابی ریسک مورد نیاز برای پشتیبانی از مواردی که اقدامات امنیتی ممکن است بر عملکردهای اساسی تأثیر بگذارد، مراجعه کنید.</w:t>
      </w:r>
    </w:p>
    <w:p>
      <w:pPr>
        <w:jc w:val="right"/>
        <w:bidi/>
      </w:pPr>
    </w:p>
    <w:p>
      <w:pPr>
        <w:jc w:val="right"/>
        <w:bidi/>
      </w:pPr>
      <w:r>
        <w:rPr>
          <w:rFonts w:ascii="B Nazanin" w:hAnsi="B Nazanin" w:eastAsia="B Nazanin"/>
          <w:sz w:val="24"/>
        </w:rPr>
        <w:t>هنگام خواندن، تعیین و اجرای SRهای توصیف شده در این استاندارد، اجرای اقدامات امنیتی نباید باعث از بین رفتن حفاظت، از دست دادن کنترل، از دست دادن دید یا از دست دادن سایر عملکردهای ضروری شود. پس از تجزیه و تحلیل ریسک، برخی از تأسیسات ممکن است تعیین کنند که انواع خاصی از اقدامات امنیتی ممکن است عملیات مداوم را متوقف کنند، اما اقدامات امنیتی نباید منجر به از دست دادن حفاظت شود که می تواند منجر به پیامدهای بهداشتی، ایمنی و زیست محیطی (HSE) شود. برخی از محدودیت های خاص عبارتند از:</w:t>
      </w:r>
    </w:p>
    <w:p>
      <w:pPr>
        <w:jc w:val="right"/>
        <w:bidi/>
      </w:pPr>
      <w:r>
        <w:rPr>
          <w:rFonts w:ascii="B Nazanin" w:hAnsi="B Nazanin" w:eastAsia="B Nazanin"/>
          <w:sz w:val="24"/>
        </w:rPr>
        <w:t>کنترل‌های دسترسی (IAC و UC) نباید از عملکرد عملکردهای ضروری، به‌ویژه:</w:t>
      </w:r>
    </w:p>
    <w:p>
      <w:pPr>
        <w:jc w:val="right"/>
        <w:bidi/>
      </w:pPr>
      <w:r>
        <w:rPr>
          <w:rFonts w:ascii="B Nazanin" w:hAnsi="B Nazanin" w:eastAsia="B Nazanin"/>
          <w:sz w:val="24"/>
        </w:rPr>
        <w:t>حساب‌های مورد استفاده برای عملکردهای ضروری حتی به‌طور موقت نباید قفل شوند (به 5.5، SR 1.3 - مدیریت حساب، 5.6، SR 1.4 - مدیریت شناسه، 5.13، SR مراجعه کنید.</w:t>
      </w:r>
    </w:p>
    <w:p>
      <w:pPr>
        <w:jc w:val="right"/>
        <w:bidi/>
      </w:pPr>
      <w:r>
        <w:rPr>
          <w:rFonts w:ascii="B Nazanin" w:hAnsi="B Nazanin" w:eastAsia="B Nazanin"/>
          <w:sz w:val="24"/>
        </w:rPr>
        <w:t>1.11 - تلاش های ناموفق برای ورود به سیستم و 6.7، SR 2.5 - قفل جلسه).</w:t>
      </w:r>
    </w:p>
    <w:p>
      <w:pPr>
        <w:jc w:val="right"/>
        <w:bidi/>
      </w:pPr>
      <w:r>
        <w:rPr>
          <w:rFonts w:ascii="B Nazanin" w:hAnsi="B Nazanin" w:eastAsia="B Nazanin"/>
          <w:sz w:val="24"/>
        </w:rPr>
        <w:t>تأیید و ثبت اقدامات اپراتور برای اجرای عدم انکار نباید تأخیر قابل توجهی به زمان پاسخگویی سیستم اضافه کند (به 6.14، SR 2.12 - عدم انکار مراجعه کنید).</w:t>
      </w:r>
    </w:p>
    <w:p>
      <w:pPr>
        <w:jc w:val="right"/>
        <w:bidi/>
      </w:pPr>
      <w:r>
        <w:rPr>
          <w:rFonts w:ascii="B Nazanin" w:hAnsi="B Nazanin" w:eastAsia="B Nazanin"/>
          <w:sz w:val="24"/>
        </w:rPr>
        <w:t>برای سیستم‌های کنترل دسترسی بالا، خرابی مرجع گواهی نباید عملکردهای اساسی را قطع کند (به 5.10، SR 1.8 - گواهی‌های زیرساخت کلید عمومی (PKI) مراجعه کنید).</w:t>
      </w:r>
    </w:p>
    <w:p>
      <w:pPr>
        <w:jc w:val="right"/>
        <w:bidi/>
      </w:pPr>
      <w:r>
        <w:rPr>
          <w:rFonts w:ascii="B Nazanin" w:hAnsi="B Nazanin" w:eastAsia="B Nazanin"/>
          <w:sz w:val="24"/>
        </w:rPr>
        <w:t>شناسایی و احراز هویت نباید مانع از راه اندازی SIF شود (به 5.3، SR مراجعه کنید.</w:t>
      </w:r>
    </w:p>
    <w:p>
      <w:pPr>
        <w:jc w:val="right"/>
        <w:bidi/>
      </w:pPr>
      <w:r>
        <w:rPr>
          <w:rFonts w:ascii="B Nazanin" w:hAnsi="B Nazanin" w:eastAsia="B Nazanin"/>
          <w:sz w:val="24"/>
        </w:rPr>
        <w:t>1.1 - شناسایی و احراز هویت کاربر انسانی و 5.4، SR 1.2 - فرآیند نرم افزار و شناسایی و احراز هویت دستگاه). به طور مشابه برای اجرای مجوز (به 6.3، SR 2.1 - اجرای مجوز مراجعه کنید).</w:t>
      </w:r>
    </w:p>
    <w:p>
      <w:pPr>
        <w:jc w:val="right"/>
        <w:bidi/>
      </w:pPr>
      <w:r>
        <w:rPr>
          <w:rFonts w:ascii="B Nazanin" w:hAnsi="B Nazanin" w:eastAsia="B Nazanin"/>
          <w:sz w:val="24"/>
        </w:rPr>
        <w:t>سوابق حسابرسی با مهر زمانی نادرست (به 6.10، SR 2.8 - رویدادهای قابل حسابرسی و 6.13 SR 2.11 - مُهرهای زمانی مراجعه کنید) نباید بر عملکردهای اساسی تأثیر منفی بگذارد.</w:t>
      </w:r>
    </w:p>
    <w:p>
      <w:pPr>
        <w:jc w:val="right"/>
        <w:bidi/>
      </w:pPr>
      <w:r>
        <w:rPr>
          <w:rFonts w:ascii="B Nazanin" w:hAnsi="B Nazanin" w:eastAsia="B Nazanin"/>
          <w:sz w:val="24"/>
        </w:rPr>
        <w:t>در صورتی که حفاظت از مرز منطقه به حالت Fail-close و/یا جزیره ای برود، عملکردهای اساسی یک IACS باید حفظ شود (به 9.4، SR 5.2 - حفاظت از مرز منطقه مراجعه کنید).</w:t>
      </w:r>
    </w:p>
    <w:p>
      <w:pPr>
        <w:jc w:val="right"/>
        <w:bidi/>
      </w:pPr>
      <w:r>
        <w:rPr>
          <w:rFonts w:ascii="B Nazanin" w:hAnsi="B Nazanin" w:eastAsia="B Nazanin"/>
          <w:sz w:val="24"/>
        </w:rPr>
        <w:t>رویداد انکار سرویس (DoS) در سیستم کنترل یا شبکه سیستم مجهز به ایمنی (SIS) نباید مانع از عمل SIF شود (به 11.3، SR 7.1 - حفاظت از انکار سرویس مراجعه کنید).</w:t>
      </w:r>
    </w:p>
    <w:p>
      <w:pPr>
        <w:jc w:val="right"/>
        <w:bidi/>
      </w:pPr>
      <w:r>
        <w:rPr>
          <w:rFonts w:ascii="B Nazanin" w:hAnsi="B Nazanin" w:eastAsia="B Nazanin"/>
          <w:sz w:val="24"/>
        </w:rPr>
        <w:t>اقدامات متقابل جبرانی</w:t>
      </w:r>
    </w:p>
    <w:p>
      <w:pPr>
        <w:jc w:val="right"/>
        <w:bidi/>
      </w:pPr>
      <w:r>
        <w:rPr>
          <w:rFonts w:ascii="B Nazanin" w:hAnsi="B Nazanin" w:eastAsia="B Nazanin"/>
          <w:sz w:val="24"/>
        </w:rPr>
        <w:t>اقدامات متقابل جبرانی، همانطور که در این استاندارد استفاده می شود، باید از دستورالعمل های شرح داده شده در IEC 62443-3-2 تبعیت کنند.</w:t>
      </w:r>
    </w:p>
    <w:p>
      <w:pPr>
        <w:jc w:val="right"/>
        <w:bidi/>
      </w:pPr>
    </w:p>
    <w:p>
      <w:pPr>
        <w:jc w:val="right"/>
        <w:bidi/>
      </w:pPr>
      <w:r>
        <w:rPr>
          <w:rFonts w:ascii="B Nazanin" w:hAnsi="B Nazanin" w:eastAsia="B Nazanin"/>
          <w:sz w:val="24"/>
        </w:rPr>
        <w:t>در سراسر این استاندارد، زبان هنجاری SR بیان می‌کند که «سیستم کنترل باید این قابلیت را فراهم کند که...» از برخی الزامات امنیتی خاص پشتیبانی کند. سیستم کنترل باید این قابلیت را فراهم کند، اما ممکن است توسط یک جزء خارجی انجام شود. در چنین حالتی، سیستم کنترل باید یک "رابط" برای آن جزء خارجی فراهم کند. برخی از نمونه‌های اقدامات متقابل جبران‌کننده عبارتند از شناسایی کاربر (از جمله متمرکز در مقابل توزیع)، اعمال قدرت رمز عبور، بررسی اعتبار امضا، همبستگی رویداد امنیتی و از کار انداختن دستگاه (تداوم اطلاعات).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