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B00C5" w14:textId="77777777" w:rsidR="00756D23" w:rsidRDefault="00080464">
      <w:pPr>
        <w:spacing w:after="80"/>
      </w:pPr>
      <w:r>
        <w:rPr>
          <w:rFonts w:ascii="Segoe UI" w:eastAsia="Segoe UI" w:hAnsi="Segoe UI" w:cs="Segoe UI"/>
          <w:b/>
          <w:bCs/>
          <w:color w:val="8A6A2F"/>
          <w:spacing w:val="60"/>
          <w:sz w:val="15"/>
          <w:szCs w:val="15"/>
        </w:rPr>
        <w:t>FINEX // BLOCKCHAIN INTELLIGENCE</w:t>
      </w:r>
    </w:p>
    <w:p w14:paraId="40595F55" w14:textId="77777777" w:rsidR="00756D23" w:rsidRDefault="00080464">
      <w:pPr>
        <w:spacing w:after="100"/>
      </w:pPr>
      <w:r>
        <w:rPr>
          <w:rFonts w:ascii="Georgia" w:eastAsia="Georgia" w:hAnsi="Georgia" w:cs="Georgia"/>
          <w:b/>
          <w:bCs/>
          <w:color w:val="1A1A1A"/>
          <w:sz w:val="40"/>
          <w:szCs w:val="40"/>
        </w:rPr>
        <w:t>FineX — Implementation Methodology</w:t>
      </w:r>
    </w:p>
    <w:p w14:paraId="3FAB0A95" w14:textId="77777777" w:rsidR="00756D23" w:rsidRDefault="00080464">
      <w:pPr>
        <w:pBdr>
          <w:bottom w:val="single" w:sz="8" w:space="10" w:color="8A6A2F"/>
        </w:pBdr>
        <w:spacing w:after="320"/>
      </w:pPr>
      <w:r>
        <w:rPr>
          <w:rFonts w:ascii="Segoe UI" w:eastAsia="Segoe UI" w:hAnsi="Segoe UI" w:cs="Segoe UI"/>
          <w:color w:val="55514B"/>
          <w:sz w:val="19"/>
          <w:szCs w:val="19"/>
        </w:rPr>
        <w:t>Source material for the SIH presentation · every figure counted from the committed repository, 21 September 2026</w:t>
      </w:r>
    </w:p>
    <w:p w14:paraId="1FC1D3A4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Two parts: how a complaint is processed (the pipeline), and how the system was built and verified (the engineering method). Every figure is from the committed repository, 21 September 2026.</w:t>
      </w:r>
    </w:p>
    <w:p w14:paraId="69E1086D" w14:textId="77777777" w:rsidR="00756D23" w:rsidRDefault="00080464">
      <w:pPr>
        <w:pStyle w:val="Heading1"/>
        <w:keepNext/>
        <w:keepLines/>
        <w:pBdr>
          <w:bottom w:val="single" w:sz="6" w:space="6" w:color="C9C2B4"/>
        </w:pBdr>
        <w:spacing w:before="360" w:after="140"/>
      </w:pPr>
      <w:r>
        <w:rPr>
          <w:rFonts w:ascii="Georgia" w:eastAsia="Georgia" w:hAnsi="Georgia" w:cs="Georgia"/>
          <w:b/>
          <w:bCs/>
          <w:color w:val="8A6A2F"/>
          <w:sz w:val="30"/>
          <w:szCs w:val="30"/>
        </w:rPr>
        <w:t>Part A — The pipeline</w:t>
      </w:r>
    </w:p>
    <w:p w14:paraId="790D333B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What happens between an officer pasting an address and a freeze request.</w:t>
      </w:r>
    </w:p>
    <w:p w14:paraId="0A736562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1. Intake</w:t>
      </w:r>
    </w:p>
    <w:p w14:paraId="08051953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 xml:space="preserve">A wallet address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or a transaction hash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. Addresses are base58check-validated in the browser before any network call, so a typo never costs a chain read. A 64-character hash is resolved through its USDT Transfer event to the wallet it paid, and the tool states what it resolved before tracing anything. </w:t>
      </w:r>
      <w:r>
        <w:rPr>
          <w:rFonts w:ascii="Segoe UI" w:eastAsia="Segoe UI" w:hAnsi="Segoe UI" w:cs="Segoe UI"/>
          <w:i/>
          <w:iCs/>
          <w:color w:val="1A1A1A"/>
          <w:sz w:val="21"/>
          <w:szCs w:val="21"/>
        </w:rPr>
        <w:t>Why a transaction: a defrauded person reports a UPI ID or a bank account, never a wallet — but their own exchange can produce the withdrawal transaction.</w:t>
      </w:r>
    </w:p>
    <w:p w14:paraId="46A94BE2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2. Window</w:t>
      </w:r>
    </w:p>
    <w:p w14:paraId="67D108EC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Amount and fraud date are both optional. A blank amount follows everything that left the wallet; a blank date opens the window one second before the wallet's earliest transfer on record.</w:t>
      </w:r>
    </w:p>
    <w:p w14:paraId="59502E2F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3. Collection</w:t>
      </w:r>
    </w:p>
    <w:p w14:paraId="7408A2DA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Paginated TRC-20 transfers from TronGrid, with:</w:t>
      </w:r>
    </w:p>
    <w:p w14:paraId="0A5C86FA" w14:textId="77777777" w:rsidR="00756D23" w:rsidRDefault="00080464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an in-memory cache, since one address is read many times during a trace;</w:t>
      </w:r>
    </w:p>
    <w:p w14:paraId="1AB2C903" w14:textId="77777777" w:rsidR="00756D23" w:rsidRDefault="00080464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one shared adaptive rate limiter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for the whole server — 100 ms between calls with an API key, 250 ms without, doubling on every refusal and easing back on every answer;</w:t>
      </w:r>
    </w:p>
    <w:p w14:paraId="57D647AA" w14:textId="77777777" w:rsidR="00756D23" w:rsidRDefault="00080464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SHA-256 of every response body</w:t>
      </w:r>
      <w:r>
        <w:rPr>
          <w:rFonts w:ascii="Segoe UI" w:eastAsia="Segoe UI" w:hAnsi="Segoe UI" w:cs="Segoe UI"/>
          <w:color w:val="1A1A1A"/>
          <w:sz w:val="21"/>
          <w:szCs w:val="21"/>
        </w:rPr>
        <w:t>, kept for the evidence packet;</w:t>
      </w:r>
    </w:p>
    <w:p w14:paraId="52881ADA" w14:textId="77777777" w:rsidR="00756D23" w:rsidRDefault="00080464">
      <w:pPr>
        <w:pStyle w:val="ListParagraph"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 xml:space="preserve">an unreadable or partly-read wallet tracked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separately from an empty one</w:t>
      </w:r>
      <w:r>
        <w:rPr>
          <w:rFonts w:ascii="Segoe UI" w:eastAsia="Segoe UI" w:hAnsi="Segoe UI" w:cs="Segoe UI"/>
          <w:color w:val="1A1A1A"/>
          <w:sz w:val="21"/>
          <w:szCs w:val="21"/>
        </w:rPr>
        <w:t>.</w:t>
      </w:r>
    </w:p>
    <w:p w14:paraId="4A7AEBB8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4. Traversal</w:t>
      </w:r>
    </w:p>
    <w:p w14:paraId="68B1D978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Breadth-first from the reported wallet, with five hard limits: depth ≤ 3 · top five outflows per wallet by value · transfers under 1% of the reported amount dropped · only transfers after the money actually arrived · stop at any labelled wallet. Each wallet is walked once.</w:t>
      </w:r>
    </w:p>
    <w:p w14:paraId="09F0B274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5. Taint</w:t>
      </w:r>
    </w:p>
    <w:p w14:paraId="71FAC828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 xml:space="preserve">Two models that bracket the answer: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haircut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(default, conservative — each hop inherits its share) and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FIFO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(the rule courts have used for mixed funds since Clayton's Case). A transfer can never </w:t>
      </w:r>
      <w:r>
        <w:rPr>
          <w:rFonts w:ascii="Segoe UI" w:eastAsia="Segoe UI" w:hAnsi="Segoe UI" w:cs="Segoe UI"/>
          <w:color w:val="1A1A1A"/>
          <w:sz w:val="21"/>
          <w:szCs w:val="21"/>
        </w:rPr>
        <w:lastRenderedPageBreak/>
        <w:t>carry more than its own value. Dwell time per hop is measured from a transfer that actually happened.</w:t>
      </w:r>
    </w:p>
    <w:p w14:paraId="3CDD9354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6. Attribution</w:t>
      </w:r>
    </w:p>
    <w:p w14:paraId="1B69CD77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 xml:space="preserve">A deterministic lookup in one map, priority: sanctioned → exchange hot wallet → customer deposit address → community. Every label carries a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confidence and a source tier</w:t>
      </w:r>
      <w:r>
        <w:rPr>
          <w:rFonts w:ascii="Segoe UI" w:eastAsia="Segoe UI" w:hAnsi="Segoe UI" w:cs="Segoe UI"/>
          <w:color w:val="1A1A1A"/>
          <w:sz w:val="21"/>
          <w:szCs w:val="21"/>
        </w:rPr>
        <w:t>, and the interface shows the tier — an explorer tag and a derived cluster are never allowed to look like the same claim.</w:t>
      </w:r>
    </w:p>
    <w:p w14:paraId="44FC20CD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7. Clustering — the core dataset (offline)</w:t>
      </w:r>
    </w:p>
    <w:p w14:paraId="178338C2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 xml:space="preserve">An exchange issues every customer a unique deposit address and later sweeps it into a main hot wallet. So: an address that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forwards ≥ 90% of its inflow to one tagged exchange wallet, ≥ 2 times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, is a customer deposit address at that exchange. Run offline against public data, output committed: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241 deposit addresses across 10 exchanges, derived from 15 seed wallets.</w:t>
      </w:r>
    </w:p>
    <w:p w14:paraId="20252D9D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8. Scoring</w:t>
      </w:r>
    </w:p>
    <w:p w14:paraId="4D53B048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 xml:space="preserve">Six behavioural rules — short dwell, high fan-out, peel chain, round amounts, new address, sanctioned contact — each returning a plain-English reason an officer can read aloud. They score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everything actually read</w:t>
      </w:r>
      <w:r>
        <w:rPr>
          <w:rFonts w:ascii="Segoe UI" w:eastAsia="Segoe UI" w:hAnsi="Segoe UI" w:cs="Segoe UI"/>
          <w:color w:val="1A1A1A"/>
          <w:sz w:val="21"/>
          <w:szCs w:val="21"/>
        </w:rPr>
        <w:t>, not the pruned trace, because the pruning removes exactly the evidence two of them look for.</w:t>
      </w:r>
    </w:p>
    <w:p w14:paraId="1E9EA89A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9. Triage and output</w:t>
      </w:r>
    </w:p>
    <w:p w14:paraId="47B6EBBE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 xml:space="preserve">Every case lands in one of three dispositions with a one-sentence reason: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CRITICAL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(funds still at rest) ·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SUSPICIOUS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(freezable exit named) ·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CLOSED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(mixer or sanctioned — nothing follows deterministically). Then: ranked next-wallet leads, chokepoints by Brandes betweenness, links between complaints that share an account, an evidence packet carrying its response hashes, a freeze-request draft, and a CSV of the morning's queue. A CRITICAL wallet goes on a watch that re-asks the chain whether it has moved.</w:t>
      </w:r>
    </w:p>
    <w:p w14:paraId="4F7EC305" w14:textId="77777777" w:rsidR="00756D23" w:rsidRDefault="00080464">
      <w:pPr>
        <w:pStyle w:val="Heading1"/>
        <w:keepNext/>
        <w:keepLines/>
        <w:pBdr>
          <w:bottom w:val="single" w:sz="6" w:space="6" w:color="C9C2B4"/>
        </w:pBdr>
        <w:spacing w:before="360" w:after="140"/>
      </w:pPr>
      <w:r>
        <w:rPr>
          <w:rFonts w:ascii="Georgia" w:eastAsia="Georgia" w:hAnsi="Georgia" w:cs="Georgia"/>
          <w:b/>
          <w:bCs/>
          <w:color w:val="8A6A2F"/>
          <w:sz w:val="30"/>
          <w:szCs w:val="30"/>
        </w:rPr>
        <w:t>Part B — The engineering method</w:t>
      </w:r>
    </w:p>
    <w:p w14:paraId="4D0C7F57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Contract first</w:t>
      </w:r>
    </w:p>
    <w:p w14:paraId="737E155A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lib/types.ts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and mock fixtures were frozen at the start, so the interface and the engine were built in parallel against the same shape and never blocked each other.</w:t>
      </w:r>
    </w:p>
    <w:p w14:paraId="47061B5A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Honesty rules treated as acceptance criteria</w:t>
      </w:r>
    </w:p>
    <w:p w14:paraId="505416B3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Each of these is enforced in code, not policy:</w:t>
      </w:r>
    </w:p>
    <w:p w14:paraId="44F7A40C" w14:textId="77777777" w:rsidR="00756D23" w:rsidRDefault="00080464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lastRenderedPageBreak/>
        <w:t xml:space="preserve">an unreadable wallet is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never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reported as empty;</w:t>
      </w:r>
    </w:p>
    <w:p w14:paraId="6B5D4416" w14:textId="77777777" w:rsidR="00756D23" w:rsidRDefault="00080464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a partial read is never passed off as complete;</w:t>
      </w:r>
    </w:p>
    <w:p w14:paraId="7409F720" w14:textId="77777777" w:rsidR="00756D23" w:rsidRDefault="00080464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a recorded case never claims to be live;</w:t>
      </w:r>
    </w:p>
    <w:p w14:paraId="3D5A7FA2" w14:textId="77777777" w:rsidR="00756D23" w:rsidRDefault="00080464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an illustrative case never claims to be recorded;</w:t>
      </w:r>
    </w:p>
    <w:p w14:paraId="53DF512D" w14:textId="77777777" w:rsidR="00756D23" w:rsidRDefault="00080464">
      <w:pPr>
        <w:pStyle w:val="ListParagraph"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a frozen case is never served for an address, amount or window it does not belong to.</w:t>
      </w:r>
    </w:p>
    <w:p w14:paraId="393A17B2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Verification instead of a test suite</w:t>
      </w:r>
    </w:p>
    <w:p w14:paraId="04ABD42B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The 72-hour scope rule forbade a test framework, so correctness is established by evidence rather than by unit tests:</w:t>
      </w:r>
    </w:p>
    <w:p w14:paraId="4EF73A8E" w14:textId="77777777" w:rsidR="00756D23" w:rsidRDefault="00080464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`verify-case.mjs` re-reads every transaction of every recorded case straight from the chain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, importing nothing from the tracer — so a tracer bug cannot make it pass. Latest run: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33 confirmed, 0 mismatched, 0 missing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(17 unreadable, an unkeyed run throttling itself).</w:t>
      </w:r>
    </w:p>
    <w:p w14:paraId="7D8E379E" w14:textId="77777777" w:rsidR="00756D23" w:rsidRDefault="00080464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Clustering is calibrated against the chain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: 40 derived addresses sampled, 31 readable, and all 31 still met the clustering rule — but confidence bands scored identically, which is why confidence is presented as </w:t>
      </w:r>
      <w:r>
        <w:rPr>
          <w:rFonts w:ascii="Segoe UI" w:eastAsia="Segoe UI" w:hAnsi="Segoe UI" w:cs="Segoe UI"/>
          <w:i/>
          <w:iCs/>
          <w:color w:val="1A1A1A"/>
          <w:sz w:val="21"/>
          <w:szCs w:val="21"/>
        </w:rPr>
        <w:t>how much evidence was seen</w:t>
      </w:r>
      <w:r>
        <w:rPr>
          <w:rFonts w:ascii="Segoe UI" w:eastAsia="Segoe UI" w:hAnsi="Segoe UI" w:cs="Segoe UI"/>
          <w:color w:val="1A1A1A"/>
          <w:sz w:val="21"/>
          <w:szCs w:val="21"/>
        </w:rPr>
        <w:t>, never as accuracy.</w:t>
      </w:r>
    </w:p>
    <w:p w14:paraId="53F8A707" w14:textId="77777777" w:rsidR="00756D23" w:rsidRDefault="00080464">
      <w:pPr>
        <w:pStyle w:val="ListParagraph"/>
        <w:keepNext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Rule base rates are measured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on a sample of 17 unreported wallets, and the sample size is stated wherever the rates are.</w:t>
      </w:r>
    </w:p>
    <w:p w14:paraId="052C907D" w14:textId="77777777" w:rsidR="00756D23" w:rsidRDefault="00080464">
      <w:pPr>
        <w:pStyle w:val="ListParagraph"/>
        <w:keepLines/>
        <w:numPr>
          <w:ilvl w:val="0"/>
          <w:numId w:val="2"/>
        </w:numPr>
        <w:spacing w:after="90" w:line="276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The interface is swept in a real browser for sideways overflow, console errors, accessibility structure and printed output, against a production build rather than the dev server.</w:t>
      </w:r>
    </w:p>
    <w:p w14:paraId="19AFAFD4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A safety net for the demo</w:t>
      </w:r>
    </w:p>
    <w:p w14:paraId="03F91623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 xml:space="preserve">Ten real cases captured from the live pipeline, each a complete result carrying the SHA-256 of every chain response behind it. With </w:t>
      </w:r>
      <w:r>
        <w:rPr>
          <w:rFonts w:ascii="Segoe UI" w:eastAsia="Segoe UI" w:hAnsi="Segoe UI" w:cs="Segoe UI"/>
          <w:color w:val="1A1A1A"/>
          <w:sz w:val="21"/>
          <w:szCs w:val="21"/>
        </w:rPr>
        <w:t>DEMO_MODE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on they are served from the file with no network at all, stamped </w:t>
      </w:r>
      <w:r>
        <w:rPr>
          <w:rFonts w:ascii="Segoe UI" w:eastAsia="Segoe UI" w:hAnsi="Segoe UI" w:cs="Segoe UI"/>
          <w:b/>
          <w:bCs/>
          <w:color w:val="1A1A1A"/>
          <w:sz w:val="21"/>
          <w:szCs w:val="21"/>
        </w:rPr>
        <w:t>"recorded trace"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on screen — real data, captured from real API calls, never passed off as live.</w:t>
      </w:r>
    </w:p>
    <w:p w14:paraId="05D2E016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A written decision log</w:t>
      </w:r>
    </w:p>
    <w:p w14:paraId="05EB5548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CONTEXT.md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records every decision </w:t>
      </w:r>
      <w:r>
        <w:rPr>
          <w:rFonts w:ascii="Segoe UI" w:eastAsia="Segoe UI" w:hAnsi="Segoe UI" w:cs="Segoe UI"/>
          <w:i/>
          <w:iCs/>
          <w:color w:val="1A1A1A"/>
          <w:sz w:val="21"/>
          <w:szCs w:val="21"/>
        </w:rPr>
        <w:t>and every reversal</w:t>
      </w:r>
      <w:r>
        <w:rPr>
          <w:rFonts w:ascii="Segoe UI" w:eastAsia="Segoe UI" w:hAnsi="Segoe UI" w:cs="Segoe UI"/>
          <w:color w:val="1A1A1A"/>
          <w:sz w:val="21"/>
          <w:szCs w:val="21"/>
        </w:rPr>
        <w:t>, so no later session re-derives them. 89 commits, each small and reversible.</w:t>
      </w:r>
    </w:p>
    <w:p w14:paraId="303361DB" w14:textId="77777777" w:rsidR="00756D23" w:rsidRDefault="00080464">
      <w:pPr>
        <w:pStyle w:val="Heading2"/>
        <w:keepNext/>
        <w:keepLines/>
        <w:spacing w:before="260" w:after="140"/>
      </w:pPr>
      <w:r>
        <w:rPr>
          <w:rFonts w:ascii="Georgia" w:eastAsia="Georgia" w:hAnsi="Georgia" w:cs="Georgia"/>
          <w:b/>
          <w:bCs/>
          <w:color w:val="1A1A1A"/>
          <w:sz w:val="24"/>
          <w:szCs w:val="24"/>
        </w:rPr>
        <w:t>Deployment</w:t>
      </w:r>
    </w:p>
    <w:p w14:paraId="3E3DD8F6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 xml:space="preserve">One Render web service from </w:t>
      </w:r>
      <w:r>
        <w:rPr>
          <w:rFonts w:ascii="Segoe UI" w:eastAsia="Segoe UI" w:hAnsi="Segoe UI" w:cs="Segoe UI"/>
          <w:color w:val="1A1A1A"/>
          <w:sz w:val="21"/>
          <w:szCs w:val="21"/>
        </w:rPr>
        <w:t>render.yaml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. </w:t>
      </w:r>
      <w:r>
        <w:rPr>
          <w:rFonts w:ascii="Segoe UI" w:eastAsia="Segoe UI" w:hAnsi="Segoe UI" w:cs="Segoe UI"/>
          <w:color w:val="1A1A1A"/>
          <w:sz w:val="21"/>
          <w:szCs w:val="21"/>
        </w:rPr>
        <w:t>GET /api/health</w:t>
      </w:r>
      <w:r>
        <w:rPr>
          <w:rFonts w:ascii="Segoe UI" w:eastAsia="Segoe UI" w:hAnsi="Segoe UI" w:cs="Segoe UI"/>
          <w:color w:val="1A1A1A"/>
          <w:sz w:val="21"/>
          <w:szCs w:val="21"/>
        </w:rPr>
        <w:t xml:space="preserve"> reports the serving commit, whether demo mode is on, and whether the chain is being read with a key — so the deployment's configuration can be checked from outside the dashboard.</w:t>
      </w:r>
    </w:p>
    <w:p w14:paraId="65B93D5E" w14:textId="77777777" w:rsidR="00756D23" w:rsidRDefault="00080464">
      <w:pPr>
        <w:pStyle w:val="Heading1"/>
        <w:keepNext/>
        <w:keepLines/>
        <w:pBdr>
          <w:bottom w:val="single" w:sz="6" w:space="6" w:color="C9C2B4"/>
        </w:pBdr>
        <w:spacing w:before="360" w:after="140"/>
      </w:pPr>
      <w:r>
        <w:rPr>
          <w:rFonts w:ascii="Georgia" w:eastAsia="Georgia" w:hAnsi="Georgia" w:cs="Georgia"/>
          <w:b/>
          <w:bCs/>
          <w:color w:val="8A6A2F"/>
          <w:sz w:val="30"/>
          <w:szCs w:val="30"/>
        </w:rPr>
        <w:t>Measured results</w:t>
      </w:r>
    </w:p>
    <w:tbl>
      <w:tblPr>
        <w:tblW w:w="9026" w:type="dxa"/>
        <w:tblBorders>
          <w:top w:val="single" w:sz="4" w:space="0" w:color="C9C2B4"/>
          <w:left w:val="single" w:sz="4" w:space="0" w:color="C9C2B4"/>
          <w:bottom w:val="single" w:sz="4" w:space="0" w:color="C9C2B4"/>
          <w:right w:val="single" w:sz="4" w:space="0" w:color="C9C2B4"/>
          <w:insideH w:val="single" w:sz="4" w:space="0" w:color="C9C2B4"/>
          <w:insideV w:val="single" w:sz="4" w:space="0" w:color="C9C2B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1"/>
        <w:gridCol w:w="5235"/>
      </w:tblGrid>
      <w:tr w:rsidR="00756D23" w14:paraId="53B2C5F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791" w:type="dxa"/>
            <w:shd w:val="clear" w:color="auto" w:fill="F4F1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E741D7D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55514B"/>
                <w:sz w:val="19"/>
                <w:szCs w:val="19"/>
              </w:rPr>
              <w:t>Check</w:t>
            </w:r>
          </w:p>
        </w:tc>
        <w:tc>
          <w:tcPr>
            <w:tcW w:w="5235" w:type="dxa"/>
            <w:shd w:val="clear" w:color="auto" w:fill="F4F1E9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9BEBD3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b/>
                <w:bCs/>
                <w:color w:val="55514B"/>
                <w:sz w:val="19"/>
                <w:szCs w:val="19"/>
              </w:rPr>
              <w:t>Result</w:t>
            </w:r>
          </w:p>
        </w:tc>
      </w:tr>
      <w:tr w:rsidR="00756D23" w14:paraId="321E9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C612CB6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Independent re-read of recorded cases</w:t>
            </w:r>
          </w:p>
        </w:tc>
        <w:tc>
          <w:tcPr>
            <w:tcW w:w="523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6FCFA64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33 confirmed · 0 mismatched · 0 missing</w:t>
            </w:r>
          </w:p>
        </w:tc>
      </w:tr>
      <w:tr w:rsidR="00756D23" w14:paraId="02DECF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C51238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lastRenderedPageBreak/>
              <w:t>Clustering still holds on re-read sample</w:t>
            </w:r>
          </w:p>
        </w:tc>
        <w:tc>
          <w:tcPr>
            <w:tcW w:w="523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858D48B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31 of 31 readable addresses still meet the rule</w:t>
            </w:r>
          </w:p>
        </w:tc>
      </w:tr>
      <w:tr w:rsidR="00756D23" w14:paraId="52ABF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C7ACD0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Dispositions covered by real frozen cases</w:t>
            </w:r>
          </w:p>
        </w:tc>
        <w:tc>
          <w:tcPr>
            <w:tcW w:w="523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F3D6DD9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all three (CRITICAL, SUSPICIOUS, CLOSED)</w:t>
            </w:r>
          </w:p>
        </w:tc>
      </w:tr>
      <w:tr w:rsidR="00756D23" w14:paraId="5B83F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A29B495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Complaints converging on one account</w:t>
            </w:r>
          </w:p>
        </w:tc>
        <w:tc>
          <w:tcPr>
            <w:tcW w:w="523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D017220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3 of 10 cases share one MEXC deposit address, 27,930.22 USDT between them</w:t>
            </w:r>
          </w:p>
        </w:tc>
      </w:tr>
      <w:tr w:rsidR="00756D23" w14:paraId="6A51B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791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1F6750F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Demo mode, network off</w:t>
            </w:r>
          </w:p>
        </w:tc>
        <w:tc>
          <w:tcPr>
            <w:tcW w:w="5235" w:type="dxa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6F5AF45" w14:textId="77777777" w:rsidR="00756D23" w:rsidRDefault="00080464">
            <w:pPr>
              <w:spacing w:line="260" w:lineRule="auto"/>
            </w:pPr>
            <w:r>
              <w:rPr>
                <w:rFonts w:ascii="Segoe UI" w:eastAsia="Segoe UI" w:hAnsi="Segoe UI" w:cs="Segoe UI"/>
                <w:color w:val="1A1A1A"/>
                <w:sz w:val="19"/>
                <w:szCs w:val="19"/>
              </w:rPr>
              <w:t>all 10 cases answer from file, stamped "recorded"</w:t>
            </w:r>
          </w:p>
        </w:tc>
      </w:tr>
    </w:tbl>
    <w:p w14:paraId="5BD0043B" w14:textId="77777777" w:rsidR="00756D23" w:rsidRDefault="00756D23">
      <w:pPr>
        <w:spacing w:after="200"/>
      </w:pPr>
    </w:p>
    <w:p w14:paraId="563F31B6" w14:textId="77777777" w:rsidR="00756D23" w:rsidRDefault="00080464">
      <w:pPr>
        <w:pStyle w:val="Heading1"/>
        <w:keepNext/>
        <w:keepLines/>
        <w:pBdr>
          <w:bottom w:val="single" w:sz="6" w:space="6" w:color="C9C2B4"/>
        </w:pBdr>
        <w:spacing w:before="360" w:after="140"/>
      </w:pPr>
      <w:r>
        <w:rPr>
          <w:rFonts w:ascii="Georgia" w:eastAsia="Georgia" w:hAnsi="Georgia" w:cs="Georgia"/>
          <w:b/>
          <w:bCs/>
          <w:color w:val="8A6A2F"/>
          <w:sz w:val="30"/>
          <w:szCs w:val="30"/>
        </w:rPr>
        <w:t>What is deliberately not built</w:t>
      </w:r>
    </w:p>
    <w:p w14:paraId="5162EAA2" w14:textId="77777777" w:rsidR="00756D23" w:rsidRDefault="00080464">
      <w:pPr>
        <w:spacing w:after="140" w:line="280" w:lineRule="auto"/>
      </w:pPr>
      <w:r>
        <w:rPr>
          <w:rFonts w:ascii="Segoe UI" w:eastAsia="Segoe UI" w:hAnsi="Segoe UI" w:cs="Segoe UI"/>
          <w:color w:val="1A1A1A"/>
          <w:sz w:val="21"/>
          <w:szCs w:val="21"/>
        </w:rPr>
        <w:t>Stating this is part of the method, not an apology — each has a plan: cross-chain tracing, NCRP/SAHYOG integration, machine-learning risk scores, indexing at scale, and a mixer list (no citable public source, so the file is empty and says so).</w:t>
      </w:r>
    </w:p>
    <w:sectPr w:rsidR="00756D23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C1545" w14:textId="77777777" w:rsidR="00080464" w:rsidRDefault="00080464">
      <w:r>
        <w:separator/>
      </w:r>
    </w:p>
  </w:endnote>
  <w:endnote w:type="continuationSeparator" w:id="0">
    <w:p w14:paraId="281C209C" w14:textId="77777777" w:rsidR="00080464" w:rsidRDefault="000804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8034A" w14:textId="77777777" w:rsidR="00756D23" w:rsidRDefault="00080464">
    <w:pPr>
      <w:pBdr>
        <w:top w:val="single" w:sz="4" w:space="8" w:color="C9C2B4"/>
      </w:pBdr>
    </w:pPr>
    <w:r>
      <w:rPr>
        <w:rFonts w:ascii="Segoe UI" w:eastAsia="Segoe UI" w:hAnsi="Segoe UI" w:cs="Segoe UI"/>
        <w:color w:val="55514B"/>
        <w:sz w:val="15"/>
        <w:szCs w:val="15"/>
      </w:rPr>
      <w:t>SIH 2026 · PS 26183 · FineX — Implementation Methodology</w:t>
    </w:r>
    <w:r>
      <w:rPr>
        <w:rFonts w:ascii="Segoe UI" w:eastAsia="Segoe UI" w:hAnsi="Segoe UI" w:cs="Segoe UI"/>
        <w:color w:val="55514B"/>
        <w:sz w:val="15"/>
        <w:szCs w:val="15"/>
      </w:rPr>
      <w:ptab w:relativeTo="margin" w:alignment="right" w:leader="none"/>
    </w:r>
    <w:r>
      <w:rPr>
        <w:rFonts w:ascii="Segoe UI" w:eastAsia="Segoe UI" w:hAnsi="Segoe UI" w:cs="Segoe UI"/>
        <w:color w:val="55514B"/>
        <w:sz w:val="15"/>
        <w:szCs w:val="15"/>
      </w:rPr>
      <w:fldChar w:fldCharType="begin"/>
    </w:r>
    <w:r>
      <w:rPr>
        <w:rFonts w:ascii="Segoe UI" w:eastAsia="Segoe UI" w:hAnsi="Segoe UI" w:cs="Segoe UI"/>
        <w:color w:val="55514B"/>
        <w:sz w:val="15"/>
        <w:szCs w:val="15"/>
      </w:rPr>
      <w:instrText>PAGE</w:instrText>
    </w:r>
    <w:r>
      <w:rPr>
        <w:rFonts w:ascii="Segoe UI" w:eastAsia="Segoe UI" w:hAnsi="Segoe UI" w:cs="Segoe UI"/>
        <w:color w:val="55514B"/>
        <w:sz w:val="15"/>
        <w:szCs w:val="15"/>
      </w:rPr>
      <w:fldChar w:fldCharType="separate"/>
    </w:r>
    <w:r w:rsidR="00282366">
      <w:rPr>
        <w:rFonts w:ascii="Segoe UI" w:eastAsia="Segoe UI" w:hAnsi="Segoe UI" w:cs="Segoe UI"/>
        <w:noProof/>
        <w:color w:val="55514B"/>
        <w:sz w:val="15"/>
        <w:szCs w:val="15"/>
      </w:rPr>
      <w:t>1</w:t>
    </w:r>
    <w:r>
      <w:rPr>
        <w:rFonts w:ascii="Segoe UI" w:eastAsia="Segoe UI" w:hAnsi="Segoe UI" w:cs="Segoe UI"/>
        <w:color w:val="55514B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8B9A2" w14:textId="77777777" w:rsidR="00080464" w:rsidRDefault="00080464">
      <w:r>
        <w:separator/>
      </w:r>
    </w:p>
  </w:footnote>
  <w:footnote w:type="continuationSeparator" w:id="0">
    <w:p w14:paraId="23A3B443" w14:textId="77777777" w:rsidR="00080464" w:rsidRDefault="0008046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136EB"/>
    <w:multiLevelType w:val="hybridMultilevel"/>
    <w:tmpl w:val="2D603722"/>
    <w:lvl w:ilvl="0" w:tplc="6C824884">
      <w:start w:val="1"/>
      <w:numFmt w:val="bullet"/>
      <w:lvlText w:val="•"/>
      <w:lvlJc w:val="left"/>
      <w:pPr>
        <w:ind w:left="300" w:hanging="200"/>
      </w:pPr>
      <w:rPr>
        <w:color w:val="8A6A2F"/>
      </w:rPr>
    </w:lvl>
    <w:lvl w:ilvl="1" w:tplc="7458BCA6">
      <w:start w:val="1"/>
      <w:numFmt w:val="bullet"/>
      <w:lvlText w:val="–"/>
      <w:lvlJc w:val="left"/>
      <w:pPr>
        <w:ind w:left="620" w:hanging="200"/>
      </w:pPr>
      <w:rPr>
        <w:color w:val="8A6A2F"/>
      </w:rPr>
    </w:lvl>
    <w:lvl w:ilvl="2" w:tplc="B11C0B7A">
      <w:numFmt w:val="decimal"/>
      <w:lvlText w:val=""/>
      <w:lvlJc w:val="left"/>
    </w:lvl>
    <w:lvl w:ilvl="3" w:tplc="A3882E44">
      <w:numFmt w:val="decimal"/>
      <w:lvlText w:val=""/>
      <w:lvlJc w:val="left"/>
    </w:lvl>
    <w:lvl w:ilvl="4" w:tplc="3418D484">
      <w:numFmt w:val="decimal"/>
      <w:lvlText w:val=""/>
      <w:lvlJc w:val="left"/>
    </w:lvl>
    <w:lvl w:ilvl="5" w:tplc="819CCC0A">
      <w:numFmt w:val="decimal"/>
      <w:lvlText w:val=""/>
      <w:lvlJc w:val="left"/>
    </w:lvl>
    <w:lvl w:ilvl="6" w:tplc="226AB5F2">
      <w:numFmt w:val="decimal"/>
      <w:lvlText w:val=""/>
      <w:lvlJc w:val="left"/>
    </w:lvl>
    <w:lvl w:ilvl="7" w:tplc="9A7ACF4A">
      <w:numFmt w:val="decimal"/>
      <w:lvlText w:val=""/>
      <w:lvlJc w:val="left"/>
    </w:lvl>
    <w:lvl w:ilvl="8" w:tplc="09740DE6">
      <w:numFmt w:val="decimal"/>
      <w:lvlText w:val=""/>
      <w:lvlJc w:val="left"/>
    </w:lvl>
  </w:abstractNum>
  <w:abstractNum w:abstractNumId="1" w15:restartNumberingAfterBreak="0">
    <w:nsid w:val="270C3E25"/>
    <w:multiLevelType w:val="hybridMultilevel"/>
    <w:tmpl w:val="933CE28A"/>
    <w:lvl w:ilvl="0" w:tplc="496C440C">
      <w:start w:val="1"/>
      <w:numFmt w:val="bullet"/>
      <w:lvlText w:val="●"/>
      <w:lvlJc w:val="left"/>
      <w:pPr>
        <w:ind w:left="720" w:hanging="360"/>
      </w:pPr>
    </w:lvl>
    <w:lvl w:ilvl="1" w:tplc="D28AAB0A">
      <w:start w:val="1"/>
      <w:numFmt w:val="bullet"/>
      <w:lvlText w:val="○"/>
      <w:lvlJc w:val="left"/>
      <w:pPr>
        <w:ind w:left="1440" w:hanging="360"/>
      </w:pPr>
    </w:lvl>
    <w:lvl w:ilvl="2" w:tplc="44361B08">
      <w:start w:val="1"/>
      <w:numFmt w:val="bullet"/>
      <w:lvlText w:val="■"/>
      <w:lvlJc w:val="left"/>
      <w:pPr>
        <w:ind w:left="2160" w:hanging="360"/>
      </w:pPr>
    </w:lvl>
    <w:lvl w:ilvl="3" w:tplc="59DC9FE6">
      <w:start w:val="1"/>
      <w:numFmt w:val="bullet"/>
      <w:lvlText w:val="●"/>
      <w:lvlJc w:val="left"/>
      <w:pPr>
        <w:ind w:left="2880" w:hanging="360"/>
      </w:pPr>
    </w:lvl>
    <w:lvl w:ilvl="4" w:tplc="EB70B008">
      <w:start w:val="1"/>
      <w:numFmt w:val="bullet"/>
      <w:lvlText w:val="○"/>
      <w:lvlJc w:val="left"/>
      <w:pPr>
        <w:ind w:left="3600" w:hanging="360"/>
      </w:pPr>
    </w:lvl>
    <w:lvl w:ilvl="5" w:tplc="B0DED114">
      <w:start w:val="1"/>
      <w:numFmt w:val="bullet"/>
      <w:lvlText w:val="■"/>
      <w:lvlJc w:val="left"/>
      <w:pPr>
        <w:ind w:left="4320" w:hanging="360"/>
      </w:pPr>
    </w:lvl>
    <w:lvl w:ilvl="6" w:tplc="96C80F22">
      <w:start w:val="1"/>
      <w:numFmt w:val="bullet"/>
      <w:lvlText w:val="●"/>
      <w:lvlJc w:val="left"/>
      <w:pPr>
        <w:ind w:left="5040" w:hanging="360"/>
      </w:pPr>
    </w:lvl>
    <w:lvl w:ilvl="7" w:tplc="022CB232">
      <w:start w:val="1"/>
      <w:numFmt w:val="bullet"/>
      <w:lvlText w:val="●"/>
      <w:lvlJc w:val="left"/>
      <w:pPr>
        <w:ind w:left="5760" w:hanging="360"/>
      </w:pPr>
    </w:lvl>
    <w:lvl w:ilvl="8" w:tplc="995CE496">
      <w:start w:val="1"/>
      <w:numFmt w:val="bullet"/>
      <w:lvlText w:val="●"/>
      <w:lvlJc w:val="left"/>
      <w:pPr>
        <w:ind w:left="6480" w:hanging="360"/>
      </w:pPr>
    </w:lvl>
  </w:abstractNum>
  <w:num w:numId="1" w16cid:durableId="1560482797">
    <w:abstractNumId w:val="1"/>
    <w:lvlOverride w:ilvl="0">
      <w:startOverride w:val="1"/>
    </w:lvlOverride>
  </w:num>
  <w:num w:numId="2" w16cid:durableId="20795522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D23"/>
    <w:rsid w:val="00077A87"/>
    <w:rsid w:val="00080464"/>
    <w:rsid w:val="00282366"/>
    <w:rsid w:val="0075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377A1D"/>
  <w15:docId w15:val="{87191B06-ED58-4C2A-AECD-5BDD35AEA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1096</Words>
  <Characters>5661</Characters>
  <Application>Microsoft Office Word</Application>
  <DocSecurity>0</DocSecurity>
  <Lines>111</Lines>
  <Paragraphs>77</Paragraphs>
  <ScaleCrop>false</ScaleCrop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FineX — Implementation Methodology</dc:title>
  <dc:creator>FineX — Team FineX</dc:creator>
  <dc:description>Source material for the SIH presentation · every figure counted from the committed repository, 21 September 2026</dc:description>
  <cp:lastModifiedBy>Mirza Ali</cp:lastModifiedBy>
  <cp:revision>2</cp:revision>
  <cp:lastPrinted>2026-09-21T13:07:00Z</cp:lastPrinted>
  <dcterms:created xsi:type="dcterms:W3CDTF">2026-09-21T13:07:00Z</dcterms:created>
  <dcterms:modified xsi:type="dcterms:W3CDTF">2026-09-21T13:07:00Z</dcterms:modified>
</cp:coreProperties>
</file>