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864A" w14:textId="77777777" w:rsidR="00626951" w:rsidRDefault="00C70F52">
      <w:pPr>
        <w:spacing w:after="60"/>
      </w:pPr>
      <w:r>
        <w:rPr>
          <w:rFonts w:ascii="Segoe UI" w:eastAsia="Segoe UI" w:hAnsi="Segoe UI" w:cs="Segoe UI"/>
          <w:b/>
          <w:bCs/>
          <w:color w:val="8A6A2F"/>
          <w:spacing w:val="60"/>
          <w:sz w:val="14"/>
          <w:szCs w:val="14"/>
        </w:rPr>
        <w:t>FINEX // BLOCKCHAIN INTELLIGENCE</w:t>
      </w:r>
    </w:p>
    <w:p w14:paraId="135FB49B" w14:textId="77777777" w:rsidR="00626951" w:rsidRDefault="00C70F52">
      <w:pPr>
        <w:spacing w:after="60"/>
      </w:pPr>
      <w:r>
        <w:rPr>
          <w:rFonts w:ascii="Georgia" w:eastAsia="Georgia" w:hAnsi="Georgia" w:cs="Georgia"/>
          <w:b/>
          <w:bCs/>
          <w:color w:val="1A1A1A"/>
          <w:sz w:val="34"/>
          <w:szCs w:val="34"/>
        </w:rPr>
        <w:t>Evidence sheet</w:t>
      </w:r>
    </w:p>
    <w:p w14:paraId="59A04B30" w14:textId="77777777" w:rsidR="00626951" w:rsidRDefault="00C70F52">
      <w:pPr>
        <w:pBdr>
          <w:bottom w:val="single" w:sz="8" w:space="8" w:color="8A6A2F"/>
        </w:pBdr>
        <w:spacing w:after="160"/>
      </w:pPr>
      <w:r>
        <w:rPr>
          <w:rFonts w:ascii="Segoe UI" w:eastAsia="Segoe UI" w:hAnsi="Segoe UI" w:cs="Segoe UI"/>
          <w:color w:val="55514B"/>
          <w:sz w:val="16"/>
          <w:szCs w:val="16"/>
        </w:rPr>
        <w:t>What this tool claims, and how to check every word of it · SIH 2026 · PS 26183 · Ministry of Home Affairs / I4C</w:t>
      </w:r>
    </w:p>
    <w:tbl>
      <w:tblPr>
        <w:tblW w:w="9026" w:type="dxa"/>
        <w:tblBorders>
          <w:insideV w:val="single" w:sz="4" w:space="0" w:color="C9C2B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0"/>
        <w:gridCol w:w="2926"/>
      </w:tblGrid>
      <w:tr w:rsidR="00626951" w14:paraId="758EB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0" w:type="dxa"/>
            <w:tcMar>
              <w:right w:w="260" w:type="dxa"/>
            </w:tcMar>
          </w:tcPr>
          <w:p w14:paraId="75716912" w14:textId="77777777" w:rsidR="00626951" w:rsidRDefault="00C70F52">
            <w:pPr>
              <w:pBdr>
                <w:bottom w:val="single" w:sz="4" w:space="4" w:color="C9C2B4"/>
              </w:pBdr>
              <w:spacing w:before="150" w:after="70"/>
            </w:pPr>
            <w:r>
              <w:rPr>
                <w:rFonts w:ascii="Segoe UI" w:eastAsia="Segoe UI" w:hAnsi="Segoe UI" w:cs="Segoe UI"/>
                <w:b/>
                <w:bCs/>
                <w:color w:val="8A6A2F"/>
                <w:spacing w:val="40"/>
                <w:sz w:val="14"/>
                <w:szCs w:val="14"/>
              </w:rPr>
              <w:t>THE CLAIM</w:t>
            </w:r>
          </w:p>
          <w:p w14:paraId="1AD8C251" w14:textId="77777777" w:rsidR="00626951" w:rsidRDefault="00C70F52">
            <w:pPr>
              <w:spacing w:after="70"/>
            </w:pP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 xml:space="preserve">From one victim-reported wallet, FineX names the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>customer deposit address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 xml:space="preserve"> at the exchange that received the money — the account that can be restrained — and states whether the money is still reachable.</w:t>
            </w:r>
          </w:p>
          <w:p w14:paraId="08A34AC3" w14:textId="77777777" w:rsidR="00626951" w:rsidRDefault="00C70F52">
            <w:pPr>
              <w:pBdr>
                <w:bottom w:val="single" w:sz="4" w:space="4" w:color="C9C2B4"/>
              </w:pBdr>
              <w:spacing w:before="150" w:after="70"/>
            </w:pPr>
            <w:r>
              <w:rPr>
                <w:rFonts w:ascii="Segoe UI" w:eastAsia="Segoe UI" w:hAnsi="Segoe UI" w:cs="Segoe UI"/>
                <w:b/>
                <w:bCs/>
                <w:color w:val="8A6A2F"/>
                <w:spacing w:val="40"/>
                <w:sz w:val="14"/>
                <w:szCs w:val="14"/>
              </w:rPr>
              <w:t>WHAT ONE CASE PRODUCES</w:t>
            </w:r>
          </w:p>
          <w:p w14:paraId="7B77CA31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A disposition.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CRITICAL (funds still at rest), SUSPICIOUS (a freezable exit named), or CLOSED (mixer or sanctioned — nothing follows).</w:t>
            </w:r>
          </w:p>
          <w:p w14:paraId="3D94B236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The exit.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The deposit address, with its confidence and the tier of evidence behind it.</w:t>
            </w:r>
          </w:p>
          <w:p w14:paraId="0C859790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The reasons.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Six behavioural rules, each stating in plain words why it fired.</w:t>
            </w:r>
          </w:p>
          <w:p w14:paraId="7C142FE6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The file.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An evidence packet carrying the SHA-256 of every chain response, and a draft restraint request.</w:t>
            </w:r>
          </w:p>
          <w:p w14:paraId="2D7E7A6D" w14:textId="77777777" w:rsidR="00626951" w:rsidRDefault="00C70F52">
            <w:pPr>
              <w:pBdr>
                <w:bottom w:val="single" w:sz="4" w:space="4" w:color="C9C2B4"/>
              </w:pBdr>
              <w:spacing w:before="150" w:after="70"/>
            </w:pPr>
            <w:r>
              <w:rPr>
                <w:rFonts w:ascii="Segoe UI" w:eastAsia="Segoe UI" w:hAnsi="Segoe UI" w:cs="Segoe UI"/>
                <w:b/>
                <w:bCs/>
                <w:color w:val="8A6A2F"/>
                <w:spacing w:val="40"/>
                <w:sz w:val="14"/>
                <w:szCs w:val="14"/>
              </w:rPr>
              <w:t>THE DATASET — DERIVED, NOT LICENSED</w:t>
            </w:r>
          </w:p>
          <w:p w14:paraId="682B626A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The rule.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An address that sweeps into one tagged exchange wallet at least twice, forwarding 90% or more of everything it receives, is a customer deposit address at that exchange.</w:t>
            </w:r>
          </w:p>
          <w:p w14:paraId="636B6CE6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The result.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241 deposit addresses across 10 exchanges, from 15 explorer-tagged seed wallets, plus 334 OFAC-sanctioned TRON addresses — 590 labels in all.</w:t>
            </w:r>
          </w:p>
          <w:p w14:paraId="2B3D9F14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The cost.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₹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0 in commercial data licences. Public endpoints and the published sanctions list only.</w:t>
            </w:r>
          </w:p>
          <w:p w14:paraId="760C8ED7" w14:textId="77777777" w:rsidR="00626951" w:rsidRDefault="00C70F52">
            <w:pPr>
              <w:pBdr>
                <w:bottom w:val="single" w:sz="4" w:space="4" w:color="C9C2B4"/>
              </w:pBdr>
              <w:spacing w:before="150" w:after="70"/>
            </w:pPr>
            <w:r>
              <w:rPr>
                <w:rFonts w:ascii="Segoe UI" w:eastAsia="Segoe UI" w:hAnsi="Segoe UI" w:cs="Segoe UI"/>
                <w:b/>
                <w:bCs/>
                <w:color w:val="8A6A2F"/>
                <w:spacing w:val="40"/>
                <w:sz w:val="14"/>
                <w:szCs w:val="14"/>
              </w:rPr>
              <w:t>HOW TO CHECK US</w:t>
            </w:r>
          </w:p>
          <w:p w14:paraId="5AD0C05F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Re-read from the chain.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An independent verifier re-reads every transaction a case rests on, importing nothing from the tracer: 33 confirmed, 0 mismatched, 0 missing.</w:t>
            </w:r>
          </w:p>
          <w:p w14:paraId="1570D681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Re-test the clustering.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40 derived addresses sampled and re-read; all 31 that could be read still meet the rule.</w:t>
            </w:r>
          </w:p>
          <w:p w14:paraId="24E1CC1C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Read confidence correctly.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It measures how much sweep evidence was seen — not the probability the attribution is right.</w:t>
            </w:r>
          </w:p>
          <w:p w14:paraId="05601F53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Ownership.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Only the exchange can confirm who holds an account. The packet says so in writing.</w:t>
            </w:r>
          </w:p>
          <w:p w14:paraId="539E5BC3" w14:textId="77777777" w:rsidR="00626951" w:rsidRDefault="00C70F52">
            <w:pPr>
              <w:pBdr>
                <w:bottom w:val="single" w:sz="4" w:space="4" w:color="C9C2B4"/>
              </w:pBdr>
              <w:spacing w:before="150" w:after="70"/>
            </w:pPr>
            <w:r>
              <w:rPr>
                <w:rFonts w:ascii="Segoe UI" w:eastAsia="Segoe UI" w:hAnsi="Segoe UI" w:cs="Segoe UI"/>
                <w:b/>
                <w:bCs/>
                <w:color w:val="8A6A2F"/>
                <w:spacing w:val="40"/>
                <w:sz w:val="14"/>
                <w:szCs w:val="14"/>
              </w:rPr>
              <w:t>SCOPE, STATED PLAINLY</w:t>
            </w:r>
          </w:p>
          <w:p w14:paraId="7D3332E9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TRON and USDT only.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Cross-chain tracing, NCRP/SAHYOG intake and departmental indexing are designed and next — not claimed as built.</w:t>
            </w:r>
          </w:p>
          <w:p w14:paraId="30350424" w14:textId="77777777" w:rsidR="00626951" w:rsidRDefault="00C70F52">
            <w:pPr>
              <w:spacing w:after="60"/>
              <w:ind w:left="120" w:hanging="120"/>
            </w:pPr>
            <w:r>
              <w:rPr>
                <w:rFonts w:ascii="Segoe UI" w:eastAsia="Segoe UI" w:hAnsi="Segoe UI" w:cs="Segoe UI"/>
                <w:color w:val="8A6A2F"/>
                <w:sz w:val="17"/>
                <w:szCs w:val="17"/>
              </w:rPr>
              <w:t xml:space="preserve">— </w:t>
            </w:r>
            <w:r>
              <w:rPr>
                <w:rFonts w:ascii="Segoe UI" w:eastAsia="Segoe UI" w:hAnsi="Segoe UI" w:cs="Segoe UI"/>
                <w:b/>
                <w:bCs/>
                <w:color w:val="1A1A1A"/>
                <w:sz w:val="17"/>
                <w:szCs w:val="17"/>
              </w:rPr>
              <w:t xml:space="preserve">No model decides anything. </w:t>
            </w:r>
            <w:r>
              <w:rPr>
                <w:rFonts w:ascii="Segoe UI" w:eastAsia="Segoe UI" w:hAnsi="Segoe UI" w:cs="Segoe UI"/>
                <w:color w:val="1A1A1A"/>
                <w:sz w:val="17"/>
                <w:szCs w:val="17"/>
              </w:rPr>
              <w:t>No machine-learning model and no language model runs in this system at all.</w:t>
            </w:r>
          </w:p>
        </w:tc>
        <w:tc>
          <w:tcPr>
            <w:tcW w:w="2926" w:type="dxa"/>
            <w:tcMar>
              <w:left w:w="260" w:type="dxa"/>
            </w:tcMar>
          </w:tcPr>
          <w:p w14:paraId="7CEC9757" w14:textId="77777777" w:rsidR="00626951" w:rsidRDefault="00C70F52">
            <w:pPr>
              <w:pBdr>
                <w:bottom w:val="single" w:sz="4" w:space="4" w:color="C9C2B4"/>
              </w:pBdr>
              <w:spacing w:before="150" w:after="70"/>
            </w:pPr>
            <w:r>
              <w:rPr>
                <w:rFonts w:ascii="Segoe UI" w:eastAsia="Segoe UI" w:hAnsi="Segoe UI" w:cs="Segoe UI"/>
                <w:b/>
                <w:bCs/>
                <w:color w:val="8A6A2F"/>
                <w:spacing w:val="40"/>
                <w:sz w:val="14"/>
                <w:szCs w:val="14"/>
              </w:rPr>
              <w:t>OPEN IT</w:t>
            </w:r>
          </w:p>
          <w:p w14:paraId="1B76E2A3" w14:textId="77777777" w:rsidR="00626951" w:rsidRDefault="00C70F52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 wp14:anchorId="3C428EA0" wp14:editId="606666AA">
                  <wp:extent cx="1428750" cy="1428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14EC6" w14:textId="77777777" w:rsidR="00626951" w:rsidRDefault="00C70F52">
            <w:pPr>
              <w:spacing w:after="70"/>
            </w:pPr>
            <w:r>
              <w:rPr>
                <w:rFonts w:ascii="Consolas" w:eastAsia="Consolas" w:hAnsi="Consolas" w:cs="Consolas"/>
                <w:color w:val="1A1A1A"/>
                <w:sz w:val="13"/>
                <w:szCs w:val="13"/>
              </w:rPr>
              <w:t>crypto-fraud-tracer.onrender.com</w:t>
            </w:r>
          </w:p>
          <w:p w14:paraId="7097C750" w14:textId="77777777" w:rsidR="00626951" w:rsidRDefault="00C70F52">
            <w:pPr>
              <w:spacing w:before="80" w:after="60"/>
            </w:pPr>
            <w:r>
              <w:rPr>
                <w:rFonts w:ascii="Segoe UI" w:eastAsia="Segoe UI" w:hAnsi="Segoe UI" w:cs="Segoe UI"/>
                <w:color w:val="55514B"/>
                <w:sz w:val="15"/>
                <w:szCs w:val="15"/>
              </w:rPr>
              <w:t>A working deployment, not a mock-up. Three recorded cases open straight from the front page.</w:t>
            </w:r>
          </w:p>
          <w:p w14:paraId="09C6298C" w14:textId="77777777" w:rsidR="00626951" w:rsidRDefault="00C70F52">
            <w:pPr>
              <w:pBdr>
                <w:bottom w:val="single" w:sz="4" w:space="4" w:color="C9C2B4"/>
              </w:pBdr>
              <w:spacing w:before="150" w:after="70"/>
            </w:pPr>
            <w:r>
              <w:rPr>
                <w:rFonts w:ascii="Segoe UI" w:eastAsia="Segoe UI" w:hAnsi="Segoe UI" w:cs="Segoe UI"/>
                <w:b/>
                <w:bCs/>
                <w:color w:val="8A6A2F"/>
                <w:spacing w:val="40"/>
                <w:sz w:val="14"/>
                <w:szCs w:val="14"/>
              </w:rPr>
              <w:t>THE NUMBERS</w:t>
            </w:r>
          </w:p>
          <w:p w14:paraId="12349F7A" w14:textId="77777777" w:rsidR="00626951" w:rsidRDefault="00C70F52">
            <w:pPr>
              <w:spacing w:after="40" w:line="230" w:lineRule="auto"/>
            </w:pPr>
            <w:r>
              <w:rPr>
                <w:rFonts w:ascii="Consolas" w:eastAsia="Consolas" w:hAnsi="Consolas" w:cs="Consolas"/>
                <w:color w:val="8A6A2F"/>
                <w:sz w:val="18"/>
                <w:szCs w:val="18"/>
              </w:rPr>
              <w:t xml:space="preserve">241  </w:t>
            </w:r>
            <w:r>
              <w:rPr>
                <w:rFonts w:ascii="Segoe UI" w:eastAsia="Segoe UI" w:hAnsi="Segoe UI" w:cs="Segoe UI"/>
                <w:color w:val="55514B"/>
                <w:sz w:val="15"/>
                <w:szCs w:val="15"/>
              </w:rPr>
              <w:t>deposit addresses</w:t>
            </w:r>
          </w:p>
          <w:p w14:paraId="07D6C6F8" w14:textId="77777777" w:rsidR="00626951" w:rsidRDefault="00C70F52">
            <w:pPr>
              <w:spacing w:after="40" w:line="230" w:lineRule="auto"/>
            </w:pPr>
            <w:r>
              <w:rPr>
                <w:rFonts w:ascii="Consolas" w:eastAsia="Consolas" w:hAnsi="Consolas" w:cs="Consolas"/>
                <w:color w:val="8A6A2F"/>
                <w:sz w:val="18"/>
                <w:szCs w:val="18"/>
              </w:rPr>
              <w:t xml:space="preserve">10   </w:t>
            </w:r>
            <w:r>
              <w:rPr>
                <w:rFonts w:ascii="Segoe UI" w:eastAsia="Segoe UI" w:hAnsi="Segoe UI" w:cs="Segoe UI"/>
                <w:color w:val="55514B"/>
                <w:sz w:val="15"/>
                <w:szCs w:val="15"/>
              </w:rPr>
              <w:t>exchanges covered</w:t>
            </w:r>
          </w:p>
          <w:p w14:paraId="559BBBAF" w14:textId="77777777" w:rsidR="00626951" w:rsidRDefault="00C70F52">
            <w:pPr>
              <w:spacing w:after="40" w:line="230" w:lineRule="auto"/>
            </w:pPr>
            <w:r>
              <w:rPr>
                <w:rFonts w:ascii="Consolas" w:eastAsia="Consolas" w:hAnsi="Consolas" w:cs="Consolas"/>
                <w:color w:val="8A6A2F"/>
                <w:sz w:val="18"/>
                <w:szCs w:val="18"/>
              </w:rPr>
              <w:t xml:space="preserve">15   </w:t>
            </w:r>
            <w:r>
              <w:rPr>
                <w:rFonts w:ascii="Segoe UI" w:eastAsia="Segoe UI" w:hAnsi="Segoe UI" w:cs="Segoe UI"/>
                <w:color w:val="55514B"/>
                <w:sz w:val="15"/>
                <w:szCs w:val="15"/>
              </w:rPr>
              <w:t>public seed wallets</w:t>
            </w:r>
          </w:p>
          <w:p w14:paraId="527C0D21" w14:textId="77777777" w:rsidR="00626951" w:rsidRDefault="00C70F52">
            <w:pPr>
              <w:spacing w:after="40" w:line="230" w:lineRule="auto"/>
            </w:pPr>
            <w:r>
              <w:rPr>
                <w:rFonts w:ascii="Consolas" w:eastAsia="Consolas" w:hAnsi="Consolas" w:cs="Consolas"/>
                <w:color w:val="8A6A2F"/>
                <w:sz w:val="18"/>
                <w:szCs w:val="18"/>
              </w:rPr>
              <w:t xml:space="preserve">334  </w:t>
            </w:r>
            <w:r>
              <w:rPr>
                <w:rFonts w:ascii="Segoe UI" w:eastAsia="Segoe UI" w:hAnsi="Segoe UI" w:cs="Segoe UI"/>
                <w:color w:val="55514B"/>
                <w:sz w:val="15"/>
                <w:szCs w:val="15"/>
              </w:rPr>
              <w:t>sanctioned addresses</w:t>
            </w:r>
          </w:p>
          <w:p w14:paraId="7C107BAF" w14:textId="77777777" w:rsidR="00626951" w:rsidRDefault="00C70F52">
            <w:pPr>
              <w:spacing w:after="40" w:line="230" w:lineRule="auto"/>
            </w:pPr>
            <w:r>
              <w:rPr>
                <w:rFonts w:ascii="Consolas" w:eastAsia="Consolas" w:hAnsi="Consolas" w:cs="Consolas"/>
                <w:color w:val="8A6A2F"/>
                <w:sz w:val="18"/>
                <w:szCs w:val="18"/>
              </w:rPr>
              <w:t xml:space="preserve">6    </w:t>
            </w:r>
            <w:r>
              <w:rPr>
                <w:rFonts w:ascii="Segoe UI" w:eastAsia="Segoe UI" w:hAnsi="Segoe UI" w:cs="Segoe UI"/>
                <w:color w:val="55514B"/>
                <w:sz w:val="15"/>
                <w:szCs w:val="15"/>
              </w:rPr>
              <w:t>behavioural rules</w:t>
            </w:r>
          </w:p>
          <w:p w14:paraId="1F65DA78" w14:textId="77777777" w:rsidR="00626951" w:rsidRDefault="00C70F52">
            <w:pPr>
              <w:spacing w:after="40" w:line="230" w:lineRule="auto"/>
            </w:pPr>
            <w:r>
              <w:rPr>
                <w:rFonts w:ascii="Consolas" w:eastAsia="Consolas" w:hAnsi="Consolas" w:cs="Consolas"/>
                <w:color w:val="8A6A2F"/>
                <w:sz w:val="18"/>
                <w:szCs w:val="18"/>
              </w:rPr>
              <w:t xml:space="preserve">10   </w:t>
            </w:r>
            <w:r>
              <w:rPr>
                <w:rFonts w:ascii="Segoe UI" w:eastAsia="Segoe UI" w:hAnsi="Segoe UI" w:cs="Segoe UI"/>
                <w:color w:val="55514B"/>
                <w:sz w:val="15"/>
                <w:szCs w:val="15"/>
              </w:rPr>
              <w:t>cases frozen with hashes</w:t>
            </w:r>
          </w:p>
          <w:p w14:paraId="217AE4AB" w14:textId="77777777" w:rsidR="00626951" w:rsidRDefault="00C70F52">
            <w:pPr>
              <w:spacing w:after="40" w:line="230" w:lineRule="auto"/>
            </w:pPr>
            <w:r>
              <w:rPr>
                <w:rFonts w:ascii="Consolas" w:eastAsia="Consolas" w:hAnsi="Consolas" w:cs="Consolas"/>
                <w:color w:val="8A6A2F"/>
                <w:sz w:val="18"/>
                <w:szCs w:val="18"/>
              </w:rPr>
              <w:t xml:space="preserve">1    </w:t>
            </w:r>
            <w:r>
              <w:rPr>
                <w:rFonts w:ascii="Segoe UI" w:eastAsia="Segoe UI" w:hAnsi="Segoe UI" w:cs="Segoe UI"/>
                <w:color w:val="55514B"/>
                <w:sz w:val="15"/>
                <w:szCs w:val="15"/>
              </w:rPr>
              <w:t>added dependency</w:t>
            </w:r>
          </w:p>
          <w:p w14:paraId="02A33B02" w14:textId="77777777" w:rsidR="00626951" w:rsidRDefault="00C70F52">
            <w:pPr>
              <w:spacing w:after="40" w:line="230" w:lineRule="auto"/>
            </w:pPr>
            <w:r>
              <w:rPr>
                <w:rFonts w:ascii="Consolas" w:eastAsia="Consolas" w:hAnsi="Consolas" w:cs="Consolas"/>
                <w:color w:val="8A6A2F"/>
                <w:sz w:val="18"/>
                <w:szCs w:val="18"/>
              </w:rPr>
              <w:t>₹</w:t>
            </w:r>
            <w:r>
              <w:rPr>
                <w:rFonts w:ascii="Consolas" w:eastAsia="Consolas" w:hAnsi="Consolas" w:cs="Consolas"/>
                <w:color w:val="8A6A2F"/>
                <w:sz w:val="18"/>
                <w:szCs w:val="18"/>
              </w:rPr>
              <w:t xml:space="preserve">0   </w:t>
            </w:r>
            <w:r>
              <w:rPr>
                <w:rFonts w:ascii="Segoe UI" w:eastAsia="Segoe UI" w:hAnsi="Segoe UI" w:cs="Segoe UI"/>
                <w:color w:val="55514B"/>
                <w:sz w:val="15"/>
                <w:szCs w:val="15"/>
              </w:rPr>
              <w:t>licence cost</w:t>
            </w:r>
          </w:p>
          <w:p w14:paraId="4B1B68C2" w14:textId="77777777" w:rsidR="00626951" w:rsidRDefault="00C70F52">
            <w:pPr>
              <w:spacing w:before="80"/>
            </w:pPr>
            <w:r>
              <w:rPr>
                <w:rFonts w:ascii="Segoe UI" w:eastAsia="Segoe UI" w:hAnsi="Segoe UI" w:cs="Segoe UI"/>
                <w:color w:val="55514B"/>
                <w:sz w:val="14"/>
                <w:szCs w:val="14"/>
              </w:rPr>
              <w:t>Every figure is counted from the committed repository.</w:t>
            </w:r>
          </w:p>
        </w:tc>
      </w:tr>
    </w:tbl>
    <w:p w14:paraId="7F9CC51B" w14:textId="77777777" w:rsidR="00626951" w:rsidRDefault="00C70F52">
      <w:pPr>
        <w:pBdr>
          <w:top w:val="single" w:sz="4" w:space="8" w:color="C9C2B4"/>
        </w:pBdr>
        <w:spacing w:before="200"/>
      </w:pPr>
      <w:r>
        <w:rPr>
          <w:rFonts w:ascii="Segoe UI" w:eastAsia="Segoe UI" w:hAnsi="Segoe UI" w:cs="Segoe UI"/>
          <w:b/>
          <w:bCs/>
          <w:color w:val="1A1A1A"/>
          <w:sz w:val="15"/>
          <w:szCs w:val="15"/>
        </w:rPr>
        <w:t xml:space="preserve">Standing limitation. </w:t>
      </w:r>
      <w:r>
        <w:rPr>
          <w:rFonts w:ascii="Segoe UI" w:eastAsia="Segoe UI" w:hAnsi="Segoe UI" w:cs="Segoe UI"/>
          <w:color w:val="55514B"/>
          <w:sz w:val="15"/>
          <w:szCs w:val="15"/>
        </w:rPr>
        <w:t>Attribution produced here is an investigative lead carrying a stated confidence and a stated evidence tier. It is not, on its own, grounds for freezing an account — every evidence packet says so on the page an officer would file.</w:t>
      </w:r>
    </w:p>
    <w:sectPr w:rsidR="00626951">
      <w:pgSz w:w="11906" w:h="16838"/>
      <w:pgMar w:top="1008" w:right="1440" w:bottom="86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C6B19"/>
    <w:multiLevelType w:val="hybridMultilevel"/>
    <w:tmpl w:val="BC6ACF08"/>
    <w:lvl w:ilvl="0" w:tplc="1B329F88">
      <w:start w:val="1"/>
      <w:numFmt w:val="bullet"/>
      <w:lvlText w:val="●"/>
      <w:lvlJc w:val="left"/>
      <w:pPr>
        <w:ind w:left="720" w:hanging="360"/>
      </w:pPr>
    </w:lvl>
    <w:lvl w:ilvl="1" w:tplc="A900ED42">
      <w:start w:val="1"/>
      <w:numFmt w:val="bullet"/>
      <w:lvlText w:val="○"/>
      <w:lvlJc w:val="left"/>
      <w:pPr>
        <w:ind w:left="1440" w:hanging="360"/>
      </w:pPr>
    </w:lvl>
    <w:lvl w:ilvl="2" w:tplc="B4B4CD6A">
      <w:start w:val="1"/>
      <w:numFmt w:val="bullet"/>
      <w:lvlText w:val="■"/>
      <w:lvlJc w:val="left"/>
      <w:pPr>
        <w:ind w:left="2160" w:hanging="360"/>
      </w:pPr>
    </w:lvl>
    <w:lvl w:ilvl="3" w:tplc="F8DA46DC">
      <w:start w:val="1"/>
      <w:numFmt w:val="bullet"/>
      <w:lvlText w:val="●"/>
      <w:lvlJc w:val="left"/>
      <w:pPr>
        <w:ind w:left="2880" w:hanging="360"/>
      </w:pPr>
    </w:lvl>
    <w:lvl w:ilvl="4" w:tplc="D2DCFA48">
      <w:start w:val="1"/>
      <w:numFmt w:val="bullet"/>
      <w:lvlText w:val="○"/>
      <w:lvlJc w:val="left"/>
      <w:pPr>
        <w:ind w:left="3600" w:hanging="360"/>
      </w:pPr>
    </w:lvl>
    <w:lvl w:ilvl="5" w:tplc="3F4E041E">
      <w:start w:val="1"/>
      <w:numFmt w:val="bullet"/>
      <w:lvlText w:val="■"/>
      <w:lvlJc w:val="left"/>
      <w:pPr>
        <w:ind w:left="4320" w:hanging="360"/>
      </w:pPr>
    </w:lvl>
    <w:lvl w:ilvl="6" w:tplc="30B6FE84">
      <w:start w:val="1"/>
      <w:numFmt w:val="bullet"/>
      <w:lvlText w:val="●"/>
      <w:lvlJc w:val="left"/>
      <w:pPr>
        <w:ind w:left="5040" w:hanging="360"/>
      </w:pPr>
    </w:lvl>
    <w:lvl w:ilvl="7" w:tplc="9236B0F8">
      <w:start w:val="1"/>
      <w:numFmt w:val="bullet"/>
      <w:lvlText w:val="●"/>
      <w:lvlJc w:val="left"/>
      <w:pPr>
        <w:ind w:left="5760" w:hanging="360"/>
      </w:pPr>
    </w:lvl>
    <w:lvl w:ilvl="8" w:tplc="C3204C54">
      <w:start w:val="1"/>
      <w:numFmt w:val="bullet"/>
      <w:lvlText w:val="●"/>
      <w:lvlJc w:val="left"/>
      <w:pPr>
        <w:ind w:left="6480" w:hanging="360"/>
      </w:pPr>
    </w:lvl>
  </w:abstractNum>
  <w:num w:numId="1" w16cid:durableId="1225944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951"/>
    <w:rsid w:val="002547F3"/>
    <w:rsid w:val="00626951"/>
    <w:rsid w:val="00C30D7C"/>
    <w:rsid w:val="00C7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AE0A93"/>
  <w15:docId w15:val="{F40112E8-8AFD-470C-B4FC-244CD185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2244</Characters>
  <Application>Microsoft Office Word</Application>
  <DocSecurity>0</DocSecurity>
  <Lines>58</Lines>
  <Paragraphs>36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FineX — Evidence sheet</dc:title>
  <dc:creator>Team FineX</dc:creator>
  <cp:lastModifiedBy>Mirza Ali</cp:lastModifiedBy>
  <cp:revision>2</cp:revision>
  <cp:lastPrinted>2026-09-21T17:22:00Z</cp:lastPrinted>
  <dcterms:created xsi:type="dcterms:W3CDTF">2026-09-21T17:22:00Z</dcterms:created>
  <dcterms:modified xsi:type="dcterms:W3CDTF">2026-09-21T17:22:00Z</dcterms:modified>
</cp:coreProperties>
</file>