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7726" w14:textId="77777777" w:rsidR="00CC533E" w:rsidRDefault="002860CA">
      <w:pPr>
        <w:spacing w:after="80"/>
      </w:pPr>
      <w:r>
        <w:rPr>
          <w:rFonts w:ascii="Segoe UI" w:eastAsia="Segoe UI" w:hAnsi="Segoe UI" w:cs="Segoe UI"/>
          <w:b/>
          <w:bCs/>
          <w:color w:val="8A6A2F"/>
          <w:spacing w:val="60"/>
          <w:sz w:val="15"/>
          <w:szCs w:val="15"/>
        </w:rPr>
        <w:t>FINEX // BLOCKCHAIN INTELLIGENCE</w:t>
      </w:r>
    </w:p>
    <w:p w14:paraId="7093BF86" w14:textId="77777777" w:rsidR="00CC533E" w:rsidRDefault="002860CA">
      <w:pPr>
        <w:spacing w:after="100"/>
      </w:pPr>
      <w:r>
        <w:rPr>
          <w:rFonts w:ascii="Georgia" w:eastAsia="Georgia" w:hAnsi="Georgia" w:cs="Georgia"/>
          <w:b/>
          <w:bCs/>
          <w:color w:val="1A1A1A"/>
          <w:sz w:val="40"/>
          <w:szCs w:val="40"/>
        </w:rPr>
        <w:t>FineX — Final Tech Stack</w:t>
      </w:r>
    </w:p>
    <w:p w14:paraId="6F2765E6" w14:textId="77777777" w:rsidR="00CC533E" w:rsidRDefault="002860CA">
      <w:pPr>
        <w:pBdr>
          <w:bottom w:val="single" w:sz="8" w:space="10" w:color="8A6A2F"/>
        </w:pBdr>
        <w:spacing w:after="320"/>
      </w:pPr>
      <w:r>
        <w:rPr>
          <w:rFonts w:ascii="Segoe UI" w:eastAsia="Segoe UI" w:hAnsi="Segoe UI" w:cs="Segoe UI"/>
          <w:color w:val="55514B"/>
          <w:sz w:val="19"/>
          <w:szCs w:val="19"/>
        </w:rPr>
        <w:t>Source material for the SIH presentation · every figure counted from the committed repository, 21 September 2026</w:t>
      </w:r>
    </w:p>
    <w:p w14:paraId="557D09E3" w14:textId="77777777" w:rsidR="00CC533E" w:rsidRDefault="002860CA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Every figure here is counted from the committed repository (21 September 2026).</w:t>
      </w:r>
    </w:p>
    <w:p w14:paraId="38F12182" w14:textId="77777777" w:rsidR="00CC533E" w:rsidRDefault="002860CA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In one line</w:t>
      </w:r>
    </w:p>
    <w:p w14:paraId="159F3C1D" w14:textId="77777777" w:rsidR="00CC533E" w:rsidRDefault="002860CA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One Next.js application. No database, no machine learning, no second service. Public blockchain data in — a named exchange account and a disposition out.</w:t>
      </w:r>
    </w:p>
    <w:p w14:paraId="18D1EDBE" w14:textId="77777777" w:rsidR="00CC533E" w:rsidRDefault="002860CA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Technologies used</w:t>
      </w:r>
    </w:p>
    <w:p w14:paraId="489A5742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Next.js 16.3.4 (App Router) + React 19.2.8 + TypeScript 5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— interface and API in one deployable</w:t>
      </w:r>
    </w:p>
    <w:p w14:paraId="64125285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Tailwind CSS 4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— the entire interface layer</w:t>
      </w:r>
    </w:p>
    <w:p w14:paraId="2DF4A676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Node.js 22</w:t>
      </w:r>
      <w:r>
        <w:rPr>
          <w:rFonts w:ascii="Segoe UI" w:eastAsia="Segoe UI" w:hAnsi="Segoe UI" w:cs="Segoe UI"/>
          <w:color w:val="1A1A1A"/>
          <w:sz w:val="21"/>
          <w:szCs w:val="21"/>
        </w:rPr>
        <w:t>, deployed as a long-running web service on Render</w:t>
      </w:r>
    </w:p>
    <w:p w14:paraId="1DA2D728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TronGrid public API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— TRON mainnet, USDT TRC-20, read with native </w:t>
      </w:r>
      <w:r>
        <w:rPr>
          <w:rFonts w:ascii="Segoe UI" w:eastAsia="Segoe UI" w:hAnsi="Segoe UI" w:cs="Segoe UI"/>
          <w:color w:val="1A1A1A"/>
          <w:sz w:val="21"/>
          <w:szCs w:val="21"/>
        </w:rPr>
        <w:t>fetch</w:t>
      </w:r>
    </w:p>
    <w:p w14:paraId="0B24EEA7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Public label sources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— explorer address tags, OFAC SDN sanctions list</w:t>
      </w:r>
    </w:p>
    <w:p w14:paraId="22E43D55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JSON datasets committed to the repository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— no database</w:t>
      </w:r>
    </w:p>
    <w:p w14:paraId="2911B65B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Rule-based scoring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— no ML model and no language model anywhere in the system</w:t>
      </w:r>
    </w:p>
    <w:p w14:paraId="278D77AF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One third-party UI dependency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(</w:t>
      </w:r>
      <w:r>
        <w:rPr>
          <w:rFonts w:ascii="Segoe UI" w:eastAsia="Segoe UI" w:hAnsi="Segoe UI" w:cs="Segoe UI"/>
          <w:color w:val="1A1A1A"/>
          <w:sz w:val="21"/>
          <w:szCs w:val="21"/>
        </w:rPr>
        <w:t>@xyflow/react</w:t>
      </w:r>
      <w:r>
        <w:rPr>
          <w:rFonts w:ascii="Segoe UI" w:eastAsia="Segoe UI" w:hAnsi="Segoe UI" w:cs="Segoe UI"/>
          <w:color w:val="1A1A1A"/>
          <w:sz w:val="21"/>
          <w:szCs w:val="21"/>
        </w:rPr>
        <w:t>); every other visual is hand-drawn SVG</w:t>
      </w:r>
    </w:p>
    <w:p w14:paraId="79353802" w14:textId="77777777" w:rsidR="00CC533E" w:rsidRDefault="002860CA">
      <w:pPr>
        <w:pStyle w:val="ListParagraph"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SHA-256 chain-of-custody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on every API response, using Node's built-in crypto</w:t>
      </w:r>
    </w:p>
    <w:p w14:paraId="09B290DA" w14:textId="77777777" w:rsidR="00CC533E" w:rsidRDefault="002860CA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The stack, layer by layer</w:t>
      </w:r>
    </w:p>
    <w:tbl>
      <w:tblPr>
        <w:tblW w:w="9026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957"/>
        <w:gridCol w:w="4789"/>
      </w:tblGrid>
      <w:tr w:rsidR="00CC533E" w14:paraId="633390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7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BB2DF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Layer</w:t>
            </w:r>
          </w:p>
        </w:tc>
        <w:tc>
          <w:tcPr>
            <w:tcW w:w="1625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9C6EB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What we use</w:t>
            </w:r>
          </w:p>
        </w:tc>
        <w:tc>
          <w:tcPr>
            <w:tcW w:w="5054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0D7CD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Why this</w:t>
            </w:r>
          </w:p>
        </w:tc>
      </w:tr>
      <w:tr w:rsidR="00CC533E" w14:paraId="351A6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439C8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Language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999D0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TypeScript 5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28DFB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One language for interface, API and offline scripts</w:t>
            </w:r>
          </w:p>
        </w:tc>
      </w:tr>
      <w:tr w:rsidR="00CC533E" w14:paraId="0826D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30346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Framework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17949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Next.js 16.3.4, App Router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6ABBA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Pages and API routes ship as a single process</w:t>
            </w:r>
          </w:p>
        </w:tc>
      </w:tr>
      <w:tr w:rsidR="00CC533E" w14:paraId="20323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6B58C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UI runtime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8C345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React 19.2.8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A8222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—</w:t>
            </w:r>
          </w:p>
        </w:tc>
      </w:tr>
      <w:tr w:rsidR="00CC533E" w14:paraId="6F264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F8AFB5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Styling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993DD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Tailwind CSS 4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2A4859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No component library to licence or fight</w:t>
            </w:r>
          </w:p>
        </w:tc>
      </w:tr>
      <w:tr w:rsidR="00CC533E" w14:paraId="3D087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61E3D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Graph rendering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2D9A8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@xyflow/react 12 — the only added dependency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4F78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Bubble map, link graph, batch canvas and timeline are hand-drawn SVG</w:t>
            </w:r>
          </w:p>
        </w:tc>
      </w:tr>
      <w:tr w:rsidR="00CC533E" w14:paraId="1DBBB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8739F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lastRenderedPageBreak/>
              <w:t>Chain access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859C7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TronGrid public REST API, native fetch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28F7EA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No SDK; runs with no key, a free key only raises the rate limit</w:t>
            </w:r>
          </w:p>
        </w:tc>
      </w:tr>
      <w:tr w:rsidR="00CC533E" w14:paraId="506D2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5AA18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Asset scope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B283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USDT TRC-20 on TRON (TR7NHq…gjLj6t, 6 decimals)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1D8F6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Verified against a live response, not assumed</w:t>
            </w:r>
          </w:p>
        </w:tc>
      </w:tr>
      <w:tr w:rsidR="00CC533E" w14:paraId="623A8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248F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Attribution data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4F090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15 tagged exchange wallets + 241 derived deposit addresses + 334 OFAC-listed TRON addresses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D81D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590 labels in one in-memory map at startup</w:t>
            </w:r>
          </w:p>
        </w:tc>
      </w:tr>
      <w:tr w:rsidR="00CC533E" w14:paraId="623A8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248F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Other chains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4F090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709 more OFAC-listed addresses on 19 other assets, in data/sanctions-multichain.json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0D81D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An address from any chain OFAC covers is recognised by format and screened; only TRON is traced</w:t>
            </w:r>
          </w:p>
        </w:tc>
      </w:tr>
      <w:tr w:rsidR="00CC533E" w14:paraId="79A4F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6929D2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Storage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65DB7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JSON files in data/, committed to git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F61C36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Nothing to provision, migrate or lose; the dataset is reviewable in the repo</w:t>
            </w:r>
          </w:p>
        </w:tc>
      </w:tr>
      <w:tr w:rsidR="00CC533E" w14:paraId="501FB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34373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Scoring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F7B26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Six deterministic rules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461FC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An asset-freezing tool cannot hand a court a black box</w:t>
            </w:r>
          </w:p>
        </w:tc>
      </w:tr>
      <w:tr w:rsidR="00CC533E" w14:paraId="57278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49205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Case summary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2C346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Assembled from the trace's own computed figures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A3F3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No language model runs in this system at all</w:t>
            </w:r>
          </w:p>
        </w:tc>
      </w:tr>
      <w:tr w:rsidR="00CC533E" w14:paraId="65F08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04D57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Metadata images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C3D8C7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next/og, generated at build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FF96B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Icons and link-preview card count their figures from data/</w:t>
            </w:r>
          </w:p>
        </w:tc>
      </w:tr>
      <w:tr w:rsidR="00CC533E" w14:paraId="07516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943FE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Offline tooling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3ECAF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12 Node ESM scripts in scripts/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BF42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Clustering, case capture, re-derivation, calibration, verification, sanctions refresh</w:t>
            </w:r>
          </w:p>
        </w:tc>
      </w:tr>
      <w:tr w:rsidR="00CC533E" w14:paraId="63B5B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0B3765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Hosting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905EB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Render web service, free plan, from render.yaml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4D53F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 live trace streams for up to a minute; a serverless timeout would cut it off</w:t>
            </w:r>
          </w:p>
        </w:tc>
      </w:tr>
      <w:tr w:rsidR="00CC533E" w14:paraId="34D9D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07830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Configuration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FA39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TRONGRID_API_KEY, DEMO_MODE, reported by GET /api/health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32BF2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The deployment can be interrogated from outside the dashboard</w:t>
            </w:r>
          </w:p>
        </w:tc>
      </w:tr>
      <w:tr w:rsidR="00CC533E" w14:paraId="5959A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6124CD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Quality gates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D8A23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tsc --noEmit, ESLint 9, production build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94D5C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Kept clean on every commit</w:t>
            </w:r>
          </w:p>
        </w:tc>
      </w:tr>
    </w:tbl>
    <w:p w14:paraId="5FFA2EEC" w14:textId="77777777" w:rsidR="00CC533E" w:rsidRDefault="00CC533E">
      <w:pPr>
        <w:spacing w:after="200"/>
      </w:pPr>
    </w:p>
    <w:p w14:paraId="1BE6F345" w14:textId="77777777" w:rsidR="00CC533E" w:rsidRDefault="002860CA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lastRenderedPageBreak/>
        <w:t>Architecture</w:t>
      </w:r>
    </w:p>
    <w:p w14:paraId="060F6840" w14:textId="77777777" w:rsidR="00CC533E" w:rsidRDefault="002860CA">
      <w:pPr>
        <w:keepNext/>
        <w:keepLines/>
        <w:shd w:val="clear" w:color="auto" w:fill="F7F5F0"/>
        <w:spacing w:before="8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Officer's browser</w:t>
      </w:r>
    </w:p>
    <w:p w14:paraId="181F0BFC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│</w:t>
      </w:r>
    </w:p>
    <w:p w14:paraId="7A1B86E1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▼</w:t>
      </w:r>
    </w:p>
    <w:p w14:paraId="0D1258C2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Next.js application</w:t>
      </w:r>
    </w:p>
    <w:p w14:paraId="13E3B710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route handlers  →  tracer  →  chain client (cache · pacing · SHA-256)</w:t>
      </w:r>
    </w:p>
    <w:p w14:paraId="21F29736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        │                        │</w:t>
      </w:r>
    </w:p>
    <w:p w14:paraId="729FC782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        │                        ▼</w:t>
      </w:r>
    </w:p>
    <w:p w14:paraId="76B5BEB5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        │              TronGrid public API</w:t>
      </w:r>
    </w:p>
    <w:p w14:paraId="356228F4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        │              (TRON · USDT TRC-20)</w:t>
      </w:r>
    </w:p>
    <w:p w14:paraId="11C9F495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        ▼</w:t>
      </w:r>
    </w:p>
    <w:p w14:paraId="0BB8A6BD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attribution map  ←  data/*.json (committed)</w:t>
      </w:r>
    </w:p>
    <w:p w14:paraId="45E15363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          15 seeds · 241 deposit addresses · 334 sanctioned</w:t>
      </w:r>
    </w:p>
    <w:p w14:paraId="7048D5AD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│</w:t>
      </w:r>
    </w:p>
    <w:p w14:paraId="353A5073" w14:textId="77777777" w:rsidR="00CC533E" w:rsidRDefault="002860CA">
      <w:pPr>
        <w:keepNext/>
        <w:keepLines/>
        <w:shd w:val="clear" w:color="auto" w:fill="F7F5F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      ▼</w:t>
      </w:r>
    </w:p>
    <w:p w14:paraId="192D1655" w14:textId="77777777" w:rsidR="00CC533E" w:rsidRDefault="002860CA">
      <w:pPr>
        <w:keepLines/>
        <w:shd w:val="clear" w:color="auto" w:fill="F7F5F0"/>
        <w:spacing w:after="200"/>
        <w:ind w:left="170"/>
      </w:pPr>
      <w:r>
        <w:rPr>
          <w:rFonts w:ascii="Consolas" w:eastAsia="Consolas" w:hAnsi="Consolas" w:cs="Consolas"/>
          <w:color w:val="1A1A1A"/>
          <w:sz w:val="16"/>
          <w:szCs w:val="16"/>
        </w:rPr>
        <w:t xml:space="preserve">  Case file · Evidence packet (hashed) · Freeze request · CSV queue</w:t>
      </w:r>
    </w:p>
    <w:p w14:paraId="71BE8A73" w14:textId="77777777" w:rsidR="00CC533E" w:rsidRDefault="002860CA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Read-only. No database. No model.</w:t>
      </w:r>
    </w:p>
    <w:p w14:paraId="35D25A3C" w14:textId="77777777" w:rsidR="00CC533E" w:rsidRDefault="002860CA">
      <w:pPr>
        <w:spacing w:after="140" w:line="280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Seven endpoints: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trace (POST), trace permalink (GET, replays one run exactly), transaction lookup, wallet profile, watch check, sanctions screening for any chain, health.</w:t>
      </w:r>
    </w:p>
    <w:p w14:paraId="61DC7E65" w14:textId="77777777" w:rsidR="00CC533E" w:rsidRDefault="002860CA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Figures</w:t>
      </w:r>
    </w:p>
    <w:tbl>
      <w:tblPr>
        <w:tblW w:w="9026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625"/>
        <w:gridCol w:w="5054"/>
      </w:tblGrid>
      <w:tr w:rsidR="00CC533E" w14:paraId="2C6310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7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9D749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Figure</w:t>
            </w:r>
          </w:p>
        </w:tc>
        <w:tc>
          <w:tcPr>
            <w:tcW w:w="1625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4E94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Value</w:t>
            </w:r>
          </w:p>
        </w:tc>
        <w:tc>
          <w:tcPr>
            <w:tcW w:w="5054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5455F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Source</w:t>
            </w:r>
          </w:p>
        </w:tc>
      </w:tr>
      <w:tr w:rsidR="00CC533E" w14:paraId="5E1E1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9E0F0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Customer deposit addresses derived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751FF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241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D17262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data/deposit-addresses.json</w:t>
            </w:r>
          </w:p>
        </w:tc>
      </w:tr>
      <w:tr w:rsidR="00CC533E" w14:paraId="3F400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3EBD8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Exchanges covered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BA0FA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B52AF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distinct exchanges in that file</w:t>
            </w:r>
          </w:p>
        </w:tc>
      </w:tr>
      <w:tr w:rsidR="00CC533E" w14:paraId="4C2D7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9E527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Seed wallets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DE589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15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B97DB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data/hot-wallets.json, each with a source URL</w:t>
            </w:r>
          </w:p>
        </w:tc>
      </w:tr>
      <w:tr w:rsidR="00CC533E" w14:paraId="181B8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CC9B5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Sanctioned TRON addresses carried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C2E6D8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334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1EA7E3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OFAC SDN list published 18 Sep 2026: every entry that decodes as a TRON address (254 TRX, 79 USDT, 1 XBT)</w:t>
            </w:r>
          </w:p>
        </w:tc>
      </w:tr>
      <w:tr w:rsidR="00CC533E" w14:paraId="0F053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BA44A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Total attribution labels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CAA0D3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590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86E87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15 + 241 + 334, no overlaps</w:t>
            </w:r>
          </w:p>
        </w:tc>
      </w:tr>
      <w:tr w:rsidR="00CC533E" w14:paraId="0F053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ABA44A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Addresses screened on any chain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CAA0D3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1,043 across 20 assets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86E87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The same list; screening, not tracing</w:t>
            </w:r>
          </w:p>
        </w:tc>
      </w:tr>
      <w:tr w:rsidR="00CC533E" w14:paraId="11BF4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3AB08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Real cases frozen with response hashes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5348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10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1C60EE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data/demo-cases.json</w:t>
            </w:r>
          </w:p>
        </w:tc>
      </w:tr>
      <w:tr w:rsidR="00CC533E" w14:paraId="4AFD5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220D0E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Behavioural rules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BC519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6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5496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lib/risk.ts</w:t>
            </w:r>
          </w:p>
        </w:tc>
      </w:tr>
      <w:tr w:rsidR="00CC533E" w14:paraId="54DE9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124D1E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API endpoints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56C43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7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723A0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app/api/**</w:t>
            </w:r>
          </w:p>
        </w:tc>
      </w:tr>
      <w:tr w:rsidR="00CC533E" w14:paraId="5A304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57CDF5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Added runtime dependencies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535D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1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EC960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package.json</w:t>
            </w:r>
          </w:p>
        </w:tc>
      </w:tr>
      <w:tr w:rsidR="00CC533E" w14:paraId="4F699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7E7A1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Commercial data licences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DB60C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0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DCACA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—</w:t>
            </w:r>
          </w:p>
        </w:tc>
      </w:tr>
      <w:tr w:rsidR="00CC533E" w14:paraId="482E3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1863E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Annual running cost as deployed</w:t>
            </w:r>
          </w:p>
        </w:tc>
        <w:tc>
          <w:tcPr>
            <w:tcW w:w="162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7C434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₹</w:t>
            </w: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0</w:t>
            </w:r>
          </w:p>
        </w:tc>
        <w:tc>
          <w:tcPr>
            <w:tcW w:w="505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EC3E7" w14:textId="77777777" w:rsidR="00CC533E" w:rsidRDefault="002860CA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Render free plan, TronGrid free tier</w:t>
            </w:r>
          </w:p>
        </w:tc>
      </w:tr>
    </w:tbl>
    <w:p w14:paraId="2F7CC918" w14:textId="77777777" w:rsidR="00CC533E" w:rsidRDefault="00CC533E">
      <w:pPr>
        <w:spacing w:after="200"/>
      </w:pPr>
    </w:p>
    <w:p w14:paraId="613B76E2" w14:textId="77777777" w:rsidR="00CC533E" w:rsidRDefault="002860CA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lastRenderedPageBreak/>
        <w:t>State these precisely</w:t>
      </w:r>
    </w:p>
    <w:p w14:paraId="414C9BC9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Confidence measures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how much sweep evidence was seen</w:t>
      </w:r>
      <w:r>
        <w:rPr>
          <w:rFonts w:ascii="Segoe UI" w:eastAsia="Segoe UI" w:hAnsi="Segoe UI" w:cs="Segoe UI"/>
          <w:color w:val="1A1A1A"/>
          <w:sz w:val="21"/>
          <w:szCs w:val="21"/>
        </w:rPr>
        <w:t>, not accuracy.</w:t>
      </w:r>
    </w:p>
    <w:p w14:paraId="33014623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The tool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names a deposit address; only the exchange can confirm who holds it</w:t>
      </w:r>
      <w:r>
        <w:rPr>
          <w:rFonts w:ascii="Segoe UI" w:eastAsia="Segoe UI" w:hAnsi="Segoe UI" w:cs="Segoe UI"/>
          <w:color w:val="1A1A1A"/>
          <w:sz w:val="21"/>
          <w:szCs w:val="21"/>
        </w:rPr>
        <w:t>.</w:t>
      </w:r>
    </w:p>
    <w:p w14:paraId="52EC7791" w14:textId="77777777" w:rsidR="00CC533E" w:rsidRDefault="002860CA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No Indian exchange is publicly tagged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— we scanned 2,500 tagged accounts and the scan is committed.</w:t>
      </w:r>
    </w:p>
    <w:p w14:paraId="54B3E11F" w14:textId="77777777" w:rsidR="00CC533E" w:rsidRDefault="002860CA">
      <w:pPr>
        <w:pStyle w:val="ListParagraph"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No integration with NCRP or SAHYOG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exists; it is listed as not built.</w:t>
      </w:r>
    </w:p>
    <w:sectPr w:rsidR="00CC533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587A" w14:textId="77777777" w:rsidR="002860CA" w:rsidRDefault="002860CA">
      <w:r>
        <w:separator/>
      </w:r>
    </w:p>
  </w:endnote>
  <w:endnote w:type="continuationSeparator" w:id="0">
    <w:p w14:paraId="46A4ABFC" w14:textId="77777777" w:rsidR="002860CA" w:rsidRDefault="00286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686B" w14:textId="77777777" w:rsidR="00CC533E" w:rsidRDefault="002860CA">
    <w:pPr>
      <w:pBdr>
        <w:top w:val="single" w:sz="4" w:space="8" w:color="C9C2B4"/>
      </w:pBdr>
    </w:pPr>
    <w:r>
      <w:rPr>
        <w:rFonts w:ascii="Segoe UI" w:eastAsia="Segoe UI" w:hAnsi="Segoe UI" w:cs="Segoe UI"/>
        <w:color w:val="55514B"/>
        <w:sz w:val="15"/>
        <w:szCs w:val="15"/>
      </w:rPr>
      <w:t>SIH 2026 · PS 26183 · FineX — Final Tech Stack</w:t>
    </w:r>
    <w:r>
      <w:rPr>
        <w:rFonts w:ascii="Segoe UI" w:eastAsia="Segoe UI" w:hAnsi="Segoe UI" w:cs="Segoe UI"/>
        <w:color w:val="55514B"/>
        <w:sz w:val="15"/>
        <w:szCs w:val="15"/>
      </w:rPr>
      <w:ptab w:relativeTo="margin" w:alignment="right" w:leader="none"/>
    </w:r>
    <w:r>
      <w:rPr>
        <w:rFonts w:ascii="Segoe UI" w:eastAsia="Segoe UI" w:hAnsi="Segoe UI" w:cs="Segoe UI"/>
        <w:color w:val="55514B"/>
        <w:sz w:val="15"/>
        <w:szCs w:val="15"/>
      </w:rPr>
      <w:fldChar w:fldCharType="begin"/>
    </w:r>
    <w:r>
      <w:rPr>
        <w:rFonts w:ascii="Segoe UI" w:eastAsia="Segoe UI" w:hAnsi="Segoe UI" w:cs="Segoe UI"/>
        <w:color w:val="55514B"/>
        <w:sz w:val="15"/>
        <w:szCs w:val="15"/>
      </w:rPr>
      <w:instrText>PAGE</w:instrText>
    </w:r>
    <w:r>
      <w:rPr>
        <w:rFonts w:ascii="Segoe UI" w:eastAsia="Segoe UI" w:hAnsi="Segoe UI" w:cs="Segoe UI"/>
        <w:color w:val="55514B"/>
        <w:sz w:val="15"/>
        <w:szCs w:val="15"/>
      </w:rPr>
      <w:fldChar w:fldCharType="separate"/>
    </w:r>
    <w:r w:rsidR="00E643F8">
      <w:rPr>
        <w:rFonts w:ascii="Segoe UI" w:eastAsia="Segoe UI" w:hAnsi="Segoe UI" w:cs="Segoe UI"/>
        <w:noProof/>
        <w:color w:val="55514B"/>
        <w:sz w:val="15"/>
        <w:szCs w:val="15"/>
      </w:rPr>
      <w:t>1</w:t>
    </w:r>
    <w:r>
      <w:rPr>
        <w:rFonts w:ascii="Segoe UI" w:eastAsia="Segoe UI" w:hAnsi="Segoe UI" w:cs="Segoe UI"/>
        <w:color w:val="55514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67778" w14:textId="77777777" w:rsidR="002860CA" w:rsidRDefault="002860CA">
      <w:r>
        <w:separator/>
      </w:r>
    </w:p>
  </w:footnote>
  <w:footnote w:type="continuationSeparator" w:id="0">
    <w:p w14:paraId="605EF972" w14:textId="77777777" w:rsidR="002860CA" w:rsidRDefault="00286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907F4"/>
    <w:multiLevelType w:val="hybridMultilevel"/>
    <w:tmpl w:val="80D26FA4"/>
    <w:lvl w:ilvl="0" w:tplc="7C14B0E6">
      <w:start w:val="1"/>
      <w:numFmt w:val="bullet"/>
      <w:lvlText w:val="•"/>
      <w:lvlJc w:val="left"/>
      <w:pPr>
        <w:ind w:left="300" w:hanging="200"/>
      </w:pPr>
      <w:rPr>
        <w:color w:val="8A6A2F"/>
      </w:rPr>
    </w:lvl>
    <w:lvl w:ilvl="1" w:tplc="F20A1EBC">
      <w:start w:val="1"/>
      <w:numFmt w:val="bullet"/>
      <w:lvlText w:val="–"/>
      <w:lvlJc w:val="left"/>
      <w:pPr>
        <w:ind w:left="620" w:hanging="200"/>
      </w:pPr>
      <w:rPr>
        <w:color w:val="8A6A2F"/>
      </w:rPr>
    </w:lvl>
    <w:lvl w:ilvl="2" w:tplc="54547BF4">
      <w:numFmt w:val="decimal"/>
      <w:lvlText w:val=""/>
      <w:lvlJc w:val="left"/>
    </w:lvl>
    <w:lvl w:ilvl="3" w:tplc="9F68C4EE">
      <w:numFmt w:val="decimal"/>
      <w:lvlText w:val=""/>
      <w:lvlJc w:val="left"/>
    </w:lvl>
    <w:lvl w:ilvl="4" w:tplc="5AAE1FBE">
      <w:numFmt w:val="decimal"/>
      <w:lvlText w:val=""/>
      <w:lvlJc w:val="left"/>
    </w:lvl>
    <w:lvl w:ilvl="5" w:tplc="3DB602EA">
      <w:numFmt w:val="decimal"/>
      <w:lvlText w:val=""/>
      <w:lvlJc w:val="left"/>
    </w:lvl>
    <w:lvl w:ilvl="6" w:tplc="1452F91C">
      <w:numFmt w:val="decimal"/>
      <w:lvlText w:val=""/>
      <w:lvlJc w:val="left"/>
    </w:lvl>
    <w:lvl w:ilvl="7" w:tplc="5F2A2190">
      <w:numFmt w:val="decimal"/>
      <w:lvlText w:val=""/>
      <w:lvlJc w:val="left"/>
    </w:lvl>
    <w:lvl w:ilvl="8" w:tplc="1D64C790">
      <w:numFmt w:val="decimal"/>
      <w:lvlText w:val=""/>
      <w:lvlJc w:val="left"/>
    </w:lvl>
  </w:abstractNum>
  <w:abstractNum w:abstractNumId="1" w15:restartNumberingAfterBreak="0">
    <w:nsid w:val="3D7F64DD"/>
    <w:multiLevelType w:val="hybridMultilevel"/>
    <w:tmpl w:val="975E7E2A"/>
    <w:lvl w:ilvl="0" w:tplc="7C926D64">
      <w:start w:val="1"/>
      <w:numFmt w:val="bullet"/>
      <w:lvlText w:val="●"/>
      <w:lvlJc w:val="left"/>
      <w:pPr>
        <w:ind w:left="720" w:hanging="360"/>
      </w:pPr>
    </w:lvl>
    <w:lvl w:ilvl="1" w:tplc="1D025244">
      <w:start w:val="1"/>
      <w:numFmt w:val="bullet"/>
      <w:lvlText w:val="○"/>
      <w:lvlJc w:val="left"/>
      <w:pPr>
        <w:ind w:left="1440" w:hanging="360"/>
      </w:pPr>
    </w:lvl>
    <w:lvl w:ilvl="2" w:tplc="6EF42774">
      <w:start w:val="1"/>
      <w:numFmt w:val="bullet"/>
      <w:lvlText w:val="■"/>
      <w:lvlJc w:val="left"/>
      <w:pPr>
        <w:ind w:left="2160" w:hanging="360"/>
      </w:pPr>
    </w:lvl>
    <w:lvl w:ilvl="3" w:tplc="D9D67B8C">
      <w:start w:val="1"/>
      <w:numFmt w:val="bullet"/>
      <w:lvlText w:val="●"/>
      <w:lvlJc w:val="left"/>
      <w:pPr>
        <w:ind w:left="2880" w:hanging="360"/>
      </w:pPr>
    </w:lvl>
    <w:lvl w:ilvl="4" w:tplc="2EE68F8C">
      <w:start w:val="1"/>
      <w:numFmt w:val="bullet"/>
      <w:lvlText w:val="○"/>
      <w:lvlJc w:val="left"/>
      <w:pPr>
        <w:ind w:left="3600" w:hanging="360"/>
      </w:pPr>
    </w:lvl>
    <w:lvl w:ilvl="5" w:tplc="6A7207DC">
      <w:start w:val="1"/>
      <w:numFmt w:val="bullet"/>
      <w:lvlText w:val="■"/>
      <w:lvlJc w:val="left"/>
      <w:pPr>
        <w:ind w:left="4320" w:hanging="360"/>
      </w:pPr>
    </w:lvl>
    <w:lvl w:ilvl="6" w:tplc="FBCEB732">
      <w:start w:val="1"/>
      <w:numFmt w:val="bullet"/>
      <w:lvlText w:val="●"/>
      <w:lvlJc w:val="left"/>
      <w:pPr>
        <w:ind w:left="5040" w:hanging="360"/>
      </w:pPr>
    </w:lvl>
    <w:lvl w:ilvl="7" w:tplc="9F6C905A">
      <w:start w:val="1"/>
      <w:numFmt w:val="bullet"/>
      <w:lvlText w:val="●"/>
      <w:lvlJc w:val="left"/>
      <w:pPr>
        <w:ind w:left="5760" w:hanging="360"/>
      </w:pPr>
    </w:lvl>
    <w:lvl w:ilvl="8" w:tplc="46A0DC64">
      <w:start w:val="1"/>
      <w:numFmt w:val="bullet"/>
      <w:lvlText w:val="●"/>
      <w:lvlJc w:val="left"/>
      <w:pPr>
        <w:ind w:left="6480" w:hanging="360"/>
      </w:pPr>
    </w:lvl>
  </w:abstractNum>
  <w:num w:numId="1" w16cid:durableId="969672079">
    <w:abstractNumId w:val="1"/>
    <w:lvlOverride w:ilvl="0">
      <w:startOverride w:val="1"/>
    </w:lvlOverride>
  </w:num>
  <w:num w:numId="2" w16cid:durableId="1489588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33E"/>
    <w:rsid w:val="00077A87"/>
    <w:rsid w:val="002860CA"/>
    <w:rsid w:val="00CC533E"/>
    <w:rsid w:val="00E6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0B554"/>
  <w15:docId w15:val="{87191B06-ED58-4C2A-AECD-5BDD35AE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652</Words>
  <Characters>3536</Characters>
  <Application>Microsoft Office Word</Application>
  <DocSecurity>0</DocSecurity>
  <Lines>173</Lines>
  <Paragraphs>126</Paragraphs>
  <ScaleCrop>false</ScaleCrop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FineX — Final Tech Stack</dc:title>
  <dc:creator>FineX — Team FineX</dc:creator>
  <dc:description>Source material for the SIH presentation · every figure counted from the committed repository, 21 September 2026</dc:description>
  <cp:lastModifiedBy>Mirza Ali</cp:lastModifiedBy>
  <cp:revision>2</cp:revision>
  <cp:lastPrinted>2026-09-21T13:07:00Z</cp:lastPrinted>
  <dcterms:created xsi:type="dcterms:W3CDTF">2026-09-21T13:07:00Z</dcterms:created>
  <dcterms:modified xsi:type="dcterms:W3CDTF">2026-09-21T13:07:00Z</dcterms:modified>
</cp:coreProperties>
</file>