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F02D2" w14:textId="776A3C7C" w:rsidR="0044337A" w:rsidRDefault="00675049" w:rsidP="0044337A">
      <w:pPr>
        <w:spacing w:line="240" w:lineRule="auto"/>
      </w:pPr>
      <w:r>
        <w:rPr>
          <w:rStyle w:val="Strong"/>
          <w:rFonts w:ascii="Calibri" w:hAnsi="Calibri" w:cs="Calibri"/>
        </w:rPr>
        <w:t>Comments from the Reviewers:</w:t>
      </w:r>
      <w:r w:rsidR="005B20F8">
        <w:br/>
      </w:r>
    </w:p>
    <w:p w14:paraId="3FB0803B" w14:textId="77777777" w:rsidR="0044337A" w:rsidRDefault="0044337A" w:rsidP="0044337A">
      <w:pPr>
        <w:spacing w:line="240" w:lineRule="auto"/>
      </w:pPr>
      <w:r w:rsidRPr="00686DED">
        <w:rPr>
          <w:b/>
          <w:bCs/>
        </w:rPr>
        <w:t>Reviewer 1</w:t>
      </w:r>
      <w:r>
        <w:t>: The manuscript by Virtanen et al investigates a difficult and important question of whether variation in enteric nervous system (ENS) anatomy and cellular constitution is likely to correlate to interindividual gastrointestinal (GI) functional differences or even predisposition of dysfunction. The major finding is that GDNF signaling intensity is linked to both enhanced generic differentiation and specific differentiation of nitrergic neurons. The authors assemble RNA-seq data of human gut tissue from different individuals and identifies a positive correlation between GDNF and neuron markers (Pgp9.5 and Elavl4) and specific markers (NOS1, VIP, GAL), while Chat levels did not correlate to GDNF. The intestine of animals with an Gdnf-hypermorph had a denser network of neurons and a relative increase of NOS1 neurons. Interestingly, the GI-function of GDNF hypermorph mice was altered in relation to stool-size/water content, transit time, mucosal permeability and proinflammatory genes (increase). Based on previous scRNA-seq atlases from mouse and human embryos and postnatal stages, transcription factors involved in NOS1+ neuron differentiation was acquired and tested for their possible involvement in GDNF-induced ENS differentiation. Combinations of GDNF exposure in combination with shRNA-mediated suppression of candidate transcription factors demonstrated that Etv1 as a likely transcription factor acting downstream of Gdnf to promote NOS1+ neuron differentiation. This study is neat, clearly presented and shows that inter-individual levels of growth factors could play a role in the formation of the ENS cell type composition. Only relatively minor issues remain to be addressed as summarized below.</w:t>
      </w:r>
      <w:r w:rsidR="005B20F8">
        <w:br/>
      </w:r>
    </w:p>
    <w:p w14:paraId="1D76BACA" w14:textId="0F278CD1" w:rsidR="0044337A" w:rsidRPr="00686DED" w:rsidRDefault="0044337A" w:rsidP="0044337A">
      <w:pPr>
        <w:spacing w:line="240" w:lineRule="auto"/>
        <w:rPr>
          <w:i/>
          <w:iCs/>
          <w:color w:val="2F5496" w:themeColor="accent1" w:themeShade="BF"/>
        </w:rPr>
      </w:pPr>
      <w:r w:rsidRPr="00686DED">
        <w:rPr>
          <w:i/>
          <w:iCs/>
          <w:color w:val="2F5496" w:themeColor="accent1" w:themeShade="BF"/>
        </w:rPr>
        <w:t>ANSWER: We thank the reviewer for appreciating our work. Please see our point-by-point responses below.</w:t>
      </w:r>
    </w:p>
    <w:p w14:paraId="0A985E09" w14:textId="0B328C6C" w:rsidR="00675049" w:rsidRDefault="005B20F8" w:rsidP="0044337A">
      <w:pPr>
        <w:spacing w:line="240" w:lineRule="auto"/>
      </w:pPr>
      <w:r>
        <w:br/>
      </w:r>
      <w:r w:rsidR="00675049">
        <w:t>Issues:</w:t>
      </w:r>
      <w:r w:rsidR="00675049">
        <w:br/>
        <w:t xml:space="preserve">1) Considering the increase in neuronal mass in Gdnf hyperallelle mice </w:t>
      </w:r>
      <w:r w:rsidR="00334F40">
        <w:t>it’s</w:t>
      </w:r>
      <w:r w:rsidR="00675049">
        <w:t xml:space="preserve"> important to confidently ascertain that there is a relative increase of NOS1+ neurons in comparison to non-NOS1+ neurons. </w:t>
      </w:r>
      <w:r w:rsidR="00334F40">
        <w:t>Thus,</w:t>
      </w:r>
      <w:r w:rsidR="00675049">
        <w:t xml:space="preserve"> it would be appropriate to assess the percentage of HUD cells expressing NOS1 in the wt versus Gdnf hyperallelle mice (relates to Fig 1K-N).</w:t>
      </w:r>
    </w:p>
    <w:p w14:paraId="318F96BB" w14:textId="4F220CC6" w:rsidR="00CA622F" w:rsidRPr="00686DED" w:rsidRDefault="005F25B7" w:rsidP="005F25B7">
      <w:pPr>
        <w:spacing w:line="240" w:lineRule="auto"/>
        <w:rPr>
          <w:i/>
          <w:color w:val="2F5496" w:themeColor="accent1" w:themeShade="BF"/>
        </w:rPr>
      </w:pPr>
      <w:r w:rsidRPr="00686DED">
        <w:rPr>
          <w:i/>
          <w:color w:val="2F5496" w:themeColor="accent1" w:themeShade="BF"/>
        </w:rPr>
        <w:t xml:space="preserve">ANSWER: </w:t>
      </w:r>
      <w:r w:rsidR="002D3B0C" w:rsidRPr="00686DED">
        <w:rPr>
          <w:i/>
          <w:color w:val="2F5496" w:themeColor="accent1" w:themeShade="BF"/>
        </w:rPr>
        <w:t xml:space="preserve">We agree with the reviewer </w:t>
      </w:r>
      <w:r w:rsidR="00E10FD7" w:rsidRPr="00686DED">
        <w:rPr>
          <w:i/>
          <w:color w:val="2F5496" w:themeColor="accent1" w:themeShade="BF"/>
        </w:rPr>
        <w:t>and have now done this analysis</w:t>
      </w:r>
      <w:r w:rsidR="00DB7372" w:rsidRPr="00686DED">
        <w:rPr>
          <w:i/>
          <w:color w:val="2F5496" w:themeColor="accent1" w:themeShade="BF"/>
        </w:rPr>
        <w:t xml:space="preserve"> in adult mice</w:t>
      </w:r>
      <w:r w:rsidR="002D3B0C" w:rsidRPr="00686DED">
        <w:rPr>
          <w:i/>
          <w:color w:val="2F5496" w:themeColor="accent1" w:themeShade="BF"/>
        </w:rPr>
        <w:t xml:space="preserve">. </w:t>
      </w:r>
      <w:r w:rsidR="00CA622F" w:rsidRPr="00686DED">
        <w:rPr>
          <w:i/>
          <w:color w:val="2F5496" w:themeColor="accent1" w:themeShade="BF"/>
        </w:rPr>
        <w:t>We observe 30% relative increase in NOS1+ neurons (Figure 1P). Additionally, we analysed Calretinin neurons, but</w:t>
      </w:r>
      <w:r w:rsidR="00F11E07" w:rsidRPr="00686DED">
        <w:rPr>
          <w:i/>
          <w:color w:val="2F5496" w:themeColor="accent1" w:themeShade="BF"/>
        </w:rPr>
        <w:t xml:space="preserve"> found no</w:t>
      </w:r>
      <w:r w:rsidR="00CA622F" w:rsidRPr="00686DED">
        <w:rPr>
          <w:i/>
          <w:color w:val="2F5496" w:themeColor="accent1" w:themeShade="BF"/>
        </w:rPr>
        <w:t xml:space="preserve"> relative increase</w:t>
      </w:r>
      <w:r w:rsidR="00F11E07" w:rsidRPr="00686DED">
        <w:rPr>
          <w:i/>
          <w:color w:val="2F5496" w:themeColor="accent1" w:themeShade="BF"/>
        </w:rPr>
        <w:t xml:space="preserve"> (Supplementary Figure 1E)</w:t>
      </w:r>
      <w:r w:rsidR="00CA622F" w:rsidRPr="00686DED">
        <w:rPr>
          <w:i/>
          <w:color w:val="2F5496" w:themeColor="accent1" w:themeShade="BF"/>
        </w:rPr>
        <w:t xml:space="preserve">. </w:t>
      </w:r>
      <w:r w:rsidR="00DB7372" w:rsidRPr="00686DED">
        <w:rPr>
          <w:i/>
          <w:color w:val="2F5496" w:themeColor="accent1" w:themeShade="BF"/>
        </w:rPr>
        <w:t xml:space="preserve"> </w:t>
      </w:r>
    </w:p>
    <w:p w14:paraId="5AF0777F" w14:textId="78D58EF1" w:rsidR="00DE5B72" w:rsidRDefault="00675049" w:rsidP="005F25B7">
      <w:pPr>
        <w:spacing w:line="240" w:lineRule="auto"/>
      </w:pPr>
      <w:r>
        <w:t>2) It is not completely clear why Etv3 was used as a negative control, given that the expression of this gene is very sparse in the developing and adult ENS.</w:t>
      </w:r>
    </w:p>
    <w:p w14:paraId="33D9B45B" w14:textId="564A46C9" w:rsidR="00425488" w:rsidRPr="00686DED" w:rsidRDefault="005F25B7" w:rsidP="005F25B7">
      <w:pPr>
        <w:spacing w:line="240" w:lineRule="auto"/>
        <w:rPr>
          <w:i/>
          <w:color w:val="2F5496" w:themeColor="accent1" w:themeShade="BF"/>
        </w:rPr>
      </w:pPr>
      <w:r w:rsidRPr="00686DED">
        <w:rPr>
          <w:i/>
          <w:color w:val="2F5496" w:themeColor="accent1" w:themeShade="BF"/>
        </w:rPr>
        <w:t xml:space="preserve">ANSWER: </w:t>
      </w:r>
      <w:r w:rsidR="00425488" w:rsidRPr="00686DED">
        <w:rPr>
          <w:i/>
          <w:color w:val="2F5496" w:themeColor="accent1" w:themeShade="BF"/>
        </w:rPr>
        <w:t xml:space="preserve">Etv3 was used as </w:t>
      </w:r>
      <w:r w:rsidR="007E19D3" w:rsidRPr="00686DED">
        <w:rPr>
          <w:i/>
          <w:color w:val="2F5496" w:themeColor="accent1" w:themeShade="BF"/>
        </w:rPr>
        <w:t xml:space="preserve">a </w:t>
      </w:r>
      <w:r w:rsidR="00425488" w:rsidRPr="00686DED">
        <w:rPr>
          <w:i/>
          <w:color w:val="2F5496" w:themeColor="accent1" w:themeShade="BF"/>
        </w:rPr>
        <w:t xml:space="preserve">negative control indeed </w:t>
      </w:r>
      <w:r w:rsidR="007E19D3" w:rsidRPr="00686DED">
        <w:rPr>
          <w:i/>
          <w:color w:val="2F5496" w:themeColor="accent1" w:themeShade="BF"/>
        </w:rPr>
        <w:t xml:space="preserve">for this reason, </w:t>
      </w:r>
      <w:r w:rsidR="00425488" w:rsidRPr="00686DED">
        <w:rPr>
          <w:i/>
          <w:color w:val="2F5496" w:themeColor="accent1" w:themeShade="BF"/>
        </w:rPr>
        <w:t>because of its sparse expression in the ENS</w:t>
      </w:r>
      <w:r w:rsidR="004B4504" w:rsidRPr="00686DED">
        <w:rPr>
          <w:i/>
          <w:color w:val="2F5496" w:themeColor="accent1" w:themeShade="BF"/>
        </w:rPr>
        <w:t xml:space="preserve"> as was highlighted by the reviewer</w:t>
      </w:r>
      <w:r w:rsidR="00FD644B" w:rsidRPr="00686DED">
        <w:rPr>
          <w:i/>
          <w:color w:val="2F5496" w:themeColor="accent1" w:themeShade="BF"/>
        </w:rPr>
        <w:t>.</w:t>
      </w:r>
      <w:r w:rsidR="00425488" w:rsidRPr="00686DED">
        <w:rPr>
          <w:i/>
          <w:color w:val="2F5496" w:themeColor="accent1" w:themeShade="BF"/>
        </w:rPr>
        <w:t xml:space="preserve"> </w:t>
      </w:r>
      <w:r w:rsidR="007E19D3" w:rsidRPr="00686DED">
        <w:rPr>
          <w:i/>
          <w:color w:val="2F5496" w:themeColor="accent1" w:themeShade="BF"/>
        </w:rPr>
        <w:t xml:space="preserve">Similarly, we chose Casz1 as a negative control </w:t>
      </w:r>
      <w:r w:rsidR="00A27E47" w:rsidRPr="00686DED">
        <w:rPr>
          <w:i/>
          <w:color w:val="2F5496" w:themeColor="accent1" w:themeShade="BF"/>
        </w:rPr>
        <w:t>for</w:t>
      </w:r>
      <w:r w:rsidR="007E19D3" w:rsidRPr="00686DED">
        <w:rPr>
          <w:i/>
          <w:color w:val="2F5496" w:themeColor="accent1" w:themeShade="BF"/>
        </w:rPr>
        <w:t xml:space="preserve"> denot</w:t>
      </w:r>
      <w:r w:rsidR="00A27E47" w:rsidRPr="00686DED">
        <w:rPr>
          <w:i/>
          <w:color w:val="2F5496" w:themeColor="accent1" w:themeShade="BF"/>
        </w:rPr>
        <w:t>ing</w:t>
      </w:r>
      <w:r w:rsidR="007E19D3" w:rsidRPr="00686DED">
        <w:rPr>
          <w:i/>
          <w:color w:val="2F5496" w:themeColor="accent1" w:themeShade="BF"/>
        </w:rPr>
        <w:t xml:space="preserve"> NOS+ population</w:t>
      </w:r>
      <w:r w:rsidR="008C6820" w:rsidRPr="00686DED">
        <w:rPr>
          <w:i/>
          <w:color w:val="2F5496" w:themeColor="accent1" w:themeShade="BF"/>
        </w:rPr>
        <w:t xml:space="preserve"> -</w:t>
      </w:r>
      <w:r w:rsidR="006C15AD" w:rsidRPr="00686DED">
        <w:rPr>
          <w:i/>
          <w:color w:val="2F5496" w:themeColor="accent1" w:themeShade="BF"/>
        </w:rPr>
        <w:t xml:space="preserve"> </w:t>
      </w:r>
      <w:r w:rsidR="008C6820" w:rsidRPr="00686DED">
        <w:rPr>
          <w:i/>
          <w:color w:val="2F5496" w:themeColor="accent1" w:themeShade="BF"/>
        </w:rPr>
        <w:t>it is sparsely expressed in NOS+ neurons (Figure 6A).</w:t>
      </w:r>
      <w:r w:rsidR="007E19D3" w:rsidRPr="00686DED">
        <w:rPr>
          <w:i/>
          <w:color w:val="2F5496" w:themeColor="accent1" w:themeShade="BF"/>
        </w:rPr>
        <w:t xml:space="preserve"> </w:t>
      </w:r>
    </w:p>
    <w:p w14:paraId="3C0BDB90" w14:textId="762E219E" w:rsidR="00DE5B72" w:rsidRDefault="00675049" w:rsidP="005F25B7">
      <w:pPr>
        <w:spacing w:line="240" w:lineRule="auto"/>
      </w:pPr>
      <w:r>
        <w:t>3) Citations: Morarach et al (#24) recognized Etv1, Tbx3 and Casz1 as plausible regulatory genes in the neurogenic branching while the current manuscript only mentions Zeisel et al and Wright et al. Similarly, Wright et al recognized the correlation to Casz1 and cholinergic neurons (includes even an analysed Casz1 mutant mice), while this is not cited in the current manuscript. Moreover, Zfhx4 is not mentioned in Wright et al, only Zfhx3. Why was Zfhx4 picked and not Zfhx3?</w:t>
      </w:r>
    </w:p>
    <w:p w14:paraId="34AAF284" w14:textId="5EF420E8" w:rsidR="005F25B7" w:rsidRPr="00686DED" w:rsidRDefault="005F25B7" w:rsidP="005F25B7">
      <w:pPr>
        <w:spacing w:line="240" w:lineRule="auto"/>
        <w:contextualSpacing/>
        <w:rPr>
          <w:b/>
          <w:i/>
          <w:iCs/>
          <w:color w:val="2F5496" w:themeColor="accent1" w:themeShade="BF"/>
          <w:sz w:val="20"/>
          <w:szCs w:val="20"/>
          <w:lang w:val="en-US"/>
        </w:rPr>
      </w:pPr>
      <w:r w:rsidRPr="00686DED">
        <w:rPr>
          <w:i/>
          <w:color w:val="2F5496" w:themeColor="accent1" w:themeShade="BF"/>
        </w:rPr>
        <w:t xml:space="preserve">ANSWER: </w:t>
      </w:r>
      <w:r w:rsidR="004B4504" w:rsidRPr="00686DED">
        <w:rPr>
          <w:i/>
          <w:color w:val="2F5496" w:themeColor="accent1" w:themeShade="BF"/>
        </w:rPr>
        <w:t xml:space="preserve">We </w:t>
      </w:r>
      <w:r w:rsidR="00A27E47" w:rsidRPr="00686DED">
        <w:rPr>
          <w:i/>
          <w:color w:val="2F5496" w:themeColor="accent1" w:themeShade="BF"/>
        </w:rPr>
        <w:t xml:space="preserve">agree with the reviewer and have now corrected the citation. Morarach et al is </w:t>
      </w:r>
      <w:r w:rsidR="00BA70DF" w:rsidRPr="00686DED">
        <w:rPr>
          <w:i/>
          <w:color w:val="2F5496" w:themeColor="accent1" w:themeShade="BF"/>
        </w:rPr>
        <w:t xml:space="preserve">now </w:t>
      </w:r>
      <w:r w:rsidR="00A27E47" w:rsidRPr="00686DED">
        <w:rPr>
          <w:i/>
          <w:color w:val="2F5496" w:themeColor="accent1" w:themeShade="BF"/>
        </w:rPr>
        <w:t xml:space="preserve">included as suggested. We have now </w:t>
      </w:r>
      <w:r w:rsidR="006D54CD" w:rsidRPr="00686DED">
        <w:rPr>
          <w:i/>
          <w:color w:val="2F5496" w:themeColor="accent1" w:themeShade="BF"/>
        </w:rPr>
        <w:t xml:space="preserve">also </w:t>
      </w:r>
      <w:r w:rsidR="00A27E47" w:rsidRPr="00686DED">
        <w:rPr>
          <w:i/>
          <w:color w:val="2F5496" w:themeColor="accent1" w:themeShade="BF"/>
        </w:rPr>
        <w:t xml:space="preserve">further opened work with Casz1 in Wright et </w:t>
      </w:r>
      <w:r w:rsidR="00334F40" w:rsidRPr="00686DED">
        <w:rPr>
          <w:i/>
          <w:color w:val="2F5496" w:themeColor="accent1" w:themeShade="BF"/>
        </w:rPr>
        <w:t xml:space="preserve">al </w:t>
      </w:r>
      <w:r w:rsidR="006D54CD" w:rsidRPr="00686DED">
        <w:rPr>
          <w:i/>
          <w:color w:val="2F5496" w:themeColor="accent1" w:themeShade="BF"/>
        </w:rPr>
        <w:t>as suggested</w:t>
      </w:r>
      <w:r w:rsidR="00A27E47" w:rsidRPr="00686DED">
        <w:rPr>
          <w:i/>
          <w:color w:val="2F5496" w:themeColor="accent1" w:themeShade="BF"/>
        </w:rPr>
        <w:t xml:space="preserve">. </w:t>
      </w:r>
      <w:r w:rsidR="008C6820" w:rsidRPr="00686DED">
        <w:rPr>
          <w:i/>
          <w:color w:val="2F5496" w:themeColor="accent1" w:themeShade="BF"/>
        </w:rPr>
        <w:t xml:space="preserve">We acknowledge reviewers concern </w:t>
      </w:r>
      <w:r w:rsidR="004B4504" w:rsidRPr="00686DED">
        <w:rPr>
          <w:i/>
          <w:color w:val="2F5496" w:themeColor="accent1" w:themeShade="BF"/>
        </w:rPr>
        <w:t xml:space="preserve">about not including Zfhx3. </w:t>
      </w:r>
      <w:r w:rsidR="006D54CD" w:rsidRPr="00686DED">
        <w:rPr>
          <w:i/>
          <w:color w:val="2F5496" w:themeColor="accent1" w:themeShade="BF"/>
        </w:rPr>
        <w:t>B</w:t>
      </w:r>
      <w:r w:rsidR="00C1319D" w:rsidRPr="00686DED">
        <w:rPr>
          <w:i/>
          <w:color w:val="2F5496" w:themeColor="accent1" w:themeShade="BF"/>
        </w:rPr>
        <w:t>ased on</w:t>
      </w:r>
      <w:r w:rsidR="00F826F5" w:rsidRPr="00686DED">
        <w:rPr>
          <w:i/>
          <w:color w:val="2F5496" w:themeColor="accent1" w:themeShade="BF"/>
        </w:rPr>
        <w:t xml:space="preserve"> Wright et al </w:t>
      </w:r>
      <w:r w:rsidR="006D54CD" w:rsidRPr="00686DED">
        <w:rPr>
          <w:i/>
          <w:color w:val="2F5496" w:themeColor="accent1" w:themeShade="BF"/>
        </w:rPr>
        <w:t>(P</w:t>
      </w:r>
      <w:r w:rsidR="00847077" w:rsidRPr="00686DED">
        <w:rPr>
          <w:i/>
          <w:color w:val="2F5496" w:themeColor="accent1" w:themeShade="BF"/>
        </w:rPr>
        <w:t xml:space="preserve">lease </w:t>
      </w:r>
      <w:r w:rsidR="00F826F5" w:rsidRPr="00686DED">
        <w:rPr>
          <w:i/>
          <w:color w:val="2F5496" w:themeColor="accent1" w:themeShade="BF"/>
        </w:rPr>
        <w:t xml:space="preserve">see </w:t>
      </w:r>
      <w:r w:rsidR="00847077" w:rsidRPr="00686DED">
        <w:rPr>
          <w:i/>
          <w:color w:val="2F5496" w:themeColor="accent1" w:themeShade="BF"/>
        </w:rPr>
        <w:t xml:space="preserve">the screen capture of Figure 7 </w:t>
      </w:r>
      <w:r w:rsidR="006D54CD" w:rsidRPr="00686DED">
        <w:rPr>
          <w:i/>
          <w:color w:val="2F5496" w:themeColor="accent1" w:themeShade="BF"/>
        </w:rPr>
        <w:t xml:space="preserve">from Wright et al </w:t>
      </w:r>
      <w:r w:rsidR="00F826F5" w:rsidRPr="00686DED">
        <w:rPr>
          <w:i/>
          <w:color w:val="2F5496" w:themeColor="accent1" w:themeShade="BF"/>
        </w:rPr>
        <w:t>below)</w:t>
      </w:r>
      <w:r w:rsidR="00C1319D" w:rsidRPr="00686DED">
        <w:rPr>
          <w:i/>
          <w:color w:val="2F5496" w:themeColor="accent1" w:themeShade="BF"/>
        </w:rPr>
        <w:t xml:space="preserve"> </w:t>
      </w:r>
      <w:r w:rsidR="00F826F5" w:rsidRPr="00686DED">
        <w:rPr>
          <w:i/>
          <w:color w:val="2F5496" w:themeColor="accent1" w:themeShade="BF"/>
        </w:rPr>
        <w:t>Zfhx4 is</w:t>
      </w:r>
      <w:r w:rsidR="00C1319D" w:rsidRPr="00686DED">
        <w:rPr>
          <w:i/>
          <w:color w:val="2F5496" w:themeColor="accent1" w:themeShade="BF"/>
        </w:rPr>
        <w:t xml:space="preserve"> enriched in </w:t>
      </w:r>
      <w:r w:rsidR="00840ADC" w:rsidRPr="00686DED">
        <w:rPr>
          <w:i/>
          <w:color w:val="2F5496" w:themeColor="accent1" w:themeShade="BF"/>
        </w:rPr>
        <w:t>N</w:t>
      </w:r>
      <w:r w:rsidR="00C1319D" w:rsidRPr="00686DED">
        <w:rPr>
          <w:i/>
          <w:color w:val="2F5496" w:themeColor="accent1" w:themeShade="BF"/>
        </w:rPr>
        <w:t xml:space="preserve">os1 neurons, but </w:t>
      </w:r>
      <w:r w:rsidR="00F826F5" w:rsidRPr="00686DED">
        <w:rPr>
          <w:i/>
          <w:color w:val="2F5496" w:themeColor="accent1" w:themeShade="BF"/>
        </w:rPr>
        <w:t>Zfhx3 is not</w:t>
      </w:r>
      <w:r w:rsidR="00F11E07" w:rsidRPr="00686DED">
        <w:rPr>
          <w:i/>
          <w:color w:val="2F5496" w:themeColor="accent1" w:themeShade="BF"/>
        </w:rPr>
        <w:t xml:space="preserve"> which is why we included Zfhx4</w:t>
      </w:r>
      <w:r w:rsidR="00F826F5" w:rsidRPr="00686DED">
        <w:rPr>
          <w:i/>
          <w:color w:val="2F5496" w:themeColor="accent1" w:themeShade="BF"/>
        </w:rPr>
        <w:t>.</w:t>
      </w:r>
      <w:r w:rsidR="00F11E07" w:rsidRPr="00686DED">
        <w:rPr>
          <w:i/>
          <w:color w:val="2F5496" w:themeColor="accent1" w:themeShade="BF"/>
        </w:rPr>
        <w:t xml:space="preserve"> Zfhx3 is enriched in</w:t>
      </w:r>
      <w:r w:rsidR="00840ADC" w:rsidRPr="00686DED">
        <w:rPr>
          <w:i/>
          <w:color w:val="2F5496" w:themeColor="accent1" w:themeShade="BF"/>
        </w:rPr>
        <w:t xml:space="preserve"> a subset of</w:t>
      </w:r>
      <w:r w:rsidR="00F11E07" w:rsidRPr="00686DED">
        <w:rPr>
          <w:i/>
          <w:color w:val="2F5496" w:themeColor="accent1" w:themeShade="BF"/>
        </w:rPr>
        <w:t xml:space="preserve"> cholinergic neurons and could have been used as a negative control. However, we already included </w:t>
      </w:r>
      <w:r w:rsidR="00840ADC" w:rsidRPr="00686DED">
        <w:rPr>
          <w:i/>
          <w:color w:val="2F5496" w:themeColor="accent1" w:themeShade="BF"/>
        </w:rPr>
        <w:t xml:space="preserve">a more general </w:t>
      </w:r>
      <w:r w:rsidR="00F11E07" w:rsidRPr="00686DED">
        <w:rPr>
          <w:i/>
          <w:color w:val="2F5496" w:themeColor="accent1" w:themeShade="BF"/>
        </w:rPr>
        <w:t>cholinergic marker, Casz1 (Figure 6</w:t>
      </w:r>
      <w:r w:rsidR="00334F40" w:rsidRPr="00686DED">
        <w:rPr>
          <w:i/>
          <w:color w:val="2F5496" w:themeColor="accent1" w:themeShade="BF"/>
        </w:rPr>
        <w:t>A, D</w:t>
      </w:r>
      <w:r w:rsidR="00F11E07" w:rsidRPr="00686DED">
        <w:rPr>
          <w:i/>
          <w:color w:val="2F5496" w:themeColor="accent1" w:themeShade="BF"/>
        </w:rPr>
        <w:t xml:space="preserve">), as </w:t>
      </w:r>
      <w:r w:rsidR="00840ADC" w:rsidRPr="00686DED">
        <w:rPr>
          <w:i/>
          <w:color w:val="2F5496" w:themeColor="accent1" w:themeShade="BF"/>
        </w:rPr>
        <w:t xml:space="preserve">a </w:t>
      </w:r>
      <w:r w:rsidR="00F11E07" w:rsidRPr="00686DED">
        <w:rPr>
          <w:i/>
          <w:color w:val="2F5496" w:themeColor="accent1" w:themeShade="BF"/>
        </w:rPr>
        <w:t>negative control.</w:t>
      </w:r>
      <w:r w:rsidR="00F826F5" w:rsidRPr="00686DED">
        <w:rPr>
          <w:i/>
          <w:color w:val="2F5496" w:themeColor="accent1" w:themeShade="BF"/>
        </w:rPr>
        <w:t xml:space="preserve"> </w:t>
      </w:r>
    </w:p>
    <w:p w14:paraId="72BF0C09" w14:textId="77777777" w:rsidR="006D54CD" w:rsidRPr="00BF4A32" w:rsidRDefault="006D54CD" w:rsidP="005F25B7">
      <w:pPr>
        <w:spacing w:line="240" w:lineRule="auto"/>
        <w:contextualSpacing/>
        <w:rPr>
          <w:b/>
          <w:i/>
          <w:iCs/>
          <w:sz w:val="20"/>
          <w:szCs w:val="20"/>
          <w:lang w:val="en-US"/>
        </w:rPr>
      </w:pPr>
    </w:p>
    <w:p w14:paraId="15BCFAA1" w14:textId="6EC2AA40" w:rsidR="00C1319D" w:rsidRPr="00C1319D" w:rsidRDefault="00F826F5" w:rsidP="005F25B7">
      <w:pPr>
        <w:spacing w:line="240" w:lineRule="auto"/>
      </w:pPr>
      <w:r>
        <w:t xml:space="preserve"> </w:t>
      </w:r>
      <w:r>
        <w:rPr>
          <w:noProof/>
          <w:lang w:val="fi-FI" w:eastAsia="fi-FI"/>
        </w:rPr>
        <w:drawing>
          <wp:inline distT="0" distB="0" distL="0" distR="0" wp14:anchorId="7084335B" wp14:editId="1E5C9FF2">
            <wp:extent cx="2258568" cy="1981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4493" cy="1986398"/>
                    </a:xfrm>
                    <a:prstGeom prst="rect">
                      <a:avLst/>
                    </a:prstGeom>
                    <a:noFill/>
                    <a:ln>
                      <a:noFill/>
                    </a:ln>
                  </pic:spPr>
                </pic:pic>
              </a:graphicData>
            </a:graphic>
          </wp:inline>
        </w:drawing>
      </w:r>
    </w:p>
    <w:p w14:paraId="5EBFC2B7" w14:textId="77777777" w:rsidR="00C1319D" w:rsidRDefault="00675049" w:rsidP="005F25B7">
      <w:pPr>
        <w:spacing w:line="240" w:lineRule="auto"/>
      </w:pPr>
      <w:r>
        <w:t>4) Does GDNF give any increase in generic neural differentiation when supplemented to the ENS primary cultures, given that more neurons appear to form in the GDNF hypermorph animals?</w:t>
      </w:r>
    </w:p>
    <w:p w14:paraId="29F5E3CC" w14:textId="09ACB0E2" w:rsidR="00C1319D" w:rsidRPr="000919D3" w:rsidRDefault="005F25B7" w:rsidP="005F25B7">
      <w:pPr>
        <w:spacing w:line="240" w:lineRule="auto"/>
        <w:rPr>
          <w:i/>
          <w:color w:val="2F5496" w:themeColor="accent1" w:themeShade="BF"/>
        </w:rPr>
      </w:pPr>
      <w:r w:rsidRPr="000919D3">
        <w:rPr>
          <w:i/>
          <w:color w:val="2F5496" w:themeColor="accent1" w:themeShade="BF"/>
        </w:rPr>
        <w:t xml:space="preserve">ANSWER: </w:t>
      </w:r>
      <w:r w:rsidR="00847077" w:rsidRPr="000919D3">
        <w:rPr>
          <w:i/>
          <w:color w:val="2F5496" w:themeColor="accent1" w:themeShade="BF"/>
        </w:rPr>
        <w:t xml:space="preserve">We thank the reviewer for this suggestion. This analysis has </w:t>
      </w:r>
      <w:r w:rsidR="006D54CD" w:rsidRPr="000919D3">
        <w:rPr>
          <w:i/>
          <w:color w:val="2F5496" w:themeColor="accent1" w:themeShade="BF"/>
        </w:rPr>
        <w:t xml:space="preserve">now </w:t>
      </w:r>
      <w:r w:rsidR="00847077" w:rsidRPr="000919D3">
        <w:rPr>
          <w:i/>
          <w:color w:val="2F5496" w:themeColor="accent1" w:themeShade="BF"/>
        </w:rPr>
        <w:t>been performed by measuring</w:t>
      </w:r>
      <w:r w:rsidR="004B4504" w:rsidRPr="000919D3">
        <w:rPr>
          <w:i/>
          <w:color w:val="2F5496" w:themeColor="accent1" w:themeShade="BF"/>
        </w:rPr>
        <w:t xml:space="preserve"> Pgp9.5 mRNA in our vitro experiment </w:t>
      </w:r>
      <w:r w:rsidR="006D54CD" w:rsidRPr="000919D3">
        <w:rPr>
          <w:i/>
          <w:color w:val="2F5496" w:themeColor="accent1" w:themeShade="BF"/>
        </w:rPr>
        <w:t xml:space="preserve">mRNA samples, thus under the </w:t>
      </w:r>
      <w:r w:rsidR="00847077" w:rsidRPr="000919D3">
        <w:rPr>
          <w:i/>
          <w:color w:val="2F5496" w:themeColor="accent1" w:themeShade="BF"/>
        </w:rPr>
        <w:t>following culture conditions</w:t>
      </w:r>
      <w:r w:rsidR="001B16F2" w:rsidRPr="000919D3">
        <w:rPr>
          <w:i/>
          <w:color w:val="2F5496" w:themeColor="accent1" w:themeShade="BF"/>
        </w:rPr>
        <w:t>: 24H 10% FBS, 24H N2 and then GDNF 24H</w:t>
      </w:r>
      <w:r w:rsidR="00194F04" w:rsidRPr="000919D3">
        <w:rPr>
          <w:i/>
          <w:color w:val="2F5496" w:themeColor="accent1" w:themeShade="BF"/>
        </w:rPr>
        <w:sym w:font="Wingdings" w:char="F0E0"/>
      </w:r>
      <w:r w:rsidR="00194F04" w:rsidRPr="000919D3">
        <w:rPr>
          <w:i/>
          <w:color w:val="2F5496" w:themeColor="accent1" w:themeShade="BF"/>
        </w:rPr>
        <w:t>analysis.</w:t>
      </w:r>
      <w:r w:rsidR="00F826F5" w:rsidRPr="000919D3">
        <w:rPr>
          <w:i/>
          <w:color w:val="2F5496" w:themeColor="accent1" w:themeShade="BF"/>
        </w:rPr>
        <w:t xml:space="preserve"> </w:t>
      </w:r>
      <w:r w:rsidR="006D54CD" w:rsidRPr="000919D3">
        <w:rPr>
          <w:i/>
          <w:color w:val="2F5496" w:themeColor="accent1" w:themeShade="BF"/>
        </w:rPr>
        <w:t>D</w:t>
      </w:r>
      <w:r w:rsidR="004B4504" w:rsidRPr="000919D3">
        <w:rPr>
          <w:i/>
          <w:color w:val="2F5496" w:themeColor="accent1" w:themeShade="BF"/>
        </w:rPr>
        <w:t>ata</w:t>
      </w:r>
      <w:r w:rsidR="006D54CD" w:rsidRPr="000919D3">
        <w:rPr>
          <w:i/>
          <w:color w:val="2F5496" w:themeColor="accent1" w:themeShade="BF"/>
        </w:rPr>
        <w:t xml:space="preserve"> on PGP9.5 (Uchl1) expression with and without GDNF </w:t>
      </w:r>
      <w:r w:rsidR="00FF6B3E" w:rsidRPr="000919D3">
        <w:rPr>
          <w:i/>
          <w:color w:val="2F5496" w:themeColor="accent1" w:themeShade="BF"/>
        </w:rPr>
        <w:t>treatment has</w:t>
      </w:r>
      <w:r w:rsidR="00F826F5" w:rsidRPr="000919D3">
        <w:rPr>
          <w:i/>
          <w:color w:val="2F5496" w:themeColor="accent1" w:themeShade="BF"/>
        </w:rPr>
        <w:t xml:space="preserve"> now </w:t>
      </w:r>
      <w:r w:rsidR="00BF4AA4" w:rsidRPr="000919D3">
        <w:rPr>
          <w:i/>
          <w:color w:val="2F5496" w:themeColor="accent1" w:themeShade="BF"/>
        </w:rPr>
        <w:t xml:space="preserve">been </w:t>
      </w:r>
      <w:r w:rsidR="00F826F5" w:rsidRPr="000919D3">
        <w:rPr>
          <w:i/>
          <w:color w:val="2F5496" w:themeColor="accent1" w:themeShade="BF"/>
        </w:rPr>
        <w:t>included to Figure 6C</w:t>
      </w:r>
      <w:r w:rsidR="00BF4AA4" w:rsidRPr="000919D3">
        <w:rPr>
          <w:i/>
          <w:color w:val="2F5496" w:themeColor="accent1" w:themeShade="BF"/>
        </w:rPr>
        <w:t>, the above details on the experiment have been added to the MM section</w:t>
      </w:r>
      <w:r w:rsidR="00F826F5" w:rsidRPr="000919D3">
        <w:rPr>
          <w:i/>
          <w:color w:val="2F5496" w:themeColor="accent1" w:themeShade="BF"/>
        </w:rPr>
        <w:t>.</w:t>
      </w:r>
    </w:p>
    <w:p w14:paraId="09165ACD" w14:textId="39A61DF3" w:rsidR="005F25B7" w:rsidRDefault="005F25B7" w:rsidP="005F25B7">
      <w:pPr>
        <w:spacing w:line="240" w:lineRule="auto"/>
      </w:pPr>
      <w:r>
        <w:t>5) The titles of each subsections need revision. Some of the titles are very long, and some are not very informative.</w:t>
      </w:r>
    </w:p>
    <w:p w14:paraId="15ECB703" w14:textId="21919FCA" w:rsidR="005F25B7" w:rsidRPr="000919D3" w:rsidRDefault="005F25B7" w:rsidP="005F25B7">
      <w:pPr>
        <w:spacing w:line="240" w:lineRule="auto"/>
        <w:rPr>
          <w:i/>
          <w:color w:val="2F5496" w:themeColor="accent1" w:themeShade="BF"/>
        </w:rPr>
      </w:pPr>
      <w:r w:rsidRPr="000919D3">
        <w:rPr>
          <w:i/>
          <w:color w:val="2F5496" w:themeColor="accent1" w:themeShade="BF"/>
        </w:rPr>
        <w:t>We</w:t>
      </w:r>
      <w:r w:rsidR="004B458A" w:rsidRPr="000919D3">
        <w:rPr>
          <w:i/>
          <w:color w:val="2F5496" w:themeColor="accent1" w:themeShade="BF"/>
        </w:rPr>
        <w:t xml:space="preserve"> </w:t>
      </w:r>
      <w:r w:rsidR="00847077" w:rsidRPr="000919D3">
        <w:rPr>
          <w:i/>
          <w:color w:val="2F5496" w:themeColor="accent1" w:themeShade="BF"/>
        </w:rPr>
        <w:t xml:space="preserve">have now tried to improve the information content of the subtitles </w:t>
      </w:r>
      <w:r w:rsidR="004B458A" w:rsidRPr="000919D3">
        <w:rPr>
          <w:i/>
          <w:color w:val="2F5496" w:themeColor="accent1" w:themeShade="BF"/>
        </w:rPr>
        <w:t xml:space="preserve">and cut the length where possible. </w:t>
      </w:r>
    </w:p>
    <w:p w14:paraId="2FD10C3A" w14:textId="61BE087F" w:rsidR="00194F04" w:rsidRDefault="00675049" w:rsidP="005F25B7">
      <w:pPr>
        <w:spacing w:line="240" w:lineRule="auto"/>
      </w:pPr>
      <w:r>
        <w:t>6) Material and Methods: It is not clear which method has been used for the transfection of shRNA constructs. Please give a more full-bodied description of the experiments.</w:t>
      </w:r>
    </w:p>
    <w:p w14:paraId="4C218EF3" w14:textId="2381B2B9" w:rsidR="00425488" w:rsidRPr="000919D3" w:rsidRDefault="005F25B7" w:rsidP="005F25B7">
      <w:pPr>
        <w:spacing w:line="240" w:lineRule="auto"/>
        <w:rPr>
          <w:i/>
          <w:color w:val="2F5496" w:themeColor="accent1" w:themeShade="BF"/>
        </w:rPr>
      </w:pPr>
      <w:r w:rsidRPr="000919D3">
        <w:rPr>
          <w:i/>
          <w:color w:val="2F5496" w:themeColor="accent1" w:themeShade="BF"/>
        </w:rPr>
        <w:t xml:space="preserve">ANSWER: </w:t>
      </w:r>
      <w:r w:rsidR="003179B9" w:rsidRPr="000919D3">
        <w:rPr>
          <w:i/>
          <w:color w:val="2F5496" w:themeColor="accent1" w:themeShade="BF"/>
        </w:rPr>
        <w:t xml:space="preserve">Those details have now been added into the MM section under </w:t>
      </w:r>
      <w:r w:rsidR="003179B9" w:rsidRPr="000919D3">
        <w:rPr>
          <w:b/>
          <w:i/>
          <w:color w:val="2F5496" w:themeColor="accent1" w:themeShade="BF"/>
        </w:rPr>
        <w:t>siRNA Transfection</w:t>
      </w:r>
      <w:r w:rsidR="003179B9" w:rsidRPr="000919D3">
        <w:rPr>
          <w:i/>
          <w:color w:val="2F5496" w:themeColor="accent1" w:themeShade="BF"/>
        </w:rPr>
        <w:t>. Briefly, w</w:t>
      </w:r>
      <w:r w:rsidR="00425488" w:rsidRPr="000919D3">
        <w:rPr>
          <w:i/>
          <w:color w:val="2F5496" w:themeColor="accent1" w:themeShade="BF"/>
        </w:rPr>
        <w:t>e used DharmaFECT (</w:t>
      </w:r>
      <w:r w:rsidR="00334F40" w:rsidRPr="000919D3">
        <w:rPr>
          <w:i/>
          <w:color w:val="2F5496" w:themeColor="accent1" w:themeShade="BF"/>
        </w:rPr>
        <w:t>lipid-based</w:t>
      </w:r>
      <w:r w:rsidR="00425488" w:rsidRPr="000919D3">
        <w:rPr>
          <w:i/>
          <w:color w:val="2F5496" w:themeColor="accent1" w:themeShade="BF"/>
        </w:rPr>
        <w:t xml:space="preserve"> method) that was purchased from horizondiscovery.com. </w:t>
      </w:r>
    </w:p>
    <w:p w14:paraId="421CB8DE" w14:textId="3499A4CB" w:rsidR="00194F04" w:rsidRDefault="00675049" w:rsidP="005F25B7">
      <w:pPr>
        <w:spacing w:line="240" w:lineRule="auto"/>
      </w:pPr>
      <w:r>
        <w:t>7) It is stated in the text that enteric neurons are transfected, however as the methodology of transfection is not described, it is hard to ascertain whether only neurons are transfected, or also progenitor cells, or perhaps only progenitor cells? For the transcription factor suppression to give an effect on NOS1+ neuron specification, it is likely that progenitors would need to be transduced.</w:t>
      </w:r>
    </w:p>
    <w:p w14:paraId="3697FFC8" w14:textId="70654FFD" w:rsidR="00194F04" w:rsidRPr="000919D3" w:rsidRDefault="005F25B7" w:rsidP="005F25B7">
      <w:pPr>
        <w:spacing w:line="240" w:lineRule="auto"/>
        <w:rPr>
          <w:color w:val="2F5496" w:themeColor="accent1" w:themeShade="BF"/>
        </w:rPr>
      </w:pPr>
      <w:r w:rsidRPr="000919D3">
        <w:rPr>
          <w:i/>
          <w:color w:val="2F5496" w:themeColor="accent1" w:themeShade="BF"/>
        </w:rPr>
        <w:t xml:space="preserve">ANSWER: </w:t>
      </w:r>
      <w:r w:rsidR="00192E14" w:rsidRPr="000919D3">
        <w:rPr>
          <w:i/>
          <w:color w:val="2F5496" w:themeColor="accent1" w:themeShade="BF"/>
        </w:rPr>
        <w:t>We agree.</w:t>
      </w:r>
      <w:r w:rsidR="00192E14" w:rsidRPr="000919D3">
        <w:rPr>
          <w:iCs/>
          <w:color w:val="2F5496" w:themeColor="accent1" w:themeShade="BF"/>
        </w:rPr>
        <w:t xml:space="preserve"> </w:t>
      </w:r>
      <w:r w:rsidRPr="000919D3">
        <w:rPr>
          <w:i/>
          <w:color w:val="2F5496" w:themeColor="accent1" w:themeShade="BF"/>
        </w:rPr>
        <w:t>As</w:t>
      </w:r>
      <w:r w:rsidR="001E306B" w:rsidRPr="000919D3">
        <w:rPr>
          <w:i/>
          <w:color w:val="2F5496" w:themeColor="accent1" w:themeShade="BF"/>
        </w:rPr>
        <w:t xml:space="preserve"> the</w:t>
      </w:r>
      <w:r w:rsidRPr="000919D3">
        <w:rPr>
          <w:i/>
          <w:color w:val="2F5496" w:themeColor="accent1" w:themeShade="BF"/>
        </w:rPr>
        <w:t xml:space="preserve"> reviewer already </w:t>
      </w:r>
      <w:r w:rsidR="00192E14" w:rsidRPr="000919D3">
        <w:rPr>
          <w:i/>
          <w:color w:val="2F5496" w:themeColor="accent1" w:themeShade="BF"/>
        </w:rPr>
        <w:t xml:space="preserve">pointed out it is the most likely that mainly the progenitors are </w:t>
      </w:r>
      <w:r w:rsidRPr="000919D3">
        <w:rPr>
          <w:i/>
          <w:color w:val="2F5496" w:themeColor="accent1" w:themeShade="BF"/>
        </w:rPr>
        <w:t xml:space="preserve">transfected because </w:t>
      </w:r>
      <w:r w:rsidR="00FD644B" w:rsidRPr="000919D3">
        <w:rPr>
          <w:i/>
          <w:color w:val="2F5496" w:themeColor="accent1" w:themeShade="BF"/>
        </w:rPr>
        <w:t>Li</w:t>
      </w:r>
      <w:r w:rsidR="00492108" w:rsidRPr="000919D3">
        <w:rPr>
          <w:i/>
          <w:color w:val="2F5496" w:themeColor="accent1" w:themeShade="BF"/>
        </w:rPr>
        <w:t>pofection is not particularly effective in transfecting post-mitotic neurons</w:t>
      </w:r>
      <w:r w:rsidR="00BF4A32" w:rsidRPr="000919D3">
        <w:rPr>
          <w:i/>
          <w:color w:val="2F5496" w:themeColor="accent1" w:themeShade="BF"/>
        </w:rPr>
        <w:t xml:space="preserve"> </w:t>
      </w:r>
      <w:r w:rsidR="00BF4A32" w:rsidRPr="000919D3">
        <w:rPr>
          <w:color w:val="2F5496" w:themeColor="accent1" w:themeShade="BF"/>
        </w:rPr>
        <w:t>(https://www.ncbi.nlm.nih.gov/pmc/articles/PMC6632737)</w:t>
      </w:r>
      <w:r w:rsidR="00492108" w:rsidRPr="000919D3">
        <w:rPr>
          <w:i/>
          <w:color w:val="2F5496" w:themeColor="accent1" w:themeShade="BF"/>
        </w:rPr>
        <w:t>.</w:t>
      </w:r>
      <w:r w:rsidR="00A05151" w:rsidRPr="000919D3">
        <w:rPr>
          <w:i/>
          <w:color w:val="2F5496" w:themeColor="accent1" w:themeShade="BF"/>
        </w:rPr>
        <w:t xml:space="preserve"> Details about the transfection </w:t>
      </w:r>
      <w:r w:rsidR="006F2DA7" w:rsidRPr="000919D3">
        <w:rPr>
          <w:i/>
          <w:color w:val="2F5496" w:themeColor="accent1" w:themeShade="BF"/>
        </w:rPr>
        <w:t xml:space="preserve">kit </w:t>
      </w:r>
      <w:r w:rsidR="00A05151" w:rsidRPr="000919D3">
        <w:rPr>
          <w:i/>
          <w:color w:val="2F5496" w:themeColor="accent1" w:themeShade="BF"/>
        </w:rPr>
        <w:t xml:space="preserve">have </w:t>
      </w:r>
      <w:r w:rsidR="00192E14" w:rsidRPr="000919D3">
        <w:rPr>
          <w:i/>
          <w:color w:val="2F5496" w:themeColor="accent1" w:themeShade="BF"/>
        </w:rPr>
        <w:t>now</w:t>
      </w:r>
      <w:r w:rsidR="00192E14" w:rsidRPr="000919D3">
        <w:rPr>
          <w:iCs/>
          <w:color w:val="2F5496" w:themeColor="accent1" w:themeShade="BF"/>
        </w:rPr>
        <w:t xml:space="preserve"> </w:t>
      </w:r>
      <w:r w:rsidR="00A05151" w:rsidRPr="000919D3">
        <w:rPr>
          <w:i/>
          <w:color w:val="2F5496" w:themeColor="accent1" w:themeShade="BF"/>
        </w:rPr>
        <w:t xml:space="preserve">been added </w:t>
      </w:r>
      <w:r w:rsidR="008640EA" w:rsidRPr="000919D3">
        <w:rPr>
          <w:i/>
          <w:color w:val="2F5496" w:themeColor="accent1" w:themeShade="BF"/>
        </w:rPr>
        <w:t>in</w:t>
      </w:r>
      <w:r w:rsidR="00A05151" w:rsidRPr="000919D3">
        <w:rPr>
          <w:i/>
          <w:color w:val="2F5496" w:themeColor="accent1" w:themeShade="BF"/>
        </w:rPr>
        <w:t xml:space="preserve">to materials and methods under </w:t>
      </w:r>
      <w:r w:rsidR="00A05151" w:rsidRPr="000919D3">
        <w:rPr>
          <w:b/>
          <w:i/>
          <w:color w:val="2F5496" w:themeColor="accent1" w:themeShade="BF"/>
        </w:rPr>
        <w:t>siRNA Transfection</w:t>
      </w:r>
      <w:r w:rsidR="00A05151" w:rsidRPr="000919D3">
        <w:rPr>
          <w:i/>
          <w:color w:val="2F5496" w:themeColor="accent1" w:themeShade="BF"/>
        </w:rPr>
        <w:t>.</w:t>
      </w:r>
    </w:p>
    <w:p w14:paraId="1D2027FA" w14:textId="77777777" w:rsidR="007616AF" w:rsidRDefault="00675049" w:rsidP="005F25B7">
      <w:pPr>
        <w:spacing w:line="240" w:lineRule="auto"/>
      </w:pPr>
      <w:r>
        <w:t>8) Vincent et al, 2023 PNAS, demonstrated that fewer cells differentiate into Branch A neurons (ie NOS1+ cells) in Ret mutant mice. Ret/Gfra1 are the receptors for GDNF, hence the study would be complementary and in line with findings unravelled in the current study. Thus, it would be appropriate to cite and discuss this study in comparison to own data.</w:t>
      </w:r>
    </w:p>
    <w:p w14:paraId="34BC977D" w14:textId="1E8BF115" w:rsidR="007616AF" w:rsidRPr="00D266A7" w:rsidRDefault="005F25B7" w:rsidP="005F25B7">
      <w:pPr>
        <w:spacing w:line="240" w:lineRule="auto"/>
        <w:rPr>
          <w:color w:val="2F5496" w:themeColor="accent1" w:themeShade="BF"/>
        </w:rPr>
      </w:pPr>
      <w:r w:rsidRPr="00D266A7">
        <w:rPr>
          <w:i/>
          <w:color w:val="2F5496" w:themeColor="accent1" w:themeShade="BF"/>
        </w:rPr>
        <w:t xml:space="preserve">ANSWER: </w:t>
      </w:r>
      <w:r w:rsidR="00192E14" w:rsidRPr="00D266A7">
        <w:rPr>
          <w:i/>
          <w:color w:val="2F5496" w:themeColor="accent1" w:themeShade="BF"/>
        </w:rPr>
        <w:t xml:space="preserve">We thank the reviewer for pointing this out. </w:t>
      </w:r>
      <w:r w:rsidR="00FF6B3E" w:rsidRPr="00D266A7">
        <w:rPr>
          <w:i/>
          <w:color w:val="2F5496" w:themeColor="accent1" w:themeShade="BF"/>
        </w:rPr>
        <w:t>Indeed,</w:t>
      </w:r>
      <w:r w:rsidR="00555C05" w:rsidRPr="00D266A7">
        <w:rPr>
          <w:i/>
          <w:color w:val="2F5496" w:themeColor="accent1" w:themeShade="BF"/>
        </w:rPr>
        <w:t xml:space="preserve"> </w:t>
      </w:r>
      <w:r w:rsidR="00192E14" w:rsidRPr="00D266A7">
        <w:rPr>
          <w:i/>
          <w:color w:val="2F5496" w:themeColor="accent1" w:themeShade="BF"/>
        </w:rPr>
        <w:t>this recent</w:t>
      </w:r>
      <w:r w:rsidRPr="00D266A7">
        <w:rPr>
          <w:i/>
          <w:color w:val="2F5496" w:themeColor="accent1" w:themeShade="BF"/>
        </w:rPr>
        <w:t xml:space="preserve"> study by Vincent et al complements our </w:t>
      </w:r>
      <w:r w:rsidR="00555C05" w:rsidRPr="00D266A7">
        <w:rPr>
          <w:i/>
          <w:color w:val="2F5496" w:themeColor="accent1" w:themeShade="BF"/>
        </w:rPr>
        <w:t xml:space="preserve">work </w:t>
      </w:r>
      <w:r w:rsidRPr="00D266A7">
        <w:rPr>
          <w:i/>
          <w:color w:val="2F5496" w:themeColor="accent1" w:themeShade="BF"/>
        </w:rPr>
        <w:t>and w</w:t>
      </w:r>
      <w:r w:rsidR="007616AF" w:rsidRPr="00D266A7">
        <w:rPr>
          <w:i/>
          <w:color w:val="2F5496" w:themeColor="accent1" w:themeShade="BF"/>
        </w:rPr>
        <w:t>e have</w:t>
      </w:r>
      <w:r w:rsidRPr="00D266A7">
        <w:rPr>
          <w:i/>
          <w:color w:val="2F5496" w:themeColor="accent1" w:themeShade="BF"/>
        </w:rPr>
        <w:t xml:space="preserve"> now </w:t>
      </w:r>
      <w:r w:rsidR="007616AF" w:rsidRPr="00D266A7">
        <w:rPr>
          <w:i/>
          <w:color w:val="2F5496" w:themeColor="accent1" w:themeShade="BF"/>
        </w:rPr>
        <w:t xml:space="preserve">cited and discussed the results of Vincent et al in </w:t>
      </w:r>
      <w:r w:rsidR="00555C05" w:rsidRPr="00D266A7">
        <w:rPr>
          <w:i/>
          <w:color w:val="2F5496" w:themeColor="accent1" w:themeShade="BF"/>
        </w:rPr>
        <w:t>the revised manuscript</w:t>
      </w:r>
      <w:r w:rsidR="001E306B" w:rsidRPr="00D266A7">
        <w:rPr>
          <w:i/>
          <w:color w:val="2F5496" w:themeColor="accent1" w:themeShade="BF"/>
        </w:rPr>
        <w:t xml:space="preserve"> Discussion section</w:t>
      </w:r>
      <w:r w:rsidR="007616AF" w:rsidRPr="00D266A7">
        <w:rPr>
          <w:i/>
          <w:color w:val="2F5496" w:themeColor="accent1" w:themeShade="BF"/>
        </w:rPr>
        <w:t>.</w:t>
      </w:r>
      <w:r w:rsidR="00675049" w:rsidRPr="00D266A7">
        <w:rPr>
          <w:color w:val="2F5496" w:themeColor="accent1" w:themeShade="BF"/>
        </w:rPr>
        <w:br/>
      </w:r>
    </w:p>
    <w:p w14:paraId="6D28477B" w14:textId="77777777" w:rsidR="00E86839" w:rsidRDefault="00675049" w:rsidP="005F25B7">
      <w:pPr>
        <w:spacing w:line="240" w:lineRule="auto"/>
      </w:pPr>
      <w:r w:rsidRPr="00D266A7">
        <w:rPr>
          <w:b/>
          <w:bCs/>
        </w:rPr>
        <w:t>Reviewer 2:</w:t>
      </w:r>
      <w:r>
        <w:t xml:space="preserve"> In this study, Virtanen et al. addressed how endogenous GDNF levels vary amongst individuals and whether this GDNF variation influences ENS composition, size and function. The study was supported by the evidence that in the adult human colon, GDNF mRNA levels vary at least up to 5-fold among </w:t>
      </w:r>
      <w:r>
        <w:lastRenderedPageBreak/>
        <w:t>individuals and that GDNF levels correlate with pan-neuronal and nitrergic, but not cholinergic, marker expression. In mice, a similar upregulation of endogenous post-transcriptional GDNF expression occurs via Gdnf 3'UTR, (warranting increased expression only in naturally GDNF expressing cells) results in a similar increase in nitrergic marker gene expression and up to 3-fold increase in ENS ganglion size. Assessment of microRNAs miR-133b, miR-96 and miR-9, which bind to GDNF-encoding mRNA negatively regulate GDNF expression via defined binding sites, indicated a correlation between GDNF levels and their expression in the developing intestine. This suggests (although does not conclusively prove) that the negative regulation of GDNF levels impacts on ENS development and nitrergic innervation. A number of functional data support the increase in nitrergic innervation as indicated by delayed GI transit, increased stool size and water content although with minor changes to the epithelial barrier function. Finally, the authors also putatively identified the transcription factor responsible for GDNF activation which occurs via ETV1.</w:t>
      </w:r>
      <w:r>
        <w:br/>
      </w:r>
      <w:r>
        <w:br/>
        <w:t xml:space="preserve">This reviewer has no doubt that the paper by Virtanen et al. contains important data of interest to the CMGH neurogastroenterology community. </w:t>
      </w:r>
    </w:p>
    <w:p w14:paraId="2F6E349B" w14:textId="034BED10" w:rsidR="00E86839" w:rsidRPr="00D266A7" w:rsidRDefault="00E86839" w:rsidP="00E86839">
      <w:pPr>
        <w:spacing w:line="240" w:lineRule="auto"/>
        <w:rPr>
          <w:i/>
          <w:iCs/>
          <w:color w:val="2F5496" w:themeColor="accent1" w:themeShade="BF"/>
        </w:rPr>
      </w:pPr>
      <w:r w:rsidRPr="00D266A7">
        <w:rPr>
          <w:i/>
          <w:iCs/>
          <w:color w:val="2F5496" w:themeColor="accent1" w:themeShade="BF"/>
        </w:rPr>
        <w:t xml:space="preserve">ANSWER: We thank the reviewer for appreciating our work. </w:t>
      </w:r>
    </w:p>
    <w:p w14:paraId="71F582A9" w14:textId="77777777" w:rsidR="00E86839" w:rsidRDefault="00E86839" w:rsidP="005F25B7">
      <w:pPr>
        <w:spacing w:line="240" w:lineRule="auto"/>
      </w:pPr>
    </w:p>
    <w:p w14:paraId="3D47B9B4" w14:textId="271879CE" w:rsidR="00E86839" w:rsidRPr="00D266A7" w:rsidRDefault="00675049" w:rsidP="00E86839">
      <w:pPr>
        <w:spacing w:line="240" w:lineRule="auto"/>
        <w:rPr>
          <w:i/>
          <w:iCs/>
          <w:color w:val="2F5496" w:themeColor="accent1" w:themeShade="BF"/>
        </w:rPr>
      </w:pPr>
      <w:r>
        <w:t>However, several aspects require, in my opinion, careful re-evaluation.</w:t>
      </w:r>
      <w:r>
        <w:br/>
      </w:r>
      <w:r w:rsidR="00E86839" w:rsidRPr="00D266A7">
        <w:rPr>
          <w:i/>
          <w:iCs/>
          <w:color w:val="2F5496" w:themeColor="accent1" w:themeShade="BF"/>
        </w:rPr>
        <w:t>We would like to thank the reviewer for constructive comments. Please see our point-by-point responses below.</w:t>
      </w:r>
    </w:p>
    <w:p w14:paraId="2C478878" w14:textId="03AC0456" w:rsidR="000247BD" w:rsidRDefault="00675049" w:rsidP="005F25B7">
      <w:pPr>
        <w:spacing w:line="240" w:lineRule="auto"/>
      </w:pPr>
      <w:r>
        <w:br/>
        <w:t>Comments:</w:t>
      </w:r>
      <w:r>
        <w:br/>
      </w:r>
      <w:r>
        <w:br/>
        <w:t>1. It is surprising that some experiments do not appear to be performed appropriately and even P values are not indicated (they are only in the figure legends). As an example, t-test or ANOVA would be fine for quantitative data of gene expression, assuming a normal distribution of the expression of that specific gene. However, for quantification of neurons, the use of non-parametric tests would be more appropriate to evaluate difference between groups.</w:t>
      </w:r>
    </w:p>
    <w:p w14:paraId="1E008F67" w14:textId="75A225E4" w:rsidR="00B31A91" w:rsidRDefault="00A077EC" w:rsidP="005F25B7">
      <w:pPr>
        <w:spacing w:line="240" w:lineRule="auto"/>
      </w:pPr>
      <w:r w:rsidRPr="00D266A7">
        <w:rPr>
          <w:i/>
          <w:color w:val="2F5496" w:themeColor="accent1" w:themeShade="BF"/>
        </w:rPr>
        <w:t xml:space="preserve">ANSWER: </w:t>
      </w:r>
      <w:r w:rsidR="005F25B7" w:rsidRPr="00D266A7">
        <w:rPr>
          <w:i/>
          <w:color w:val="2F5496" w:themeColor="accent1" w:themeShade="BF"/>
        </w:rPr>
        <w:t xml:space="preserve">We </w:t>
      </w:r>
      <w:r w:rsidRPr="00D266A7">
        <w:rPr>
          <w:i/>
          <w:color w:val="2F5496" w:themeColor="accent1" w:themeShade="BF"/>
        </w:rPr>
        <w:t xml:space="preserve">agree with the </w:t>
      </w:r>
      <w:r w:rsidR="005F25B7" w:rsidRPr="00D266A7">
        <w:rPr>
          <w:i/>
          <w:color w:val="2F5496" w:themeColor="accent1" w:themeShade="BF"/>
        </w:rPr>
        <w:t xml:space="preserve">Reviewer’s concern </w:t>
      </w:r>
      <w:r w:rsidR="00DA2024" w:rsidRPr="00D266A7">
        <w:rPr>
          <w:i/>
          <w:color w:val="2F5496" w:themeColor="accent1" w:themeShade="BF"/>
        </w:rPr>
        <w:t xml:space="preserve">over </w:t>
      </w:r>
      <w:r w:rsidR="005F25B7" w:rsidRPr="00D266A7">
        <w:rPr>
          <w:i/>
          <w:color w:val="2F5496" w:themeColor="accent1" w:themeShade="BF"/>
        </w:rPr>
        <w:t xml:space="preserve">the use of </w:t>
      </w:r>
      <w:r w:rsidRPr="00D266A7">
        <w:rPr>
          <w:i/>
          <w:color w:val="2F5496" w:themeColor="accent1" w:themeShade="BF"/>
        </w:rPr>
        <w:t xml:space="preserve">an </w:t>
      </w:r>
      <w:r w:rsidR="005F25B7" w:rsidRPr="00D266A7">
        <w:rPr>
          <w:i/>
          <w:color w:val="2F5496" w:themeColor="accent1" w:themeShade="BF"/>
        </w:rPr>
        <w:t xml:space="preserve">appropriate statistical test. </w:t>
      </w:r>
      <w:r w:rsidR="000247BD" w:rsidRPr="00D266A7">
        <w:rPr>
          <w:i/>
          <w:color w:val="2F5496" w:themeColor="accent1" w:themeShade="BF"/>
        </w:rPr>
        <w:t xml:space="preserve">For quantification of neurons, we used unpaired t-test, </w:t>
      </w:r>
      <w:r w:rsidRPr="00D266A7">
        <w:rPr>
          <w:i/>
          <w:color w:val="2F5496" w:themeColor="accent1" w:themeShade="BF"/>
        </w:rPr>
        <w:t>after</w:t>
      </w:r>
      <w:r w:rsidR="000247BD" w:rsidRPr="00D266A7">
        <w:rPr>
          <w:i/>
          <w:color w:val="2F5496" w:themeColor="accent1" w:themeShade="BF"/>
        </w:rPr>
        <w:t xml:space="preserve"> test</w:t>
      </w:r>
      <w:r w:rsidRPr="00D266A7">
        <w:rPr>
          <w:i/>
          <w:color w:val="2F5496" w:themeColor="accent1" w:themeShade="BF"/>
        </w:rPr>
        <w:t>ing</w:t>
      </w:r>
      <w:r w:rsidR="000247BD" w:rsidRPr="00D266A7">
        <w:rPr>
          <w:i/>
          <w:color w:val="2F5496" w:themeColor="accent1" w:themeShade="BF"/>
        </w:rPr>
        <w:t xml:space="preserve"> for </w:t>
      </w:r>
      <w:r w:rsidRPr="00D266A7">
        <w:rPr>
          <w:i/>
          <w:color w:val="2F5496" w:themeColor="accent1" w:themeShade="BF"/>
        </w:rPr>
        <w:t xml:space="preserve">the </w:t>
      </w:r>
      <w:r w:rsidR="000247BD" w:rsidRPr="00D266A7">
        <w:rPr>
          <w:i/>
          <w:color w:val="2F5496" w:themeColor="accent1" w:themeShade="BF"/>
        </w:rPr>
        <w:t xml:space="preserve">normality of </w:t>
      </w:r>
      <w:r w:rsidRPr="00D266A7">
        <w:rPr>
          <w:i/>
          <w:color w:val="2F5496" w:themeColor="accent1" w:themeShade="BF"/>
        </w:rPr>
        <w:t xml:space="preserve">our </w:t>
      </w:r>
      <w:r w:rsidR="000247BD" w:rsidRPr="00D266A7">
        <w:rPr>
          <w:i/>
          <w:color w:val="2F5496" w:themeColor="accent1" w:themeShade="BF"/>
        </w:rPr>
        <w:t>data</w:t>
      </w:r>
      <w:r w:rsidR="00950220" w:rsidRPr="00D266A7">
        <w:rPr>
          <w:i/>
          <w:color w:val="2F5496" w:themeColor="accent1" w:themeShade="BF"/>
        </w:rPr>
        <w:t xml:space="preserve">. </w:t>
      </w:r>
      <w:r w:rsidRPr="00D266A7">
        <w:rPr>
          <w:i/>
          <w:color w:val="2F5496" w:themeColor="accent1" w:themeShade="BF"/>
        </w:rPr>
        <w:t>Since our data is</w:t>
      </w:r>
      <w:r w:rsidR="000247BD" w:rsidRPr="00D266A7">
        <w:rPr>
          <w:i/>
          <w:color w:val="2F5496" w:themeColor="accent1" w:themeShade="BF"/>
        </w:rPr>
        <w:t xml:space="preserve"> normally </w:t>
      </w:r>
      <w:r w:rsidR="00D266A7" w:rsidRPr="00D266A7">
        <w:rPr>
          <w:i/>
          <w:color w:val="2F5496" w:themeColor="accent1" w:themeShade="BF"/>
        </w:rPr>
        <w:t>distributed,</w:t>
      </w:r>
      <w:r w:rsidR="00196542" w:rsidRPr="00D266A7">
        <w:rPr>
          <w:i/>
          <w:color w:val="2F5496" w:themeColor="accent1" w:themeShade="BF"/>
        </w:rPr>
        <w:t xml:space="preserve"> we</w:t>
      </w:r>
      <w:r w:rsidRPr="00D266A7">
        <w:rPr>
          <w:i/>
          <w:color w:val="2F5496" w:themeColor="accent1" w:themeShade="BF"/>
        </w:rPr>
        <w:t xml:space="preserve"> used</w:t>
      </w:r>
      <w:r w:rsidR="005F25B7" w:rsidRPr="00D266A7">
        <w:rPr>
          <w:i/>
          <w:color w:val="2F5496" w:themeColor="accent1" w:themeShade="BF"/>
        </w:rPr>
        <w:t xml:space="preserve"> unpaired t-test</w:t>
      </w:r>
      <w:r w:rsidR="000247BD" w:rsidRPr="00D266A7">
        <w:rPr>
          <w:i/>
          <w:color w:val="2F5496" w:themeColor="accent1" w:themeShade="BF"/>
        </w:rPr>
        <w:t xml:space="preserve">. </w:t>
      </w:r>
      <w:r w:rsidRPr="00D266A7">
        <w:rPr>
          <w:i/>
          <w:color w:val="2F5496" w:themeColor="accent1" w:themeShade="BF"/>
        </w:rPr>
        <w:t>We also assessed the data</w:t>
      </w:r>
      <w:r w:rsidR="000247BD" w:rsidRPr="00D266A7">
        <w:rPr>
          <w:i/>
          <w:color w:val="2F5496" w:themeColor="accent1" w:themeShade="BF"/>
        </w:rPr>
        <w:t xml:space="preserve"> </w:t>
      </w:r>
      <w:r w:rsidRPr="00D266A7">
        <w:rPr>
          <w:i/>
          <w:color w:val="2F5496" w:themeColor="accent1" w:themeShade="BF"/>
        </w:rPr>
        <w:t>using</w:t>
      </w:r>
      <w:r w:rsidR="000247BD" w:rsidRPr="00D266A7">
        <w:rPr>
          <w:i/>
          <w:color w:val="2F5496" w:themeColor="accent1" w:themeShade="BF"/>
        </w:rPr>
        <w:t xml:space="preserve"> non-parametric t-</w:t>
      </w:r>
      <w:r w:rsidR="00D266A7" w:rsidRPr="00D266A7">
        <w:rPr>
          <w:i/>
          <w:color w:val="2F5496" w:themeColor="accent1" w:themeShade="BF"/>
        </w:rPr>
        <w:t>test,</w:t>
      </w:r>
      <w:r w:rsidR="000247BD" w:rsidRPr="00D266A7">
        <w:rPr>
          <w:i/>
          <w:color w:val="2F5496" w:themeColor="accent1" w:themeShade="BF"/>
        </w:rPr>
        <w:t xml:space="preserve"> </w:t>
      </w:r>
      <w:r w:rsidRPr="00D266A7">
        <w:rPr>
          <w:i/>
          <w:color w:val="2F5496" w:themeColor="accent1" w:themeShade="BF"/>
        </w:rPr>
        <w:t xml:space="preserve">but </w:t>
      </w:r>
      <w:r w:rsidR="000247BD" w:rsidRPr="00D266A7">
        <w:rPr>
          <w:i/>
          <w:color w:val="2F5496" w:themeColor="accent1" w:themeShade="BF"/>
        </w:rPr>
        <w:t xml:space="preserve">the significance </w:t>
      </w:r>
      <w:r w:rsidRPr="00D266A7">
        <w:rPr>
          <w:i/>
          <w:color w:val="2F5496" w:themeColor="accent1" w:themeShade="BF"/>
        </w:rPr>
        <w:t>remained</w:t>
      </w:r>
      <w:r w:rsidR="00DA2024" w:rsidRPr="00D266A7">
        <w:rPr>
          <w:i/>
          <w:color w:val="2F5496" w:themeColor="accent1" w:themeShade="BF"/>
        </w:rPr>
        <w:t xml:space="preserve"> in the same order of magnitude range, i.e. the same number of “stars” per</w:t>
      </w:r>
      <w:r w:rsidR="00EA4D76" w:rsidRPr="00D266A7">
        <w:rPr>
          <w:i/>
          <w:color w:val="2F5496" w:themeColor="accent1" w:themeShade="BF"/>
        </w:rPr>
        <w:t xml:space="preserve"> </w:t>
      </w:r>
      <w:r w:rsidR="00686B8C" w:rsidRPr="00D266A7">
        <w:rPr>
          <w:i/>
          <w:color w:val="2F5496" w:themeColor="accent1" w:themeShade="BF"/>
        </w:rPr>
        <w:t xml:space="preserve">comparison. </w:t>
      </w:r>
      <w:r w:rsidR="006F2DA7" w:rsidRPr="00D266A7">
        <w:rPr>
          <w:i/>
          <w:color w:val="2F5496" w:themeColor="accent1" w:themeShade="BF"/>
        </w:rPr>
        <w:t>D</w:t>
      </w:r>
      <w:r w:rsidRPr="00D266A7">
        <w:rPr>
          <w:i/>
          <w:color w:val="2F5496" w:themeColor="accent1" w:themeShade="BF"/>
        </w:rPr>
        <w:t xml:space="preserve">etails </w:t>
      </w:r>
      <w:r w:rsidR="006F2DA7" w:rsidRPr="00D266A7">
        <w:rPr>
          <w:i/>
          <w:color w:val="2F5496" w:themeColor="accent1" w:themeShade="BF"/>
        </w:rPr>
        <w:t xml:space="preserve">on data distribution testing </w:t>
      </w:r>
      <w:r w:rsidRPr="00D266A7">
        <w:rPr>
          <w:i/>
          <w:color w:val="2F5496" w:themeColor="accent1" w:themeShade="BF"/>
        </w:rPr>
        <w:t>are now added into the MM in the appropriate section.</w:t>
      </w:r>
      <w:r w:rsidR="00675049" w:rsidRPr="00D266A7">
        <w:rPr>
          <w:color w:val="2F5496" w:themeColor="accent1" w:themeShade="BF"/>
        </w:rPr>
        <w:br/>
      </w:r>
      <w:r w:rsidR="00675049">
        <w:br/>
        <w:t xml:space="preserve">2. The control group of samples used for each comparison is also another flaw of this work. Indeed, it is not clear what was the sample(s) that the authors used to compare with the deltaCt method the wt, wtGdnfhyper or the deltaCre animals in term of gene expression in the different tissues. This is crucial to the idea that GNDF regulates several genes including those of nitrergic signalling. As an example, in Figure 1A, which should represent GDNF expression variability in healthy human gut (from expression databases) it is reported the log2FC (fold change). Since these are all healthy, which is the comparison </w:t>
      </w:r>
      <w:r w:rsidR="00196542">
        <w:t>group?</w:t>
      </w:r>
      <w:r w:rsidR="00675049">
        <w:t xml:space="preserve"> This is an unclear key aspect since it generates all subsequent data.</w:t>
      </w:r>
    </w:p>
    <w:p w14:paraId="7CF61E3C" w14:textId="6AA1FEBA" w:rsidR="00D1269C" w:rsidRPr="00D266A7" w:rsidRDefault="00A077EC" w:rsidP="00D1269C">
      <w:pPr>
        <w:pStyle w:val="Bibliography1"/>
        <w:spacing w:before="100" w:after="100"/>
        <w:rPr>
          <w:rFonts w:asciiTheme="minorHAnsi" w:hAnsiTheme="minorHAnsi" w:cstheme="minorHAnsi"/>
          <w:i/>
          <w:color w:val="2F5496" w:themeColor="accent1" w:themeShade="BF"/>
          <w:sz w:val="22"/>
          <w:szCs w:val="22"/>
          <w:lang w:val="en-US"/>
        </w:rPr>
      </w:pPr>
      <w:r w:rsidRPr="00D266A7">
        <w:rPr>
          <w:rFonts w:asciiTheme="minorHAnsi" w:hAnsiTheme="minorHAnsi" w:cstheme="minorHAnsi"/>
          <w:i/>
          <w:color w:val="2F5496" w:themeColor="accent1" w:themeShade="BF"/>
          <w:sz w:val="22"/>
          <w:szCs w:val="22"/>
          <w:lang w:val="en-US"/>
        </w:rPr>
        <w:t xml:space="preserve">ANSWER: </w:t>
      </w:r>
      <w:r w:rsidR="00C7129C" w:rsidRPr="00D266A7">
        <w:rPr>
          <w:rFonts w:asciiTheme="minorHAnsi" w:hAnsiTheme="minorHAnsi" w:cstheme="minorHAnsi"/>
          <w:i/>
          <w:color w:val="2F5496" w:themeColor="accent1" w:themeShade="BF"/>
          <w:sz w:val="22"/>
          <w:szCs w:val="22"/>
          <w:lang w:val="en-US"/>
        </w:rPr>
        <w:t xml:space="preserve">We appreciate the reviewer's </w:t>
      </w:r>
      <w:r w:rsidRPr="00D266A7">
        <w:rPr>
          <w:rFonts w:asciiTheme="minorHAnsi" w:hAnsiTheme="minorHAnsi" w:cstheme="minorHAnsi"/>
          <w:i/>
          <w:color w:val="2F5496" w:themeColor="accent1" w:themeShade="BF"/>
          <w:sz w:val="22"/>
          <w:szCs w:val="22"/>
          <w:lang w:val="en-US"/>
        </w:rPr>
        <w:t>question and apologize for not opening these important details in sufficient degree</w:t>
      </w:r>
      <w:r w:rsidR="00C7129C" w:rsidRPr="00D266A7">
        <w:rPr>
          <w:rFonts w:asciiTheme="minorHAnsi" w:hAnsiTheme="minorHAnsi" w:cstheme="minorHAnsi"/>
          <w:i/>
          <w:color w:val="2F5496" w:themeColor="accent1" w:themeShade="BF"/>
          <w:sz w:val="22"/>
          <w:szCs w:val="22"/>
          <w:lang w:val="en-US"/>
        </w:rPr>
        <w:t xml:space="preserve">. </w:t>
      </w:r>
      <w:r w:rsidRPr="00D266A7">
        <w:rPr>
          <w:rFonts w:asciiTheme="minorHAnsi" w:hAnsiTheme="minorHAnsi" w:cstheme="minorHAnsi"/>
          <w:i/>
          <w:color w:val="2F5496" w:themeColor="accent1" w:themeShade="BF"/>
          <w:sz w:val="22"/>
          <w:szCs w:val="22"/>
          <w:lang w:val="en-US"/>
        </w:rPr>
        <w:t xml:space="preserve">These issues are now better explained in the relevant MM sections as further detailed below. Point-by-point answer: </w:t>
      </w:r>
      <w:r w:rsidR="00950220" w:rsidRPr="00D266A7">
        <w:rPr>
          <w:rFonts w:asciiTheme="minorHAnsi" w:hAnsiTheme="minorHAnsi" w:cstheme="minorHAnsi"/>
          <w:i/>
          <w:color w:val="2F5496" w:themeColor="accent1" w:themeShade="BF"/>
          <w:sz w:val="22"/>
          <w:szCs w:val="22"/>
          <w:lang w:val="en-US"/>
        </w:rPr>
        <w:t xml:space="preserve">When Gdnf hypermorphs animals were </w:t>
      </w:r>
      <w:r w:rsidRPr="00D266A7">
        <w:rPr>
          <w:rFonts w:asciiTheme="minorHAnsi" w:hAnsiTheme="minorHAnsi" w:cstheme="minorHAnsi"/>
          <w:i/>
          <w:color w:val="2F5496" w:themeColor="accent1" w:themeShade="BF"/>
          <w:sz w:val="22"/>
          <w:szCs w:val="22"/>
          <w:lang w:val="en-US"/>
        </w:rPr>
        <w:t xml:space="preserve">analyzed </w:t>
      </w:r>
      <w:r w:rsidR="00950220" w:rsidRPr="00D266A7">
        <w:rPr>
          <w:rFonts w:asciiTheme="minorHAnsi" w:hAnsiTheme="minorHAnsi" w:cstheme="minorHAnsi"/>
          <w:i/>
          <w:color w:val="2F5496" w:themeColor="accent1" w:themeShade="BF"/>
          <w:sz w:val="22"/>
          <w:szCs w:val="22"/>
          <w:lang w:val="en-US"/>
        </w:rPr>
        <w:t xml:space="preserve">control group was litter matched wild type animals. </w:t>
      </w:r>
      <w:bookmarkStart w:id="0" w:name="_Hlk169185130"/>
      <w:r w:rsidR="00950220" w:rsidRPr="00D266A7">
        <w:rPr>
          <w:rFonts w:asciiTheme="minorHAnsi" w:hAnsiTheme="minorHAnsi" w:cstheme="minorHAnsi"/>
          <w:i/>
          <w:color w:val="2F5496" w:themeColor="accent1" w:themeShade="BF"/>
          <w:sz w:val="22"/>
          <w:szCs w:val="22"/>
          <w:lang w:val="en-US"/>
        </w:rPr>
        <w:t>When cHyper x Del-</w:t>
      </w:r>
      <w:r w:rsidRPr="00D266A7">
        <w:rPr>
          <w:rFonts w:asciiTheme="minorHAnsi" w:hAnsiTheme="minorHAnsi" w:cstheme="minorHAnsi"/>
          <w:i/>
          <w:color w:val="2F5496" w:themeColor="accent1" w:themeShade="BF"/>
          <w:sz w:val="22"/>
          <w:szCs w:val="22"/>
          <w:lang w:val="en-US"/>
        </w:rPr>
        <w:t>C</w:t>
      </w:r>
      <w:r w:rsidR="00950220" w:rsidRPr="00D266A7">
        <w:rPr>
          <w:rFonts w:asciiTheme="minorHAnsi" w:hAnsiTheme="minorHAnsi" w:cstheme="minorHAnsi"/>
          <w:i/>
          <w:color w:val="2F5496" w:themeColor="accent1" w:themeShade="BF"/>
          <w:sz w:val="22"/>
          <w:szCs w:val="22"/>
          <w:lang w:val="en-US"/>
        </w:rPr>
        <w:t xml:space="preserve">re animals were </w:t>
      </w:r>
      <w:r w:rsidRPr="00D266A7">
        <w:rPr>
          <w:rFonts w:asciiTheme="minorHAnsi" w:hAnsiTheme="minorHAnsi" w:cstheme="minorHAnsi"/>
          <w:i/>
          <w:color w:val="2F5496" w:themeColor="accent1" w:themeShade="BF"/>
          <w:sz w:val="22"/>
          <w:szCs w:val="22"/>
          <w:lang w:val="en-US"/>
        </w:rPr>
        <w:t xml:space="preserve">analyzed </w:t>
      </w:r>
      <w:r w:rsidR="00950220" w:rsidRPr="00D266A7">
        <w:rPr>
          <w:rFonts w:asciiTheme="minorHAnsi" w:hAnsiTheme="minorHAnsi" w:cstheme="minorHAnsi"/>
          <w:i/>
          <w:color w:val="2F5496" w:themeColor="accent1" w:themeShade="BF"/>
          <w:sz w:val="22"/>
          <w:szCs w:val="22"/>
          <w:lang w:val="en-US"/>
        </w:rPr>
        <w:t xml:space="preserve">Control group was litter matched </w:t>
      </w:r>
      <w:r w:rsidR="00C827CE" w:rsidRPr="00D266A7">
        <w:rPr>
          <w:rFonts w:asciiTheme="minorHAnsi" w:hAnsiTheme="minorHAnsi" w:cstheme="minorHAnsi"/>
          <w:i/>
          <w:color w:val="2F5496" w:themeColor="accent1" w:themeShade="BF"/>
          <w:sz w:val="22"/>
          <w:szCs w:val="22"/>
          <w:lang w:val="en-US"/>
        </w:rPr>
        <w:t xml:space="preserve">–Cre </w:t>
      </w:r>
      <w:r w:rsidRPr="00D266A7">
        <w:rPr>
          <w:rFonts w:asciiTheme="minorHAnsi" w:hAnsiTheme="minorHAnsi" w:cstheme="minorHAnsi"/>
          <w:i/>
          <w:color w:val="2F5496" w:themeColor="accent1" w:themeShade="BF"/>
          <w:sz w:val="22"/>
          <w:szCs w:val="22"/>
          <w:lang w:val="en-US"/>
        </w:rPr>
        <w:t xml:space="preserve">(Cre negative) </w:t>
      </w:r>
      <w:r w:rsidR="00C827CE" w:rsidRPr="00D266A7">
        <w:rPr>
          <w:rFonts w:asciiTheme="minorHAnsi" w:hAnsiTheme="minorHAnsi" w:cstheme="minorHAnsi"/>
          <w:i/>
          <w:color w:val="2F5496" w:themeColor="accent1" w:themeShade="BF"/>
          <w:sz w:val="22"/>
          <w:szCs w:val="22"/>
          <w:lang w:val="en-US"/>
        </w:rPr>
        <w:t>x</w:t>
      </w:r>
      <w:r w:rsidR="00502D0D" w:rsidRPr="00D266A7">
        <w:rPr>
          <w:rFonts w:asciiTheme="minorHAnsi" w:hAnsiTheme="minorHAnsi" w:cstheme="minorHAnsi"/>
          <w:i/>
          <w:color w:val="2F5496" w:themeColor="accent1" w:themeShade="BF"/>
          <w:sz w:val="22"/>
          <w:szCs w:val="22"/>
          <w:lang w:val="en-US"/>
        </w:rPr>
        <w:t xml:space="preserve"> </w:t>
      </w:r>
      <w:r w:rsidR="00196542" w:rsidRPr="00D266A7">
        <w:rPr>
          <w:rFonts w:asciiTheme="minorHAnsi" w:hAnsiTheme="minorHAnsi" w:cstheme="minorHAnsi"/>
          <w:i/>
          <w:color w:val="2F5496" w:themeColor="accent1" w:themeShade="BF"/>
          <w:sz w:val="22"/>
          <w:szCs w:val="22"/>
          <w:lang w:val="en-US"/>
        </w:rPr>
        <w:t>cHyper animals</w:t>
      </w:r>
      <w:r w:rsidR="00C827CE" w:rsidRPr="00D266A7">
        <w:rPr>
          <w:rFonts w:asciiTheme="minorHAnsi" w:hAnsiTheme="minorHAnsi" w:cstheme="minorHAnsi"/>
          <w:i/>
          <w:color w:val="2F5496" w:themeColor="accent1" w:themeShade="BF"/>
          <w:sz w:val="22"/>
          <w:szCs w:val="22"/>
          <w:lang w:val="en-US"/>
        </w:rPr>
        <w:t xml:space="preserve"> and +Cre </w:t>
      </w:r>
      <w:r w:rsidRPr="00D266A7">
        <w:rPr>
          <w:rFonts w:asciiTheme="minorHAnsi" w:hAnsiTheme="minorHAnsi" w:cstheme="minorHAnsi"/>
          <w:i/>
          <w:color w:val="2F5496" w:themeColor="accent1" w:themeShade="BF"/>
          <w:sz w:val="22"/>
          <w:szCs w:val="22"/>
          <w:lang w:val="en-US"/>
        </w:rPr>
        <w:t xml:space="preserve">(Cre positive) </w:t>
      </w:r>
      <w:r w:rsidR="00C827CE" w:rsidRPr="00D266A7">
        <w:rPr>
          <w:rFonts w:asciiTheme="minorHAnsi" w:hAnsiTheme="minorHAnsi" w:cstheme="minorHAnsi"/>
          <w:i/>
          <w:color w:val="2F5496" w:themeColor="accent1" w:themeShade="BF"/>
          <w:sz w:val="22"/>
          <w:szCs w:val="22"/>
          <w:lang w:val="en-US"/>
        </w:rPr>
        <w:t>x wt animals</w:t>
      </w:r>
      <w:r w:rsidR="00D1269C" w:rsidRPr="00D266A7">
        <w:rPr>
          <w:rFonts w:asciiTheme="minorHAnsi" w:hAnsiTheme="minorHAnsi" w:cstheme="minorHAnsi"/>
          <w:i/>
          <w:color w:val="2F5496" w:themeColor="accent1" w:themeShade="BF"/>
          <w:sz w:val="22"/>
          <w:szCs w:val="22"/>
          <w:lang w:val="en-US"/>
        </w:rPr>
        <w:t>.</w:t>
      </w:r>
      <w:r w:rsidR="00D93721" w:rsidRPr="00D266A7">
        <w:rPr>
          <w:rFonts w:asciiTheme="minorHAnsi" w:hAnsiTheme="minorHAnsi" w:cstheme="minorHAnsi"/>
          <w:i/>
          <w:color w:val="2F5496" w:themeColor="accent1" w:themeShade="BF"/>
          <w:sz w:val="22"/>
          <w:szCs w:val="22"/>
          <w:lang w:val="en-US"/>
        </w:rPr>
        <w:t xml:space="preserve"> This is </w:t>
      </w:r>
      <w:r w:rsidRPr="00D266A7">
        <w:rPr>
          <w:rFonts w:asciiTheme="minorHAnsi" w:hAnsiTheme="minorHAnsi" w:cstheme="minorHAnsi"/>
          <w:i/>
          <w:color w:val="2F5496" w:themeColor="accent1" w:themeShade="BF"/>
          <w:sz w:val="22"/>
          <w:szCs w:val="22"/>
          <w:lang w:val="en-US"/>
        </w:rPr>
        <w:t xml:space="preserve">information is </w:t>
      </w:r>
      <w:r w:rsidR="00D93721" w:rsidRPr="00D266A7">
        <w:rPr>
          <w:rFonts w:asciiTheme="minorHAnsi" w:hAnsiTheme="minorHAnsi" w:cstheme="minorHAnsi"/>
          <w:i/>
          <w:color w:val="2F5496" w:themeColor="accent1" w:themeShade="BF"/>
          <w:sz w:val="22"/>
          <w:szCs w:val="22"/>
          <w:lang w:val="en-US"/>
        </w:rPr>
        <w:t>now included in</w:t>
      </w:r>
      <w:r w:rsidRPr="00D266A7">
        <w:rPr>
          <w:rFonts w:asciiTheme="minorHAnsi" w:hAnsiTheme="minorHAnsi" w:cstheme="minorHAnsi"/>
          <w:i/>
          <w:color w:val="2F5496" w:themeColor="accent1" w:themeShade="BF"/>
          <w:sz w:val="22"/>
          <w:szCs w:val="22"/>
          <w:lang w:val="en-US"/>
        </w:rPr>
        <w:t>to</w:t>
      </w:r>
      <w:r w:rsidR="00D93721" w:rsidRPr="00D266A7">
        <w:rPr>
          <w:rFonts w:asciiTheme="minorHAnsi" w:hAnsiTheme="minorHAnsi" w:cstheme="minorHAnsi"/>
          <w:i/>
          <w:color w:val="2F5496" w:themeColor="accent1" w:themeShade="BF"/>
          <w:sz w:val="22"/>
          <w:szCs w:val="22"/>
          <w:lang w:val="en-US"/>
        </w:rPr>
        <w:t xml:space="preserve"> materials and methods under </w:t>
      </w:r>
      <w:r w:rsidRPr="00D266A7">
        <w:rPr>
          <w:rFonts w:asciiTheme="minorHAnsi" w:hAnsiTheme="minorHAnsi" w:cstheme="minorHAnsi"/>
          <w:i/>
          <w:color w:val="2F5496" w:themeColor="accent1" w:themeShade="BF"/>
          <w:sz w:val="22"/>
          <w:szCs w:val="22"/>
          <w:lang w:val="en-US"/>
        </w:rPr>
        <w:t xml:space="preserve">the </w:t>
      </w:r>
      <w:r w:rsidR="00D93721" w:rsidRPr="00D266A7">
        <w:rPr>
          <w:rFonts w:asciiTheme="minorHAnsi" w:hAnsiTheme="minorHAnsi" w:cstheme="minorHAnsi"/>
          <w:i/>
          <w:color w:val="2F5496" w:themeColor="accent1" w:themeShade="BF"/>
          <w:sz w:val="22"/>
          <w:szCs w:val="22"/>
          <w:lang w:val="en-US"/>
        </w:rPr>
        <w:t>Animals section.</w:t>
      </w:r>
      <w:r w:rsidR="00D1269C" w:rsidRPr="00D266A7">
        <w:rPr>
          <w:rFonts w:asciiTheme="minorHAnsi" w:hAnsiTheme="minorHAnsi" w:cstheme="minorHAnsi"/>
          <w:i/>
          <w:color w:val="2F5496" w:themeColor="accent1" w:themeShade="BF"/>
          <w:sz w:val="22"/>
          <w:szCs w:val="22"/>
          <w:lang w:val="en-US"/>
        </w:rPr>
        <w:t xml:space="preserve"> </w:t>
      </w:r>
      <w:bookmarkEnd w:id="0"/>
      <w:r w:rsidR="00D1269C" w:rsidRPr="00D266A7">
        <w:rPr>
          <w:rFonts w:asciiTheme="minorHAnsi" w:hAnsiTheme="minorHAnsi" w:cstheme="minorHAnsi"/>
          <w:i/>
          <w:color w:val="2F5496" w:themeColor="accent1" w:themeShade="BF"/>
          <w:sz w:val="22"/>
          <w:szCs w:val="22"/>
          <w:lang w:val="en-US"/>
        </w:rPr>
        <w:t xml:space="preserve">Regarding Figure 1A, </w:t>
      </w:r>
      <w:r w:rsidR="009A53F5" w:rsidRPr="00D266A7">
        <w:rPr>
          <w:rFonts w:asciiTheme="minorHAnsi" w:hAnsiTheme="minorHAnsi" w:cstheme="minorHAnsi"/>
          <w:i/>
          <w:color w:val="2F5496" w:themeColor="accent1" w:themeShade="BF"/>
          <w:sz w:val="22"/>
          <w:szCs w:val="22"/>
          <w:lang w:val="en-US"/>
        </w:rPr>
        <w:t>we would like to</w:t>
      </w:r>
      <w:r w:rsidR="00D1269C" w:rsidRPr="00D266A7">
        <w:rPr>
          <w:rFonts w:asciiTheme="minorHAnsi" w:hAnsiTheme="minorHAnsi" w:cstheme="minorHAnsi"/>
          <w:i/>
          <w:color w:val="2F5496" w:themeColor="accent1" w:themeShade="BF"/>
          <w:sz w:val="22"/>
          <w:szCs w:val="22"/>
          <w:lang w:val="en-US"/>
        </w:rPr>
        <w:t xml:space="preserve"> clarify that our intention was not to compare two distinct groups; rather, our objective was to </w:t>
      </w:r>
      <w:r w:rsidRPr="00D266A7">
        <w:rPr>
          <w:rFonts w:asciiTheme="minorHAnsi" w:hAnsiTheme="minorHAnsi" w:cstheme="minorHAnsi"/>
          <w:i/>
          <w:color w:val="2F5496" w:themeColor="accent1" w:themeShade="BF"/>
          <w:sz w:val="22"/>
          <w:szCs w:val="22"/>
          <w:lang w:val="en-US"/>
        </w:rPr>
        <w:t xml:space="preserve">analyze </w:t>
      </w:r>
      <w:r w:rsidR="00D1269C" w:rsidRPr="00D266A7">
        <w:rPr>
          <w:rFonts w:asciiTheme="minorHAnsi" w:hAnsiTheme="minorHAnsi" w:cstheme="minorHAnsi"/>
          <w:i/>
          <w:color w:val="2F5496" w:themeColor="accent1" w:themeShade="BF"/>
          <w:sz w:val="22"/>
          <w:szCs w:val="22"/>
          <w:lang w:val="en-US"/>
        </w:rPr>
        <w:t xml:space="preserve">the diversity of GDNF expression levels observed in healthy human </w:t>
      </w:r>
      <w:r w:rsidRPr="00D266A7">
        <w:rPr>
          <w:rFonts w:asciiTheme="minorHAnsi" w:hAnsiTheme="minorHAnsi" w:cstheme="minorHAnsi"/>
          <w:i/>
          <w:color w:val="2F5496" w:themeColor="accent1" w:themeShade="BF"/>
          <w:sz w:val="22"/>
          <w:szCs w:val="22"/>
          <w:lang w:val="en-US"/>
        </w:rPr>
        <w:t xml:space="preserve">individual </w:t>
      </w:r>
      <w:r w:rsidR="00D1269C" w:rsidRPr="00D266A7">
        <w:rPr>
          <w:rFonts w:asciiTheme="minorHAnsi" w:hAnsiTheme="minorHAnsi" w:cstheme="minorHAnsi"/>
          <w:i/>
          <w:color w:val="2F5496" w:themeColor="accent1" w:themeShade="BF"/>
          <w:sz w:val="22"/>
          <w:szCs w:val="22"/>
          <w:lang w:val="en-US"/>
        </w:rPr>
        <w:t xml:space="preserve">colon tissues. To achieve this, we </w:t>
      </w:r>
      <w:r w:rsidRPr="00D266A7">
        <w:rPr>
          <w:rFonts w:asciiTheme="minorHAnsi" w:hAnsiTheme="minorHAnsi" w:cstheme="minorHAnsi"/>
          <w:i/>
          <w:color w:val="2F5496" w:themeColor="accent1" w:themeShade="BF"/>
          <w:sz w:val="22"/>
          <w:szCs w:val="22"/>
          <w:lang w:val="en-US"/>
        </w:rPr>
        <w:lastRenderedPageBreak/>
        <w:t xml:space="preserve">indeed </w:t>
      </w:r>
      <w:r w:rsidR="00D1269C" w:rsidRPr="00D266A7">
        <w:rPr>
          <w:rFonts w:asciiTheme="minorHAnsi" w:hAnsiTheme="minorHAnsi" w:cstheme="minorHAnsi"/>
          <w:i/>
          <w:color w:val="2F5496" w:themeColor="accent1" w:themeShade="BF"/>
          <w:sz w:val="22"/>
          <w:szCs w:val="22"/>
          <w:lang w:val="en-US"/>
        </w:rPr>
        <w:t>utilized publicly available databases, specifically deriving data from the GEPIA online tool based on the TCGA database. The y-axis in Figure 1A, represents the TPM (transcript per million) values in log2 scale.</w:t>
      </w:r>
      <w:r w:rsidR="00BD3ED7" w:rsidRPr="00D266A7">
        <w:rPr>
          <w:rFonts w:asciiTheme="minorHAnsi" w:hAnsiTheme="minorHAnsi" w:cstheme="minorHAnsi"/>
          <w:i/>
          <w:color w:val="2F5496" w:themeColor="accent1" w:themeShade="BF"/>
          <w:sz w:val="22"/>
          <w:szCs w:val="22"/>
          <w:lang w:val="en-US"/>
        </w:rPr>
        <w:t xml:space="preserve"> </w:t>
      </w:r>
      <w:r w:rsidR="00D1269C" w:rsidRPr="00D266A7">
        <w:rPr>
          <w:rFonts w:asciiTheme="minorHAnsi" w:hAnsiTheme="minorHAnsi" w:cstheme="minorHAnsi"/>
          <w:i/>
          <w:color w:val="2F5496" w:themeColor="accent1" w:themeShade="BF"/>
          <w:sz w:val="22"/>
          <w:szCs w:val="22"/>
          <w:lang w:val="en-US"/>
        </w:rPr>
        <w:t xml:space="preserve">TPM normalizes the read counts by transcript length and the total number of mapped reads in the </w:t>
      </w:r>
      <w:r w:rsidRPr="00D266A7">
        <w:rPr>
          <w:rFonts w:asciiTheme="minorHAnsi" w:hAnsiTheme="minorHAnsi" w:cstheme="minorHAnsi"/>
          <w:i/>
          <w:color w:val="2F5496" w:themeColor="accent1" w:themeShade="BF"/>
          <w:sz w:val="22"/>
          <w:szCs w:val="22"/>
          <w:lang w:val="en-US"/>
        </w:rPr>
        <w:t xml:space="preserve">individual </w:t>
      </w:r>
      <w:r w:rsidR="00D1269C" w:rsidRPr="00D266A7">
        <w:rPr>
          <w:rFonts w:asciiTheme="minorHAnsi" w:hAnsiTheme="minorHAnsi" w:cstheme="minorHAnsi"/>
          <w:i/>
          <w:color w:val="2F5496" w:themeColor="accent1" w:themeShade="BF"/>
          <w:sz w:val="22"/>
          <w:szCs w:val="22"/>
          <w:lang w:val="en-US"/>
        </w:rPr>
        <w:t xml:space="preserve">sample, allowing for comparisons of gene expression levels between different </w:t>
      </w:r>
      <w:r w:rsidRPr="00D266A7">
        <w:rPr>
          <w:rFonts w:asciiTheme="minorHAnsi" w:hAnsiTheme="minorHAnsi" w:cstheme="minorHAnsi"/>
          <w:i/>
          <w:color w:val="2F5496" w:themeColor="accent1" w:themeShade="BF"/>
          <w:sz w:val="22"/>
          <w:szCs w:val="22"/>
          <w:lang w:val="en-US"/>
        </w:rPr>
        <w:t xml:space="preserve">individual </w:t>
      </w:r>
      <w:r w:rsidR="00D1269C" w:rsidRPr="00D266A7">
        <w:rPr>
          <w:rFonts w:asciiTheme="minorHAnsi" w:hAnsiTheme="minorHAnsi" w:cstheme="minorHAnsi"/>
          <w:i/>
          <w:color w:val="2F5496" w:themeColor="accent1" w:themeShade="BF"/>
          <w:sz w:val="22"/>
          <w:szCs w:val="22"/>
          <w:lang w:val="en-US"/>
        </w:rPr>
        <w:t>samples. The more formal explanation is:</w:t>
      </w:r>
    </w:p>
    <w:p w14:paraId="08F2E979" w14:textId="60B96F7B" w:rsidR="00D1269C" w:rsidRPr="000919D3" w:rsidRDefault="00707C77" w:rsidP="00D1269C">
      <w:pPr>
        <w:pStyle w:val="Bibliography1"/>
        <w:spacing w:before="100" w:after="100"/>
        <w:rPr>
          <w:rFonts w:asciiTheme="minorHAnsi" w:hAnsiTheme="minorHAnsi" w:cstheme="minorHAnsi"/>
          <w:i/>
          <w:sz w:val="22"/>
          <w:szCs w:val="22"/>
          <w:lang w:val="en-US"/>
        </w:rPr>
      </w:pPr>
      <m:oMathPara>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TPM</m:t>
              </m:r>
            </m:e>
            <m:sub>
              <m:r>
                <w:rPr>
                  <w:rFonts w:ascii="Cambria Math" w:hAnsi="Cambria Math" w:cstheme="minorHAnsi"/>
                  <w:sz w:val="22"/>
                  <w:szCs w:val="22"/>
                  <w:lang w:val="en-US"/>
                </w:rPr>
                <m:t>i</m:t>
              </m:r>
            </m:sub>
          </m:sSub>
          <m:r>
            <w:rPr>
              <w:rFonts w:ascii="Cambria Math" w:hAnsi="Cambria Math" w:cstheme="minorHAnsi"/>
              <w:sz w:val="22"/>
              <w:szCs w:val="22"/>
              <w:lang w:val="en-US"/>
            </w:rPr>
            <m:t xml:space="preserve">= </m:t>
          </m:r>
          <m:f>
            <m:fPr>
              <m:ctrlPr>
                <w:rPr>
                  <w:rFonts w:ascii="Cambria Math" w:hAnsi="Cambria Math" w:cstheme="minorHAnsi"/>
                  <w:i/>
                  <w:sz w:val="22"/>
                  <w:szCs w:val="22"/>
                  <w:lang w:val="en-US"/>
                </w:rPr>
              </m:ctrlPr>
            </m:fPr>
            <m:num>
              <m:f>
                <m:fPr>
                  <m:type m:val="skw"/>
                  <m:ctrlPr>
                    <w:rPr>
                      <w:rFonts w:ascii="Cambria Math" w:hAnsi="Cambria Math" w:cstheme="minorHAnsi"/>
                      <w:i/>
                      <w:sz w:val="22"/>
                      <w:szCs w:val="22"/>
                    </w:rPr>
                  </m:ctrlPr>
                </m:fPr>
                <m:num>
                  <m:sSub>
                    <m:sSubPr>
                      <m:ctrlPr>
                        <w:rPr>
                          <w:rFonts w:ascii="Cambria Math" w:hAnsi="Cambria Math" w:cstheme="minorHAnsi"/>
                          <w:i/>
                          <w:sz w:val="22"/>
                          <w:szCs w:val="22"/>
                        </w:rPr>
                      </m:ctrlPr>
                    </m:sSubPr>
                    <m:e>
                      <m:r>
                        <w:rPr>
                          <w:rFonts w:ascii="Cambria Math" w:hAnsi="Cambria Math" w:cstheme="minorHAnsi"/>
                          <w:sz w:val="22"/>
                          <w:szCs w:val="22"/>
                        </w:rPr>
                        <m:t>q</m:t>
                      </m:r>
                    </m:e>
                    <m:sub>
                      <m:r>
                        <w:rPr>
                          <w:rFonts w:ascii="Cambria Math" w:hAnsi="Cambria Math" w:cstheme="minorHAnsi"/>
                          <w:sz w:val="22"/>
                          <w:szCs w:val="22"/>
                        </w:rPr>
                        <m:t>i</m:t>
                      </m:r>
                    </m:sub>
                  </m:sSub>
                </m:num>
                <m:den>
                  <m:sSub>
                    <m:sSubPr>
                      <m:ctrlPr>
                        <w:rPr>
                          <w:rFonts w:ascii="Cambria Math" w:hAnsi="Cambria Math" w:cstheme="minorHAnsi"/>
                          <w:i/>
                          <w:sz w:val="22"/>
                          <w:szCs w:val="22"/>
                        </w:rPr>
                      </m:ctrlPr>
                    </m:sSubPr>
                    <m:e>
                      <m:r>
                        <w:rPr>
                          <w:rFonts w:ascii="Cambria Math" w:hAnsi="Cambria Math" w:cstheme="minorHAnsi"/>
                          <w:sz w:val="22"/>
                          <w:szCs w:val="22"/>
                        </w:rPr>
                        <m:t>l</m:t>
                      </m:r>
                    </m:e>
                    <m:sub>
                      <m:r>
                        <w:rPr>
                          <w:rFonts w:ascii="Cambria Math" w:hAnsi="Cambria Math" w:cstheme="minorHAnsi"/>
                          <w:sz w:val="22"/>
                          <w:szCs w:val="22"/>
                        </w:rPr>
                        <m:t>i</m:t>
                      </m:r>
                    </m:sub>
                  </m:sSub>
                </m:den>
              </m:f>
            </m:num>
            <m:den>
              <m:nary>
                <m:naryPr>
                  <m:chr m:val="∑"/>
                  <m:limLoc m:val="undOvr"/>
                  <m:supHide m:val="1"/>
                  <m:ctrlPr>
                    <w:rPr>
                      <w:rFonts w:ascii="Cambria Math" w:hAnsi="Cambria Math" w:cstheme="minorHAnsi"/>
                      <w:i/>
                      <w:sz w:val="22"/>
                      <w:szCs w:val="22"/>
                      <w:lang w:val="en-US"/>
                    </w:rPr>
                  </m:ctrlPr>
                </m:naryPr>
                <m:sub>
                  <m:r>
                    <w:rPr>
                      <w:rFonts w:ascii="Cambria Math" w:hAnsi="Cambria Math" w:cstheme="minorHAnsi"/>
                      <w:sz w:val="22"/>
                      <w:szCs w:val="22"/>
                      <w:lang w:val="en-US"/>
                    </w:rPr>
                    <m:t>j</m:t>
                  </m:r>
                </m:sub>
                <m:sup/>
                <m:e>
                  <m:f>
                    <m:fPr>
                      <m:type m:val="skw"/>
                      <m:ctrlPr>
                        <w:rPr>
                          <w:rFonts w:ascii="Cambria Math" w:hAnsi="Cambria Math" w:cstheme="minorHAnsi"/>
                          <w:i/>
                          <w:sz w:val="22"/>
                          <w:szCs w:val="22"/>
                        </w:rPr>
                      </m:ctrlPr>
                    </m:fPr>
                    <m:num>
                      <m:sSub>
                        <m:sSubPr>
                          <m:ctrlPr>
                            <w:rPr>
                              <w:rFonts w:ascii="Cambria Math" w:hAnsi="Cambria Math" w:cstheme="minorHAnsi"/>
                              <w:i/>
                              <w:sz w:val="22"/>
                              <w:szCs w:val="22"/>
                            </w:rPr>
                          </m:ctrlPr>
                        </m:sSubPr>
                        <m:e>
                          <m:r>
                            <w:rPr>
                              <w:rFonts w:ascii="Cambria Math" w:hAnsi="Cambria Math" w:cstheme="minorHAnsi"/>
                              <w:sz w:val="22"/>
                              <w:szCs w:val="22"/>
                            </w:rPr>
                            <m:t>q</m:t>
                          </m:r>
                        </m:e>
                        <m:sub>
                          <m:r>
                            <w:rPr>
                              <w:rFonts w:ascii="Cambria Math" w:hAnsi="Cambria Math" w:cstheme="minorHAnsi"/>
                              <w:sz w:val="22"/>
                              <w:szCs w:val="22"/>
                            </w:rPr>
                            <m:t>j</m:t>
                          </m:r>
                        </m:sub>
                      </m:sSub>
                    </m:num>
                    <m:den>
                      <m:sSub>
                        <m:sSubPr>
                          <m:ctrlPr>
                            <w:rPr>
                              <w:rFonts w:ascii="Cambria Math" w:hAnsi="Cambria Math" w:cstheme="minorHAnsi"/>
                              <w:i/>
                              <w:sz w:val="22"/>
                              <w:szCs w:val="22"/>
                            </w:rPr>
                          </m:ctrlPr>
                        </m:sSubPr>
                        <m:e>
                          <m:r>
                            <w:rPr>
                              <w:rFonts w:ascii="Cambria Math" w:hAnsi="Cambria Math" w:cstheme="minorHAnsi"/>
                              <w:sz w:val="22"/>
                              <w:szCs w:val="22"/>
                            </w:rPr>
                            <m:t>l</m:t>
                          </m:r>
                        </m:e>
                        <m:sub>
                          <m:r>
                            <w:rPr>
                              <w:rFonts w:ascii="Cambria Math" w:hAnsi="Cambria Math" w:cstheme="minorHAnsi"/>
                              <w:sz w:val="22"/>
                              <w:szCs w:val="22"/>
                            </w:rPr>
                            <m:t>j</m:t>
                          </m:r>
                        </m:sub>
                      </m:sSub>
                    </m:den>
                  </m:f>
                </m:e>
              </m:nary>
            </m:den>
          </m:f>
          <m:r>
            <w:rPr>
              <w:rFonts w:ascii="Cambria Math" w:hAnsi="Cambria Math" w:cstheme="minorHAnsi"/>
              <w:sz w:val="22"/>
              <w:szCs w:val="22"/>
              <w:lang w:val="en-US"/>
            </w:rPr>
            <m:t>×</m:t>
          </m:r>
          <m:sSup>
            <m:sSupPr>
              <m:ctrlPr>
                <w:rPr>
                  <w:rFonts w:ascii="Cambria Math" w:hAnsi="Cambria Math" w:cstheme="minorHAnsi"/>
                  <w:i/>
                  <w:sz w:val="22"/>
                  <w:szCs w:val="22"/>
                  <w:lang w:val="en-US"/>
                </w:rPr>
              </m:ctrlPr>
            </m:sSupPr>
            <m:e>
              <m:r>
                <w:rPr>
                  <w:rFonts w:ascii="Cambria Math" w:hAnsi="Cambria Math" w:cstheme="minorHAnsi"/>
                  <w:sz w:val="22"/>
                  <w:szCs w:val="22"/>
                  <w:lang w:val="en-US"/>
                </w:rPr>
                <m:t>10</m:t>
              </m:r>
            </m:e>
            <m:sup>
              <m:r>
                <w:rPr>
                  <w:rFonts w:ascii="Cambria Math" w:hAnsi="Cambria Math" w:cstheme="minorHAnsi"/>
                  <w:sz w:val="22"/>
                  <w:szCs w:val="22"/>
                  <w:lang w:val="en-US"/>
                </w:rPr>
                <m:t>6</m:t>
              </m:r>
            </m:sup>
          </m:sSup>
        </m:oMath>
      </m:oMathPara>
    </w:p>
    <w:p w14:paraId="69F37C3B" w14:textId="5F80F5D6" w:rsidR="00D1269C" w:rsidRPr="00D266A7" w:rsidRDefault="00D1269C" w:rsidP="00D1269C">
      <w:pPr>
        <w:pStyle w:val="Bibliography1"/>
        <w:spacing w:before="100" w:after="100"/>
        <w:rPr>
          <w:rFonts w:asciiTheme="minorHAnsi" w:hAnsiTheme="minorHAnsi" w:cstheme="minorHAnsi"/>
          <w:i/>
          <w:color w:val="2F5496" w:themeColor="accent1" w:themeShade="BF"/>
          <w:sz w:val="22"/>
          <w:szCs w:val="22"/>
          <w:lang w:val="en-US"/>
        </w:rPr>
      </w:pPr>
      <w:r w:rsidRPr="00D266A7">
        <w:rPr>
          <w:rFonts w:asciiTheme="minorHAnsi" w:hAnsiTheme="minorHAnsi" w:cstheme="minorHAnsi"/>
          <w:i/>
          <w:color w:val="2F5496" w:themeColor="accent1" w:themeShade="BF"/>
          <w:sz w:val="22"/>
          <w:szCs w:val="22"/>
          <w:lang w:val="en-US"/>
        </w:rPr>
        <w:t xml:space="preserve">where </w:t>
      </w:r>
      <m:oMath>
        <m:sSub>
          <m:sSubPr>
            <m:ctrlPr>
              <w:rPr>
                <w:rFonts w:ascii="Cambria Math" w:hAnsi="Cambria Math" w:cstheme="minorHAnsi"/>
                <w:i/>
                <w:color w:val="2F5496" w:themeColor="accent1" w:themeShade="BF"/>
                <w:sz w:val="22"/>
                <w:szCs w:val="22"/>
              </w:rPr>
            </m:ctrlPr>
          </m:sSubPr>
          <m:e>
            <m:r>
              <w:rPr>
                <w:rFonts w:ascii="Cambria Math" w:hAnsi="Cambria Math" w:cstheme="minorHAnsi"/>
                <w:color w:val="2F5496" w:themeColor="accent1" w:themeShade="BF"/>
                <w:sz w:val="22"/>
                <w:szCs w:val="22"/>
              </w:rPr>
              <m:t>q</m:t>
            </m:r>
          </m:e>
          <m:sub>
            <m:r>
              <w:rPr>
                <w:rFonts w:ascii="Cambria Math" w:hAnsi="Cambria Math" w:cstheme="minorHAnsi"/>
                <w:color w:val="2F5496" w:themeColor="accent1" w:themeShade="BF"/>
                <w:sz w:val="22"/>
                <w:szCs w:val="22"/>
              </w:rPr>
              <m:t>i</m:t>
            </m:r>
          </m:sub>
        </m:sSub>
      </m:oMath>
      <w:r w:rsidRPr="00D266A7">
        <w:rPr>
          <w:rFonts w:asciiTheme="minorHAnsi" w:hAnsiTheme="minorHAnsi" w:cstheme="minorHAnsi"/>
          <w:i/>
          <w:color w:val="2F5496" w:themeColor="accent1" w:themeShade="BF"/>
          <w:sz w:val="22"/>
          <w:szCs w:val="22"/>
          <w:lang w:val="en-US"/>
        </w:rPr>
        <w:t xml:space="preserve"> denotes reads mapped to the transcript </w:t>
      </w:r>
      <m:oMath>
        <m:r>
          <w:rPr>
            <w:rFonts w:ascii="Cambria Math" w:hAnsi="Cambria Math" w:cstheme="minorHAnsi"/>
            <w:color w:val="2F5496" w:themeColor="accent1" w:themeShade="BF"/>
            <w:sz w:val="22"/>
            <w:szCs w:val="22"/>
          </w:rPr>
          <m:t>i</m:t>
        </m:r>
      </m:oMath>
      <w:r w:rsidRPr="00D266A7">
        <w:rPr>
          <w:rFonts w:asciiTheme="minorHAnsi" w:hAnsiTheme="minorHAnsi" w:cstheme="minorHAnsi"/>
          <w:i/>
          <w:color w:val="2F5496" w:themeColor="accent1" w:themeShade="BF"/>
          <w:sz w:val="22"/>
          <w:szCs w:val="22"/>
          <w:lang w:val="en-US"/>
        </w:rPr>
        <w:t xml:space="preserve">, and  </w:t>
      </w:r>
      <m:oMath>
        <m:sSub>
          <m:sSubPr>
            <m:ctrlPr>
              <w:rPr>
                <w:rFonts w:ascii="Cambria Math" w:hAnsi="Cambria Math" w:cstheme="minorHAnsi"/>
                <w:i/>
                <w:color w:val="2F5496" w:themeColor="accent1" w:themeShade="BF"/>
                <w:sz w:val="22"/>
                <w:szCs w:val="22"/>
              </w:rPr>
            </m:ctrlPr>
          </m:sSubPr>
          <m:e>
            <m:r>
              <w:rPr>
                <w:rFonts w:ascii="Cambria Math" w:hAnsi="Cambria Math" w:cstheme="minorHAnsi"/>
                <w:color w:val="2F5496" w:themeColor="accent1" w:themeShade="BF"/>
                <w:sz w:val="22"/>
                <w:szCs w:val="22"/>
              </w:rPr>
              <m:t>l</m:t>
            </m:r>
          </m:e>
          <m:sub>
            <m:r>
              <w:rPr>
                <w:rFonts w:ascii="Cambria Math" w:hAnsi="Cambria Math" w:cstheme="minorHAnsi"/>
                <w:color w:val="2F5496" w:themeColor="accent1" w:themeShade="BF"/>
                <w:sz w:val="22"/>
                <w:szCs w:val="22"/>
              </w:rPr>
              <m:t>i</m:t>
            </m:r>
          </m:sub>
        </m:sSub>
      </m:oMath>
      <w:r w:rsidRPr="00D266A7">
        <w:rPr>
          <w:rFonts w:asciiTheme="minorHAnsi" w:hAnsiTheme="minorHAnsi" w:cstheme="minorHAnsi"/>
          <w:i/>
          <w:color w:val="2F5496" w:themeColor="accent1" w:themeShade="BF"/>
          <w:sz w:val="22"/>
          <w:szCs w:val="22"/>
          <w:lang w:val="en-US"/>
        </w:rPr>
        <w:t xml:space="preserve"> is the transcript length.</w:t>
      </w:r>
    </w:p>
    <w:p w14:paraId="3CF1C2E5" w14:textId="3FCB59EF" w:rsidR="00D1269C" w:rsidRPr="00D266A7" w:rsidRDefault="00D1269C" w:rsidP="00D1269C">
      <w:pPr>
        <w:pStyle w:val="Bibliography1"/>
        <w:spacing w:before="100" w:after="100"/>
        <w:rPr>
          <w:rFonts w:asciiTheme="minorHAnsi" w:hAnsiTheme="minorHAnsi" w:cstheme="minorHAnsi"/>
          <w:i/>
          <w:color w:val="2F5496" w:themeColor="accent1" w:themeShade="BF"/>
          <w:sz w:val="22"/>
          <w:szCs w:val="22"/>
          <w:lang w:val="en-US"/>
        </w:rPr>
      </w:pPr>
      <w:r w:rsidRPr="00D266A7">
        <w:rPr>
          <w:rFonts w:asciiTheme="minorHAnsi" w:hAnsiTheme="minorHAnsi" w:cstheme="minorHAnsi"/>
          <w:i/>
          <w:color w:val="2F5496" w:themeColor="accent1" w:themeShade="BF"/>
          <w:sz w:val="22"/>
          <w:szCs w:val="22"/>
          <w:lang w:val="en-US"/>
        </w:rPr>
        <w:t xml:space="preserve">The </w:t>
      </w:r>
      <w:r w:rsidR="00A077EC" w:rsidRPr="00D266A7">
        <w:rPr>
          <w:rFonts w:asciiTheme="minorHAnsi" w:hAnsiTheme="minorHAnsi" w:cstheme="minorHAnsi"/>
          <w:i/>
          <w:color w:val="2F5496" w:themeColor="accent1" w:themeShade="BF"/>
          <w:sz w:val="22"/>
          <w:szCs w:val="22"/>
          <w:lang w:val="en-US"/>
        </w:rPr>
        <w:t>F</w:t>
      </w:r>
      <w:r w:rsidRPr="00D266A7">
        <w:rPr>
          <w:rFonts w:asciiTheme="minorHAnsi" w:hAnsiTheme="minorHAnsi" w:cstheme="minorHAnsi"/>
          <w:i/>
          <w:color w:val="2F5496" w:themeColor="accent1" w:themeShade="BF"/>
          <w:sz w:val="22"/>
          <w:szCs w:val="22"/>
          <w:lang w:val="en-US"/>
        </w:rPr>
        <w:t xml:space="preserve">igure </w:t>
      </w:r>
      <w:r w:rsidR="00A077EC" w:rsidRPr="00D266A7">
        <w:rPr>
          <w:rFonts w:asciiTheme="minorHAnsi" w:hAnsiTheme="minorHAnsi" w:cstheme="minorHAnsi"/>
          <w:i/>
          <w:color w:val="2F5496" w:themeColor="accent1" w:themeShade="BF"/>
          <w:sz w:val="22"/>
          <w:szCs w:val="22"/>
          <w:lang w:val="en-US"/>
        </w:rPr>
        <w:t xml:space="preserve">1A </w:t>
      </w:r>
      <w:r w:rsidRPr="00D266A7">
        <w:rPr>
          <w:rFonts w:asciiTheme="minorHAnsi" w:hAnsiTheme="minorHAnsi" w:cstheme="minorHAnsi"/>
          <w:i/>
          <w:color w:val="2F5496" w:themeColor="accent1" w:themeShade="BF"/>
          <w:sz w:val="22"/>
          <w:szCs w:val="22"/>
          <w:lang w:val="en-US"/>
        </w:rPr>
        <w:t xml:space="preserve">illustrates a roughly 5-fold variation </w:t>
      </w:r>
      <w:r w:rsidR="00A077EC" w:rsidRPr="00D266A7">
        <w:rPr>
          <w:rFonts w:asciiTheme="minorHAnsi" w:hAnsiTheme="minorHAnsi" w:cstheme="minorHAnsi"/>
          <w:i/>
          <w:color w:val="2F5496" w:themeColor="accent1" w:themeShade="BF"/>
          <w:sz w:val="22"/>
          <w:szCs w:val="22"/>
          <w:lang w:val="en-US"/>
        </w:rPr>
        <w:t xml:space="preserve">between individuals </w:t>
      </w:r>
      <w:r w:rsidRPr="00D266A7">
        <w:rPr>
          <w:rFonts w:asciiTheme="minorHAnsi" w:hAnsiTheme="minorHAnsi" w:cstheme="minorHAnsi"/>
          <w:i/>
          <w:color w:val="2F5496" w:themeColor="accent1" w:themeShade="BF"/>
          <w:sz w:val="22"/>
          <w:szCs w:val="22"/>
          <w:lang w:val="en-US"/>
        </w:rPr>
        <w:t xml:space="preserve">in GDNF expression levels across </w:t>
      </w:r>
      <w:r w:rsidR="00A077EC" w:rsidRPr="00D266A7">
        <w:rPr>
          <w:rFonts w:asciiTheme="minorHAnsi" w:hAnsiTheme="minorHAnsi" w:cstheme="minorHAnsi"/>
          <w:i/>
          <w:color w:val="2F5496" w:themeColor="accent1" w:themeShade="BF"/>
          <w:sz w:val="22"/>
          <w:szCs w:val="22"/>
          <w:lang w:val="en-US"/>
        </w:rPr>
        <w:t xml:space="preserve">samples from </w:t>
      </w:r>
      <w:r w:rsidRPr="00D266A7">
        <w:rPr>
          <w:rFonts w:asciiTheme="minorHAnsi" w:hAnsiTheme="minorHAnsi" w:cstheme="minorHAnsi"/>
          <w:i/>
          <w:color w:val="2F5496" w:themeColor="accent1" w:themeShade="BF"/>
          <w:sz w:val="22"/>
          <w:szCs w:val="22"/>
          <w:lang w:val="en-US"/>
        </w:rPr>
        <w:t xml:space="preserve">normal human colon. This 5-fold difference is derived from the ratio between the maximum and minimum values of GDNF expression. The maximum GDNF expression level corresponds to  </w:t>
      </w:r>
      <m:oMath>
        <m:sSup>
          <m:sSupPr>
            <m:ctrlPr>
              <w:rPr>
                <w:rFonts w:ascii="Cambria Math" w:hAnsi="Cambria Math" w:cstheme="minorHAnsi"/>
                <w:i/>
                <w:color w:val="2F5496" w:themeColor="accent1" w:themeShade="BF"/>
                <w:sz w:val="22"/>
                <w:szCs w:val="22"/>
                <w:lang w:val="en-US"/>
              </w:rPr>
            </m:ctrlPr>
          </m:sSupPr>
          <m:e>
            <m:r>
              <w:rPr>
                <w:rFonts w:ascii="Cambria Math" w:hAnsi="Cambria Math" w:cstheme="minorHAnsi"/>
                <w:color w:val="2F5496" w:themeColor="accent1" w:themeShade="BF"/>
                <w:sz w:val="22"/>
                <w:szCs w:val="22"/>
                <w:lang w:val="en-US"/>
              </w:rPr>
              <m:t>2</m:t>
            </m:r>
          </m:e>
          <m:sup>
            <m:r>
              <w:rPr>
                <w:rFonts w:ascii="Cambria Math" w:hAnsi="Cambria Math" w:cstheme="minorHAnsi"/>
                <w:color w:val="2F5496" w:themeColor="accent1" w:themeShade="BF"/>
                <w:sz w:val="22"/>
                <w:szCs w:val="22"/>
                <w:lang w:val="en-US"/>
              </w:rPr>
              <m:t>2.6</m:t>
            </m:r>
          </m:sup>
        </m:sSup>
        <m:r>
          <w:rPr>
            <w:rFonts w:ascii="Cambria Math" w:hAnsi="Cambria Math" w:cstheme="minorHAnsi"/>
            <w:color w:val="2F5496" w:themeColor="accent1" w:themeShade="BF"/>
            <w:sz w:val="22"/>
            <w:szCs w:val="22"/>
            <w:lang w:val="en-US"/>
          </w:rPr>
          <m:t>,</m:t>
        </m:r>
      </m:oMath>
      <w:r w:rsidRPr="00D266A7">
        <w:rPr>
          <w:rFonts w:asciiTheme="minorHAnsi" w:hAnsiTheme="minorHAnsi" w:cstheme="minorHAnsi"/>
          <w:i/>
          <w:color w:val="2F5496" w:themeColor="accent1" w:themeShade="BF"/>
          <w:sz w:val="22"/>
          <w:szCs w:val="22"/>
          <w:lang w:val="en-US"/>
        </w:rPr>
        <w:t xml:space="preserve"> because the y-axis is on a log2 scale, where the maximum value is 2.6. Hence, the GDNF level in non-log2 scale (or TPM) is </w:t>
      </w:r>
      <m:oMath>
        <m:sSup>
          <m:sSupPr>
            <m:ctrlPr>
              <w:rPr>
                <w:rFonts w:ascii="Cambria Math" w:hAnsi="Cambria Math" w:cstheme="minorHAnsi"/>
                <w:i/>
                <w:color w:val="2F5496" w:themeColor="accent1" w:themeShade="BF"/>
                <w:sz w:val="22"/>
                <w:szCs w:val="22"/>
                <w:lang w:val="en-US"/>
              </w:rPr>
            </m:ctrlPr>
          </m:sSupPr>
          <m:e>
            <m:r>
              <w:rPr>
                <w:rFonts w:ascii="Cambria Math" w:hAnsi="Cambria Math" w:cstheme="minorHAnsi"/>
                <w:color w:val="2F5496" w:themeColor="accent1" w:themeShade="BF"/>
                <w:sz w:val="22"/>
                <w:szCs w:val="22"/>
                <w:lang w:val="en-US"/>
              </w:rPr>
              <m:t>2</m:t>
            </m:r>
          </m:e>
          <m:sup>
            <m:r>
              <w:rPr>
                <w:rFonts w:ascii="Cambria Math" w:hAnsi="Cambria Math" w:cstheme="minorHAnsi"/>
                <w:color w:val="2F5496" w:themeColor="accent1" w:themeShade="BF"/>
                <w:sz w:val="22"/>
                <w:szCs w:val="22"/>
                <w:lang w:val="en-US"/>
              </w:rPr>
              <m:t>2.6</m:t>
            </m:r>
          </m:sup>
        </m:sSup>
      </m:oMath>
      <w:r w:rsidRPr="00D266A7">
        <w:rPr>
          <w:rFonts w:asciiTheme="minorHAnsi" w:hAnsiTheme="minorHAnsi" w:cstheme="minorHAnsi"/>
          <w:i/>
          <w:color w:val="2F5496" w:themeColor="accent1" w:themeShade="BF"/>
          <w:sz w:val="22"/>
          <w:szCs w:val="22"/>
          <w:lang w:val="en-US"/>
        </w:rPr>
        <w:t xml:space="preserve">. Conversely, the minimum TPM value on the log2 scale is 0.3, resulting in a minimum TPM level of </w:t>
      </w:r>
      <m:oMath>
        <m:sSup>
          <m:sSupPr>
            <m:ctrlPr>
              <w:rPr>
                <w:rFonts w:ascii="Cambria Math" w:hAnsi="Cambria Math" w:cstheme="minorHAnsi"/>
                <w:i/>
                <w:color w:val="2F5496" w:themeColor="accent1" w:themeShade="BF"/>
                <w:sz w:val="22"/>
                <w:szCs w:val="22"/>
                <w:lang w:val="en-US"/>
              </w:rPr>
            </m:ctrlPr>
          </m:sSupPr>
          <m:e>
            <m:r>
              <w:rPr>
                <w:rFonts w:ascii="Cambria Math" w:hAnsi="Cambria Math" w:cstheme="minorHAnsi"/>
                <w:color w:val="2F5496" w:themeColor="accent1" w:themeShade="BF"/>
                <w:sz w:val="22"/>
                <w:szCs w:val="22"/>
                <w:lang w:val="en-US"/>
              </w:rPr>
              <m:t>2</m:t>
            </m:r>
          </m:e>
          <m:sup>
            <m:r>
              <w:rPr>
                <w:rFonts w:ascii="Cambria Math" w:hAnsi="Cambria Math" w:cstheme="minorHAnsi"/>
                <w:color w:val="2F5496" w:themeColor="accent1" w:themeShade="BF"/>
                <w:sz w:val="22"/>
                <w:szCs w:val="22"/>
                <w:lang w:val="en-US"/>
              </w:rPr>
              <m:t>0.3</m:t>
            </m:r>
          </m:sup>
        </m:sSup>
      </m:oMath>
      <w:r w:rsidRPr="00D266A7">
        <w:rPr>
          <w:rFonts w:asciiTheme="minorHAnsi" w:hAnsiTheme="minorHAnsi" w:cstheme="minorHAnsi"/>
          <w:i/>
          <w:color w:val="2F5496" w:themeColor="accent1" w:themeShade="BF"/>
          <w:sz w:val="22"/>
          <w:szCs w:val="22"/>
          <w:lang w:val="en-US"/>
        </w:rPr>
        <w:t xml:space="preserve">. Therefore, the fold change is calculated as  </w:t>
      </w:r>
      <m:oMath>
        <m:f>
          <m:fPr>
            <m:ctrlPr>
              <w:rPr>
                <w:rFonts w:ascii="Cambria Math" w:hAnsi="Cambria Math" w:cstheme="minorHAnsi"/>
                <w:i/>
                <w:color w:val="2F5496" w:themeColor="accent1" w:themeShade="BF"/>
                <w:sz w:val="22"/>
                <w:szCs w:val="22"/>
                <w:lang w:val="en-US"/>
              </w:rPr>
            </m:ctrlPr>
          </m:fPr>
          <m:num>
            <m:sSup>
              <m:sSupPr>
                <m:ctrlPr>
                  <w:rPr>
                    <w:rFonts w:ascii="Cambria Math" w:hAnsi="Cambria Math" w:cstheme="minorHAnsi"/>
                    <w:i/>
                    <w:color w:val="2F5496" w:themeColor="accent1" w:themeShade="BF"/>
                    <w:sz w:val="22"/>
                    <w:szCs w:val="22"/>
                    <w:lang w:val="en-US"/>
                  </w:rPr>
                </m:ctrlPr>
              </m:sSupPr>
              <m:e>
                <m:r>
                  <w:rPr>
                    <w:rFonts w:ascii="Cambria Math" w:hAnsi="Cambria Math" w:cstheme="minorHAnsi"/>
                    <w:color w:val="2F5496" w:themeColor="accent1" w:themeShade="BF"/>
                    <w:sz w:val="22"/>
                    <w:szCs w:val="22"/>
                    <w:lang w:val="en-US"/>
                  </w:rPr>
                  <m:t>2</m:t>
                </m:r>
              </m:e>
              <m:sup>
                <m:r>
                  <w:rPr>
                    <w:rFonts w:ascii="Cambria Math" w:hAnsi="Cambria Math" w:cstheme="minorHAnsi"/>
                    <w:color w:val="2F5496" w:themeColor="accent1" w:themeShade="BF"/>
                    <w:sz w:val="22"/>
                    <w:szCs w:val="22"/>
                    <w:lang w:val="en-US"/>
                  </w:rPr>
                  <m:t>2.6</m:t>
                </m:r>
              </m:sup>
            </m:sSup>
          </m:num>
          <m:den>
            <m:sSup>
              <m:sSupPr>
                <m:ctrlPr>
                  <w:rPr>
                    <w:rFonts w:ascii="Cambria Math" w:hAnsi="Cambria Math" w:cstheme="minorHAnsi"/>
                    <w:i/>
                    <w:color w:val="2F5496" w:themeColor="accent1" w:themeShade="BF"/>
                    <w:sz w:val="22"/>
                    <w:szCs w:val="22"/>
                    <w:lang w:val="en-US"/>
                  </w:rPr>
                </m:ctrlPr>
              </m:sSupPr>
              <m:e>
                <m:r>
                  <w:rPr>
                    <w:rFonts w:ascii="Cambria Math" w:hAnsi="Cambria Math" w:cstheme="minorHAnsi"/>
                    <w:color w:val="2F5496" w:themeColor="accent1" w:themeShade="BF"/>
                    <w:sz w:val="22"/>
                    <w:szCs w:val="22"/>
                    <w:lang w:val="en-US"/>
                  </w:rPr>
                  <m:t>2</m:t>
                </m:r>
              </m:e>
              <m:sup>
                <m:r>
                  <w:rPr>
                    <w:rFonts w:ascii="Cambria Math" w:hAnsi="Cambria Math" w:cstheme="minorHAnsi"/>
                    <w:color w:val="2F5496" w:themeColor="accent1" w:themeShade="BF"/>
                    <w:sz w:val="22"/>
                    <w:szCs w:val="22"/>
                    <w:lang w:val="en-US"/>
                  </w:rPr>
                  <m:t>0.3</m:t>
                </m:r>
              </m:sup>
            </m:sSup>
          </m:den>
        </m:f>
        <m:r>
          <w:rPr>
            <w:rFonts w:ascii="Cambria Math" w:hAnsi="Cambria Math" w:cstheme="minorHAnsi"/>
            <w:color w:val="2F5496" w:themeColor="accent1" w:themeShade="BF"/>
            <w:sz w:val="22"/>
            <w:szCs w:val="22"/>
            <w:lang w:val="en-US"/>
          </w:rPr>
          <m:t>≈5.</m:t>
        </m:r>
      </m:oMath>
      <w:r w:rsidRPr="00D266A7">
        <w:rPr>
          <w:rFonts w:asciiTheme="minorHAnsi" w:hAnsiTheme="minorHAnsi" w:cstheme="minorHAnsi"/>
          <w:i/>
          <w:color w:val="2F5496" w:themeColor="accent1" w:themeShade="BF"/>
          <w:sz w:val="22"/>
          <w:szCs w:val="22"/>
          <w:lang w:val="en-US"/>
        </w:rPr>
        <w:t xml:space="preserve"> </w:t>
      </w:r>
      <w:r w:rsidR="00A077EC" w:rsidRPr="00D266A7">
        <w:rPr>
          <w:rFonts w:asciiTheme="minorHAnsi" w:hAnsiTheme="minorHAnsi" w:cstheme="minorHAnsi"/>
          <w:i/>
          <w:color w:val="2F5496" w:themeColor="accent1" w:themeShade="BF"/>
          <w:sz w:val="22"/>
          <w:szCs w:val="22"/>
          <w:lang w:val="en-US"/>
        </w:rPr>
        <w:t>Details about this has been now included into Figure 1 legends</w:t>
      </w:r>
      <w:r w:rsidR="00587B60" w:rsidRPr="00D266A7">
        <w:rPr>
          <w:rFonts w:asciiTheme="minorHAnsi" w:hAnsiTheme="minorHAnsi" w:cstheme="minorHAnsi"/>
          <w:i/>
          <w:color w:val="2F5496" w:themeColor="accent1" w:themeShade="BF"/>
          <w:sz w:val="22"/>
          <w:szCs w:val="22"/>
          <w:lang w:val="en-US"/>
        </w:rPr>
        <w:t xml:space="preserve"> and into the MM</w:t>
      </w:r>
      <w:r w:rsidR="00A077EC" w:rsidRPr="00D266A7">
        <w:rPr>
          <w:rFonts w:asciiTheme="minorHAnsi" w:hAnsiTheme="minorHAnsi" w:cstheme="minorHAnsi"/>
          <w:i/>
          <w:color w:val="2F5496" w:themeColor="accent1" w:themeShade="BF"/>
          <w:sz w:val="22"/>
          <w:szCs w:val="22"/>
          <w:lang w:val="en-US"/>
        </w:rPr>
        <w:t>.</w:t>
      </w:r>
    </w:p>
    <w:p w14:paraId="139B97EC" w14:textId="767ADC3F" w:rsidR="00B31A91" w:rsidRDefault="00675049" w:rsidP="005F25B7">
      <w:pPr>
        <w:spacing w:line="240" w:lineRule="auto"/>
      </w:pPr>
      <w:r>
        <w:t>3. It should be stated how the authors retrieved these values, the comparison group used, or if the database is made by RNA sequencing data, they should show the TPM, such as for example in GTex (Genotype/Tissue database).</w:t>
      </w:r>
    </w:p>
    <w:p w14:paraId="0AFB2268" w14:textId="6754A0DE" w:rsidR="00B31A91" w:rsidRDefault="00A077EC" w:rsidP="00BD3ED7">
      <w:pPr>
        <w:spacing w:line="240" w:lineRule="auto"/>
      </w:pPr>
      <w:r w:rsidRPr="00D266A7">
        <w:rPr>
          <w:i/>
          <w:color w:val="2F5496" w:themeColor="accent1" w:themeShade="BF"/>
        </w:rPr>
        <w:t xml:space="preserve">ANSWER: </w:t>
      </w:r>
      <w:r w:rsidR="00BD3ED7" w:rsidRPr="00D266A7">
        <w:rPr>
          <w:i/>
          <w:color w:val="2F5496" w:themeColor="accent1" w:themeShade="BF"/>
        </w:rPr>
        <w:t xml:space="preserve">We </w:t>
      </w:r>
      <w:r w:rsidRPr="00D266A7">
        <w:rPr>
          <w:i/>
          <w:color w:val="2F5496" w:themeColor="accent1" w:themeShade="BF"/>
        </w:rPr>
        <w:t>agree and have now include</w:t>
      </w:r>
      <w:r w:rsidR="009A53F5" w:rsidRPr="00D266A7">
        <w:rPr>
          <w:i/>
          <w:color w:val="2F5496" w:themeColor="accent1" w:themeShade="BF"/>
        </w:rPr>
        <w:t>d</w:t>
      </w:r>
      <w:r w:rsidRPr="00D266A7">
        <w:rPr>
          <w:i/>
          <w:color w:val="2F5496" w:themeColor="accent1" w:themeShade="BF"/>
        </w:rPr>
        <w:t xml:space="preserve"> a more thorough explanation as detailed above. </w:t>
      </w:r>
      <w:r w:rsidR="00BD3ED7" w:rsidRPr="00D266A7">
        <w:rPr>
          <w:i/>
          <w:color w:val="2F5496" w:themeColor="accent1" w:themeShade="BF"/>
        </w:rPr>
        <w:t xml:space="preserve"> </w:t>
      </w:r>
      <w:r w:rsidR="00FB60BF" w:rsidRPr="00D266A7">
        <w:rPr>
          <w:i/>
          <w:color w:val="2F5496" w:themeColor="accent1" w:themeShade="BF"/>
        </w:rPr>
        <w:t>To summarize,</w:t>
      </w:r>
      <w:r w:rsidR="00A07DEA" w:rsidRPr="00D266A7">
        <w:rPr>
          <w:i/>
          <w:color w:val="2F5496" w:themeColor="accent1" w:themeShade="BF"/>
        </w:rPr>
        <w:t xml:space="preserve"> </w:t>
      </w:r>
      <w:r w:rsidRPr="00D266A7">
        <w:rPr>
          <w:i/>
          <w:color w:val="2F5496" w:themeColor="accent1" w:themeShade="BF"/>
        </w:rPr>
        <w:t>The</w:t>
      </w:r>
      <w:r w:rsidR="00A07DEA" w:rsidRPr="00D266A7">
        <w:rPr>
          <w:i/>
          <w:color w:val="2F5496" w:themeColor="accent1" w:themeShade="BF"/>
        </w:rPr>
        <w:t xml:space="preserve"> </w:t>
      </w:r>
      <w:r w:rsidR="00BD3ED7" w:rsidRPr="00D266A7">
        <w:rPr>
          <w:i/>
          <w:color w:val="2F5496" w:themeColor="accent1" w:themeShade="BF"/>
        </w:rPr>
        <w:t xml:space="preserve">Cancer Genome Atlas (TCGA) is a landmark </w:t>
      </w:r>
      <w:r w:rsidR="009A53F5" w:rsidRPr="00D266A7">
        <w:rPr>
          <w:i/>
          <w:color w:val="2F5496" w:themeColor="accent1" w:themeShade="BF"/>
        </w:rPr>
        <w:t xml:space="preserve">for </w:t>
      </w:r>
      <w:r w:rsidR="00BD3ED7" w:rsidRPr="00D266A7">
        <w:rPr>
          <w:i/>
          <w:color w:val="2F5496" w:themeColor="accent1" w:themeShade="BF"/>
        </w:rPr>
        <w:t xml:space="preserve">cancer genomics studies that includes gene expression from cancerous and normal samples. To obtain and </w:t>
      </w:r>
      <w:r w:rsidR="00E56B7E" w:rsidRPr="00D266A7">
        <w:rPr>
          <w:i/>
          <w:color w:val="2F5496" w:themeColor="accent1" w:themeShade="BF"/>
        </w:rPr>
        <w:t>analyse</w:t>
      </w:r>
      <w:r w:rsidR="00BD3ED7" w:rsidRPr="00D266A7">
        <w:rPr>
          <w:i/>
          <w:color w:val="2F5496" w:themeColor="accent1" w:themeShade="BF"/>
        </w:rPr>
        <w:t xml:space="preserve"> gene expression </w:t>
      </w:r>
      <w:r w:rsidRPr="00D266A7">
        <w:rPr>
          <w:i/>
          <w:color w:val="2F5496" w:themeColor="accent1" w:themeShade="BF"/>
        </w:rPr>
        <w:t xml:space="preserve">levels </w:t>
      </w:r>
      <w:r w:rsidR="00BD3ED7" w:rsidRPr="00D266A7">
        <w:rPr>
          <w:i/>
          <w:color w:val="2F5496" w:themeColor="accent1" w:themeShade="BF"/>
        </w:rPr>
        <w:t xml:space="preserve">data from the TCGA database, we utilized the GEPIA online tool, which integrates RNA sequencing data from large-scale projects like TCGA. In GEPIA, gene </w:t>
      </w:r>
      <w:r w:rsidRPr="00D266A7">
        <w:rPr>
          <w:i/>
          <w:color w:val="2F5496" w:themeColor="accent1" w:themeShade="BF"/>
        </w:rPr>
        <w:t xml:space="preserve">expression </w:t>
      </w:r>
      <w:r w:rsidR="00BD3ED7" w:rsidRPr="00D266A7">
        <w:rPr>
          <w:i/>
          <w:color w:val="2F5496" w:themeColor="accent1" w:themeShade="BF"/>
        </w:rPr>
        <w:t>levels are in the TPM values in log2 scale</w:t>
      </w:r>
      <w:r w:rsidRPr="00D266A7">
        <w:rPr>
          <w:i/>
          <w:color w:val="2F5496" w:themeColor="accent1" w:themeShade="BF"/>
        </w:rPr>
        <w:t>. I</w:t>
      </w:r>
      <w:r w:rsidR="00BD3ED7" w:rsidRPr="00D266A7">
        <w:rPr>
          <w:i/>
          <w:color w:val="2F5496" w:themeColor="accent1" w:themeShade="BF"/>
        </w:rPr>
        <w:t xml:space="preserve">n GEPIA, we have selected the "COAD" from only TCGA normal (not GTEx) to access samples derived from healthy colon tissue, ensuring relevance to our study's objectives. So, the gene levels used in Figure 1A, B, and C are TPM values in log2 scale. </w:t>
      </w:r>
      <w:r w:rsidR="00FB60BF" w:rsidRPr="00D266A7">
        <w:rPr>
          <w:i/>
          <w:color w:val="2F5496" w:themeColor="accent1" w:themeShade="BF"/>
        </w:rPr>
        <w:t>As noted above w</w:t>
      </w:r>
      <w:r w:rsidR="00BD3ED7" w:rsidRPr="00D266A7">
        <w:rPr>
          <w:i/>
          <w:color w:val="2F5496" w:themeColor="accent1" w:themeShade="BF"/>
        </w:rPr>
        <w:t xml:space="preserve">e have </w:t>
      </w:r>
      <w:r w:rsidR="00FB60BF" w:rsidRPr="00D266A7">
        <w:rPr>
          <w:i/>
          <w:color w:val="2F5496" w:themeColor="accent1" w:themeShade="BF"/>
        </w:rPr>
        <w:t xml:space="preserve">now </w:t>
      </w:r>
      <w:r w:rsidR="00BD3ED7" w:rsidRPr="00D266A7">
        <w:rPr>
          <w:i/>
          <w:color w:val="2F5496" w:themeColor="accent1" w:themeShade="BF"/>
        </w:rPr>
        <w:t xml:space="preserve">included </w:t>
      </w:r>
      <w:r w:rsidR="00FB60BF" w:rsidRPr="00D266A7">
        <w:rPr>
          <w:i/>
          <w:color w:val="2F5496" w:themeColor="accent1" w:themeShade="BF"/>
        </w:rPr>
        <w:t xml:space="preserve">more </w:t>
      </w:r>
      <w:r w:rsidR="00BD3ED7" w:rsidRPr="00D266A7">
        <w:rPr>
          <w:i/>
          <w:color w:val="2F5496" w:themeColor="accent1" w:themeShade="BF"/>
        </w:rPr>
        <w:t>details in</w:t>
      </w:r>
      <w:r w:rsidRPr="00D266A7">
        <w:rPr>
          <w:i/>
          <w:color w:val="2F5496" w:themeColor="accent1" w:themeShade="BF"/>
        </w:rPr>
        <w:t>to</w:t>
      </w:r>
      <w:r w:rsidR="00BD3ED7" w:rsidRPr="00D266A7">
        <w:rPr>
          <w:i/>
          <w:color w:val="2F5496" w:themeColor="accent1" w:themeShade="BF"/>
        </w:rPr>
        <w:t xml:space="preserve"> Figure 1</w:t>
      </w:r>
      <w:r w:rsidRPr="00D266A7">
        <w:rPr>
          <w:i/>
          <w:color w:val="2F5496" w:themeColor="accent1" w:themeShade="BF"/>
        </w:rPr>
        <w:t xml:space="preserve"> legend</w:t>
      </w:r>
      <w:r w:rsidR="00221051" w:rsidRPr="00D266A7">
        <w:rPr>
          <w:i/>
          <w:color w:val="2F5496" w:themeColor="accent1" w:themeShade="BF"/>
        </w:rPr>
        <w:t xml:space="preserve"> and into the MM</w:t>
      </w:r>
      <w:r w:rsidR="00BD3ED7" w:rsidRPr="00D266A7">
        <w:rPr>
          <w:i/>
          <w:color w:val="2F5496" w:themeColor="accent1" w:themeShade="BF"/>
        </w:rPr>
        <w:t>.</w:t>
      </w:r>
      <w:r w:rsidR="00675049" w:rsidRPr="00D266A7">
        <w:rPr>
          <w:color w:val="2F5496" w:themeColor="accent1" w:themeShade="BF"/>
        </w:rPr>
        <w:br/>
      </w:r>
      <w:r w:rsidR="00675049">
        <w:br/>
        <w:t>4. Moreover, it seems to this referee quite naïve not to assess RET expression in healthy tissues (while looking only to GDNFRalpha1 receptor), since the actual signaling requires RET activation…Ret expression appears only in some parts of the paper (Figure 6), but it would be important to see if it occurs in all experiments.</w:t>
      </w:r>
    </w:p>
    <w:p w14:paraId="112EFD5B" w14:textId="39A361C7" w:rsidR="00DB195E" w:rsidRPr="00DB195E" w:rsidRDefault="001E077D" w:rsidP="00DB195E">
      <w:pPr>
        <w:spacing w:line="240" w:lineRule="auto"/>
        <w:rPr>
          <w:i/>
          <w:color w:val="2F5496" w:themeColor="accent1" w:themeShade="BF"/>
        </w:rPr>
      </w:pPr>
      <w:r w:rsidRPr="00D266A7">
        <w:rPr>
          <w:i/>
          <w:color w:val="2F5496" w:themeColor="accent1" w:themeShade="BF"/>
        </w:rPr>
        <w:t xml:space="preserve">ANSWER: </w:t>
      </w:r>
      <w:r w:rsidR="00DB195E" w:rsidRPr="00DB195E">
        <w:rPr>
          <w:i/>
          <w:color w:val="2F5496" w:themeColor="accent1" w:themeShade="BF"/>
        </w:rPr>
        <w:t>We thank the reviewer for highlighting the importance of assessing RET expression in healthy tissues, particularly in the context of GDNFRalpha1 receptor signalling. We recognize the significance of RET activation in mediating GDNF signalling pathways and agree that its inclusion in our analysis would provide valuable insights into the mechanisms underlying our observations.</w:t>
      </w:r>
    </w:p>
    <w:p w14:paraId="3B27FC45" w14:textId="33B2B411" w:rsidR="00DB195E" w:rsidRDefault="00DB195E" w:rsidP="00DB195E">
      <w:pPr>
        <w:spacing w:line="240" w:lineRule="auto"/>
        <w:rPr>
          <w:i/>
          <w:color w:val="2F5496" w:themeColor="accent1" w:themeShade="BF"/>
        </w:rPr>
      </w:pPr>
      <w:r w:rsidRPr="00DB195E">
        <w:rPr>
          <w:i/>
          <w:color w:val="2F5496" w:themeColor="accent1" w:themeShade="BF"/>
        </w:rPr>
        <w:t>To accommodate this suggestion, we have updated Figure 1B to incorporate correlations between RET and relevant the nitrergic neuron markers. Specifically, we have included correlation coefficients and corresponding visual representations of these relationships within the heat-map</w:t>
      </w:r>
      <w:r w:rsidR="002D1462">
        <w:rPr>
          <w:i/>
          <w:color w:val="2F5496" w:themeColor="accent1" w:themeShade="BF"/>
        </w:rPr>
        <w:t xml:space="preserve"> (see image below)</w:t>
      </w:r>
      <w:r w:rsidRPr="00DB195E">
        <w:rPr>
          <w:i/>
          <w:color w:val="2F5496" w:themeColor="accent1" w:themeShade="BF"/>
        </w:rPr>
        <w:t>.</w:t>
      </w:r>
      <w:r>
        <w:rPr>
          <w:i/>
          <w:color w:val="2F5496" w:themeColor="accent1" w:themeShade="BF"/>
        </w:rPr>
        <w:t xml:space="preserve"> </w:t>
      </w:r>
      <w:r w:rsidRPr="00D266A7">
        <w:rPr>
          <w:i/>
          <w:color w:val="2F5496" w:themeColor="accent1" w:themeShade="BF"/>
        </w:rPr>
        <w:t>Also, Ret expression in adult mouse is included now in Figure 1I</w:t>
      </w:r>
      <w:r>
        <w:rPr>
          <w:i/>
          <w:color w:val="2F5496" w:themeColor="accent1" w:themeShade="BF"/>
        </w:rPr>
        <w:t>.</w:t>
      </w:r>
    </w:p>
    <w:p w14:paraId="2EC37650" w14:textId="418299C9" w:rsidR="002D1462" w:rsidRDefault="002D1462" w:rsidP="00DB195E">
      <w:pPr>
        <w:spacing w:line="240" w:lineRule="auto"/>
        <w:rPr>
          <w:i/>
          <w:color w:val="2F5496" w:themeColor="accent1" w:themeShade="BF"/>
        </w:rPr>
      </w:pPr>
      <w:r>
        <w:rPr>
          <w:noProof/>
        </w:rPr>
        <w:lastRenderedPageBreak/>
        <w:drawing>
          <wp:inline distT="0" distB="0" distL="0" distR="0" wp14:anchorId="5E228433" wp14:editId="69B2BF13">
            <wp:extent cx="4286841" cy="1285875"/>
            <wp:effectExtent l="0" t="0" r="0" b="0"/>
            <wp:docPr id="1812902490" name="Picture 1" descr="Kuvan esikatse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van esikatsel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16575" cy="1354786"/>
                    </a:xfrm>
                    <a:prstGeom prst="rect">
                      <a:avLst/>
                    </a:prstGeom>
                    <a:noFill/>
                    <a:ln>
                      <a:noFill/>
                    </a:ln>
                  </pic:spPr>
                </pic:pic>
              </a:graphicData>
            </a:graphic>
          </wp:inline>
        </w:drawing>
      </w:r>
    </w:p>
    <w:p w14:paraId="7C68D645" w14:textId="26ECBEE4" w:rsidR="00B31A91" w:rsidRDefault="00675049" w:rsidP="005F25B7">
      <w:pPr>
        <w:spacing w:line="240" w:lineRule="auto"/>
      </w:pPr>
      <w:r>
        <w:t>5. Data shown in the supplementary Figure 2 regarding the miRNA expression in the duodenum, ileum and colon cast doubts on the accuracy of the study. As reported in the figure, the expression value is less than the error of the Ct from a real-time experiment, therefore it is not expected to be significant. Again, it is not clear for the "relative expression" which is the control group.</w:t>
      </w:r>
    </w:p>
    <w:p w14:paraId="4C8B3CB6" w14:textId="276DC5AB" w:rsidR="001A6058" w:rsidRPr="00D266A7" w:rsidRDefault="005E10FB" w:rsidP="005F25B7">
      <w:pPr>
        <w:spacing w:line="240" w:lineRule="auto"/>
        <w:rPr>
          <w:i/>
          <w:iCs/>
          <w:color w:val="2F5496" w:themeColor="accent1" w:themeShade="BF"/>
        </w:rPr>
      </w:pPr>
      <w:r w:rsidRPr="00D266A7">
        <w:rPr>
          <w:i/>
          <w:iCs/>
          <w:color w:val="2F5496" w:themeColor="accent1" w:themeShade="BF"/>
        </w:rPr>
        <w:t xml:space="preserve">ANSWER: </w:t>
      </w:r>
      <w:r w:rsidR="00F63869" w:rsidRPr="00D266A7">
        <w:rPr>
          <w:i/>
          <w:iCs/>
          <w:color w:val="2F5496" w:themeColor="accent1" w:themeShade="BF"/>
        </w:rPr>
        <w:t xml:space="preserve">miR expression data is relative to snoRNA202, validated and widely used </w:t>
      </w:r>
      <w:r w:rsidR="0001244F" w:rsidRPr="00D266A7">
        <w:rPr>
          <w:i/>
          <w:iCs/>
          <w:color w:val="2F5496" w:themeColor="accent1" w:themeShade="BF"/>
        </w:rPr>
        <w:t xml:space="preserve">housekeeping </w:t>
      </w:r>
      <w:r w:rsidR="00F63869" w:rsidRPr="00D266A7">
        <w:rPr>
          <w:i/>
          <w:iCs/>
          <w:color w:val="2F5496" w:themeColor="accent1" w:themeShade="BF"/>
        </w:rPr>
        <w:t xml:space="preserve">RNA to measure miR expression levels. </w:t>
      </w:r>
      <w:r w:rsidRPr="00D266A7">
        <w:rPr>
          <w:i/>
          <w:iCs/>
          <w:color w:val="2F5496" w:themeColor="accent1" w:themeShade="BF"/>
        </w:rPr>
        <w:t xml:space="preserve">To </w:t>
      </w:r>
      <w:r w:rsidR="00F63869" w:rsidRPr="00D266A7">
        <w:rPr>
          <w:i/>
          <w:iCs/>
          <w:color w:val="2F5496" w:themeColor="accent1" w:themeShade="BF"/>
        </w:rPr>
        <w:t xml:space="preserve">further assess </w:t>
      </w:r>
      <w:r w:rsidRPr="00D266A7">
        <w:rPr>
          <w:i/>
          <w:iCs/>
          <w:color w:val="2F5496" w:themeColor="accent1" w:themeShade="BF"/>
        </w:rPr>
        <w:t xml:space="preserve">this </w:t>
      </w:r>
      <w:r w:rsidR="00196542" w:rsidRPr="00D266A7">
        <w:rPr>
          <w:i/>
          <w:iCs/>
          <w:color w:val="2F5496" w:themeColor="accent1" w:themeShade="BF"/>
        </w:rPr>
        <w:t>point,</w:t>
      </w:r>
      <w:r w:rsidRPr="00D266A7">
        <w:rPr>
          <w:i/>
          <w:iCs/>
          <w:color w:val="2F5496" w:themeColor="accent1" w:themeShade="BF"/>
        </w:rPr>
        <w:t xml:space="preserve"> we have now repeated the experiment </w:t>
      </w:r>
      <w:r w:rsidR="00F63869" w:rsidRPr="00D266A7">
        <w:rPr>
          <w:i/>
          <w:iCs/>
          <w:color w:val="2F5496" w:themeColor="accent1" w:themeShade="BF"/>
        </w:rPr>
        <w:t xml:space="preserve">with new TaqMan probes </w:t>
      </w:r>
      <w:r w:rsidRPr="00D266A7">
        <w:rPr>
          <w:i/>
          <w:iCs/>
          <w:color w:val="2F5496" w:themeColor="accent1" w:themeShade="BF"/>
        </w:rPr>
        <w:t xml:space="preserve">and instead of pooling samples from 8 embryos we have </w:t>
      </w:r>
      <w:r w:rsidR="0046078A" w:rsidRPr="00D266A7">
        <w:rPr>
          <w:i/>
          <w:iCs/>
          <w:color w:val="2F5496" w:themeColor="accent1" w:themeShade="BF"/>
        </w:rPr>
        <w:t>analysed</w:t>
      </w:r>
      <w:r w:rsidRPr="00D266A7">
        <w:rPr>
          <w:i/>
          <w:iCs/>
          <w:color w:val="2F5496" w:themeColor="accent1" w:themeShade="BF"/>
        </w:rPr>
        <w:t xml:space="preserve"> duodenum, ileum and colon in</w:t>
      </w:r>
      <w:r w:rsidR="00026B03" w:rsidRPr="00D266A7">
        <w:rPr>
          <w:i/>
          <w:iCs/>
          <w:color w:val="2F5496" w:themeColor="accent1" w:themeShade="BF"/>
        </w:rPr>
        <w:t xml:space="preserve"> several</w:t>
      </w:r>
      <w:r w:rsidRPr="00D266A7">
        <w:rPr>
          <w:i/>
          <w:iCs/>
          <w:color w:val="2F5496" w:themeColor="accent1" w:themeShade="BF"/>
        </w:rPr>
        <w:t xml:space="preserve"> individual embryos. The new data is presented in new Figure 2</w:t>
      </w:r>
      <w:r w:rsidR="00225FC7" w:rsidRPr="00D266A7">
        <w:rPr>
          <w:i/>
          <w:iCs/>
          <w:color w:val="2F5496" w:themeColor="accent1" w:themeShade="BF"/>
        </w:rPr>
        <w:t>B</w:t>
      </w:r>
      <w:r w:rsidRPr="00D266A7">
        <w:rPr>
          <w:i/>
          <w:iCs/>
          <w:color w:val="2F5496" w:themeColor="accent1" w:themeShade="BF"/>
        </w:rPr>
        <w:t>.</w:t>
      </w:r>
      <w:r w:rsidR="0026647F" w:rsidRPr="00D266A7">
        <w:rPr>
          <w:i/>
          <w:iCs/>
          <w:color w:val="2F5496" w:themeColor="accent1" w:themeShade="BF"/>
        </w:rPr>
        <w:t xml:space="preserve"> </w:t>
      </w:r>
      <w:r w:rsidR="00106292" w:rsidRPr="00D266A7">
        <w:rPr>
          <w:i/>
          <w:iCs/>
          <w:color w:val="2F5496" w:themeColor="accent1" w:themeShade="BF"/>
        </w:rPr>
        <w:t>Analysis in</w:t>
      </w:r>
      <w:r w:rsidR="0026647F" w:rsidRPr="00D266A7">
        <w:rPr>
          <w:i/>
          <w:iCs/>
          <w:color w:val="2F5496" w:themeColor="accent1" w:themeShade="BF"/>
        </w:rPr>
        <w:t xml:space="preserve"> individual embryos confirmed </w:t>
      </w:r>
      <w:r w:rsidR="00106292" w:rsidRPr="00D266A7">
        <w:rPr>
          <w:i/>
          <w:iCs/>
          <w:color w:val="2F5496" w:themeColor="accent1" w:themeShade="BF"/>
        </w:rPr>
        <w:t>lower expression of miR-9 and miR-133b in the colon</w:t>
      </w:r>
      <w:r w:rsidR="0026647F" w:rsidRPr="00D266A7">
        <w:rPr>
          <w:i/>
          <w:iCs/>
          <w:color w:val="2F5496" w:themeColor="accent1" w:themeShade="BF"/>
        </w:rPr>
        <w:t xml:space="preserve"> </w:t>
      </w:r>
      <w:r w:rsidR="00106292" w:rsidRPr="00D266A7">
        <w:rPr>
          <w:i/>
          <w:iCs/>
          <w:color w:val="2F5496" w:themeColor="accent1" w:themeShade="BF"/>
        </w:rPr>
        <w:t>at E13,5.</w:t>
      </w:r>
      <w:r w:rsidR="007D08F9" w:rsidRPr="00D266A7">
        <w:rPr>
          <w:i/>
          <w:iCs/>
          <w:color w:val="2F5496" w:themeColor="accent1" w:themeShade="BF"/>
        </w:rPr>
        <w:t xml:space="preserve"> </w:t>
      </w:r>
      <w:r w:rsidR="00106292" w:rsidRPr="00D266A7">
        <w:rPr>
          <w:i/>
          <w:iCs/>
          <w:color w:val="2F5496" w:themeColor="accent1" w:themeShade="BF"/>
        </w:rPr>
        <w:t>However, analysis with new TaqMan probes in individual embryos did not confirm initial observation in pooled samples of miR-96 reduced expression in the colon. We thank the reviewer for the rigour. Due to relatively high cost of TaqMan miR assay, we repeated the runs for downregulated in the colon miRs (</w:t>
      </w:r>
      <w:r w:rsidR="001A6058" w:rsidRPr="00D266A7">
        <w:rPr>
          <w:i/>
          <w:iCs/>
          <w:color w:val="2F5496" w:themeColor="accent1" w:themeShade="BF"/>
        </w:rPr>
        <w:t>miR-9, miR-133b and miR-96) and for miRs with putative strongest effect on Gdnf mRNA and/or with strongest seed sequence conservation(Kumar et al PLOS GEN</w:t>
      </w:r>
      <w:r w:rsidR="008F7C79">
        <w:rPr>
          <w:i/>
          <w:iCs/>
          <w:color w:val="2F5496" w:themeColor="accent1" w:themeShade="BF"/>
        </w:rPr>
        <w:t xml:space="preserve"> </w:t>
      </w:r>
      <w:r w:rsidR="00B34F47" w:rsidRPr="00B34F47">
        <w:rPr>
          <w:i/>
          <w:iCs/>
          <w:color w:val="2F5496" w:themeColor="accent1" w:themeShade="BF"/>
        </w:rPr>
        <w:t>PMID: 26681446</w:t>
      </w:r>
      <w:r w:rsidR="008F7C79">
        <w:rPr>
          <w:i/>
          <w:iCs/>
          <w:color w:val="2F5496" w:themeColor="accent1" w:themeShade="BF"/>
        </w:rPr>
        <w:t xml:space="preserve"> </w:t>
      </w:r>
      <w:r w:rsidR="001A6058" w:rsidRPr="00D266A7">
        <w:rPr>
          <w:i/>
          <w:iCs/>
          <w:color w:val="2F5496" w:themeColor="accent1" w:themeShade="BF"/>
        </w:rPr>
        <w:t>) and with the highest expression levels in E13.5 gut based on our previous runs on pooled RNA</w:t>
      </w:r>
      <w:r w:rsidR="003F004E" w:rsidRPr="00D266A7">
        <w:rPr>
          <w:i/>
          <w:iCs/>
          <w:color w:val="2F5496" w:themeColor="accent1" w:themeShade="BF"/>
        </w:rPr>
        <w:t>, thus for</w:t>
      </w:r>
      <w:r w:rsidR="001A6058" w:rsidRPr="00D266A7">
        <w:rPr>
          <w:i/>
          <w:iCs/>
          <w:color w:val="2F5496" w:themeColor="accent1" w:themeShade="BF"/>
        </w:rPr>
        <w:t xml:space="preserve"> miR-30a, mir-33a, miR-129, miR-204, new Figure 2B and S Figure 2).</w:t>
      </w:r>
    </w:p>
    <w:p w14:paraId="63C0B90C" w14:textId="10064CEB" w:rsidR="00C55BA5" w:rsidRPr="00D266A7" w:rsidRDefault="00106292" w:rsidP="005F25B7">
      <w:pPr>
        <w:spacing w:line="240" w:lineRule="auto"/>
        <w:rPr>
          <w:i/>
          <w:iCs/>
          <w:color w:val="2F5496" w:themeColor="accent1" w:themeShade="BF"/>
        </w:rPr>
      </w:pPr>
      <w:r w:rsidRPr="00D266A7">
        <w:rPr>
          <w:i/>
          <w:iCs/>
          <w:color w:val="2F5496" w:themeColor="accent1" w:themeShade="BF"/>
        </w:rPr>
        <w:t>To further clarify, o</w:t>
      </w:r>
      <w:r w:rsidR="0001244F" w:rsidRPr="00D266A7">
        <w:rPr>
          <w:i/>
          <w:iCs/>
          <w:color w:val="2F5496" w:themeColor="accent1" w:themeShade="BF"/>
        </w:rPr>
        <w:t>n Figure 2B r</w:t>
      </w:r>
      <w:r w:rsidR="007D08F9" w:rsidRPr="00D266A7">
        <w:rPr>
          <w:i/>
          <w:iCs/>
          <w:color w:val="2F5496" w:themeColor="accent1" w:themeShade="BF"/>
        </w:rPr>
        <w:t>elative expression is</w:t>
      </w:r>
      <w:r w:rsidR="0001244F" w:rsidRPr="00D266A7">
        <w:rPr>
          <w:i/>
          <w:iCs/>
          <w:color w:val="2F5496" w:themeColor="accent1" w:themeShade="BF"/>
        </w:rPr>
        <w:t xml:space="preserve"> shown,</w:t>
      </w:r>
      <w:r w:rsidR="007D08F9" w:rsidRPr="00D266A7">
        <w:rPr>
          <w:i/>
          <w:iCs/>
          <w:color w:val="2F5496" w:themeColor="accent1" w:themeShade="BF"/>
        </w:rPr>
        <w:t xml:space="preserve"> giving duodenum the value of 1</w:t>
      </w:r>
      <w:r w:rsidR="0001244F" w:rsidRPr="00D266A7">
        <w:rPr>
          <w:i/>
          <w:iCs/>
          <w:color w:val="2F5496" w:themeColor="accent1" w:themeShade="BF"/>
        </w:rPr>
        <w:t>.</w:t>
      </w:r>
      <w:r w:rsidR="0037134E" w:rsidRPr="00D266A7">
        <w:rPr>
          <w:i/>
          <w:iCs/>
          <w:color w:val="2F5496" w:themeColor="accent1" w:themeShade="BF"/>
        </w:rPr>
        <w:t xml:space="preserve"> </w:t>
      </w:r>
      <w:r w:rsidR="0001244F" w:rsidRPr="00D266A7">
        <w:rPr>
          <w:i/>
          <w:iCs/>
          <w:color w:val="2F5496" w:themeColor="accent1" w:themeShade="BF"/>
        </w:rPr>
        <w:t xml:space="preserve">More extensive detail on MM is now </w:t>
      </w:r>
      <w:r w:rsidR="003F004E" w:rsidRPr="00D266A7">
        <w:rPr>
          <w:i/>
          <w:iCs/>
          <w:color w:val="2F5496" w:themeColor="accent1" w:themeShade="BF"/>
        </w:rPr>
        <w:t xml:space="preserve">also </w:t>
      </w:r>
      <w:r w:rsidR="0001244F" w:rsidRPr="00D266A7">
        <w:rPr>
          <w:i/>
          <w:iCs/>
          <w:color w:val="2F5496" w:themeColor="accent1" w:themeShade="BF"/>
        </w:rPr>
        <w:t>given in Figure</w:t>
      </w:r>
      <w:r w:rsidR="0037134E" w:rsidRPr="00D266A7">
        <w:rPr>
          <w:i/>
          <w:iCs/>
          <w:color w:val="2F5496" w:themeColor="accent1" w:themeShade="BF"/>
        </w:rPr>
        <w:t xml:space="preserve"> legend 2B and </w:t>
      </w:r>
      <w:r w:rsidR="0001244F" w:rsidRPr="00D266A7">
        <w:rPr>
          <w:i/>
          <w:iCs/>
          <w:color w:val="2F5496" w:themeColor="accent1" w:themeShade="BF"/>
        </w:rPr>
        <w:t xml:space="preserve">in </w:t>
      </w:r>
      <w:r w:rsidR="003F004E" w:rsidRPr="00D266A7">
        <w:rPr>
          <w:i/>
          <w:iCs/>
          <w:color w:val="2F5496" w:themeColor="accent1" w:themeShade="BF"/>
        </w:rPr>
        <w:t>S</w:t>
      </w:r>
      <w:r w:rsidR="0037134E" w:rsidRPr="00D266A7">
        <w:rPr>
          <w:i/>
          <w:iCs/>
          <w:color w:val="2F5496" w:themeColor="accent1" w:themeShade="BF"/>
        </w:rPr>
        <w:t xml:space="preserve">upplementary </w:t>
      </w:r>
      <w:r w:rsidR="001A6058" w:rsidRPr="00D266A7">
        <w:rPr>
          <w:i/>
          <w:iCs/>
          <w:color w:val="2F5496" w:themeColor="accent1" w:themeShade="BF"/>
        </w:rPr>
        <w:t>F</w:t>
      </w:r>
      <w:r w:rsidR="0037134E" w:rsidRPr="00D266A7">
        <w:rPr>
          <w:i/>
          <w:iCs/>
          <w:color w:val="2F5496" w:themeColor="accent1" w:themeShade="BF"/>
        </w:rPr>
        <w:t>igure legend 2A</w:t>
      </w:r>
      <w:r w:rsidR="007D08F9" w:rsidRPr="00D266A7">
        <w:rPr>
          <w:i/>
          <w:iCs/>
          <w:color w:val="2F5496" w:themeColor="accent1" w:themeShade="BF"/>
        </w:rPr>
        <w:t>.</w:t>
      </w:r>
      <w:r w:rsidR="005E10FB" w:rsidRPr="00D266A7">
        <w:rPr>
          <w:i/>
          <w:iCs/>
          <w:color w:val="2F5496" w:themeColor="accent1" w:themeShade="BF"/>
        </w:rPr>
        <w:t xml:space="preserve"> We also note that we have now replaced Figure 2C with new data </w:t>
      </w:r>
      <w:r w:rsidR="003F004E" w:rsidRPr="00D266A7">
        <w:rPr>
          <w:i/>
          <w:iCs/>
          <w:color w:val="2F5496" w:themeColor="accent1" w:themeShade="BF"/>
        </w:rPr>
        <w:t>on</w:t>
      </w:r>
      <w:r w:rsidR="005E10FB" w:rsidRPr="00D266A7">
        <w:rPr>
          <w:i/>
          <w:iCs/>
          <w:color w:val="2F5496" w:themeColor="accent1" w:themeShade="BF"/>
        </w:rPr>
        <w:t xml:space="preserve"> Gdnf mRNA </w:t>
      </w:r>
      <w:r w:rsidR="001A6058" w:rsidRPr="00D266A7">
        <w:rPr>
          <w:i/>
          <w:iCs/>
          <w:color w:val="2F5496" w:themeColor="accent1" w:themeShade="BF"/>
        </w:rPr>
        <w:t xml:space="preserve">from individual embryos </w:t>
      </w:r>
      <w:r w:rsidR="005E10FB" w:rsidRPr="00D266A7">
        <w:rPr>
          <w:i/>
          <w:iCs/>
          <w:color w:val="2F5496" w:themeColor="accent1" w:themeShade="BF"/>
        </w:rPr>
        <w:t xml:space="preserve">which has more datapoints and stronger statistical power as compared to the data from pooled samples </w:t>
      </w:r>
      <w:r w:rsidR="003F004E" w:rsidRPr="00D266A7">
        <w:rPr>
          <w:i/>
          <w:iCs/>
          <w:color w:val="2F5496" w:themeColor="accent1" w:themeShade="BF"/>
        </w:rPr>
        <w:t xml:space="preserve">on GDNF protein </w:t>
      </w:r>
      <w:r w:rsidR="005E10FB" w:rsidRPr="00D266A7">
        <w:rPr>
          <w:i/>
          <w:iCs/>
          <w:color w:val="2F5496" w:themeColor="accent1" w:themeShade="BF"/>
        </w:rPr>
        <w:t>with n=2.</w:t>
      </w:r>
      <w:r w:rsidR="000871D4" w:rsidRPr="00D266A7">
        <w:rPr>
          <w:i/>
          <w:iCs/>
          <w:color w:val="2F5496" w:themeColor="accent1" w:themeShade="BF"/>
        </w:rPr>
        <w:t xml:space="preserve"> Gdnf mRNA expression is given relative to housekeeper Gapdh expression, the commonly use</w:t>
      </w:r>
      <w:r w:rsidR="003F004E" w:rsidRPr="00D266A7">
        <w:rPr>
          <w:i/>
          <w:iCs/>
          <w:color w:val="2F5496" w:themeColor="accent1" w:themeShade="BF"/>
        </w:rPr>
        <w:t>d</w:t>
      </w:r>
      <w:r w:rsidR="000871D4" w:rsidRPr="00D266A7">
        <w:rPr>
          <w:i/>
          <w:iCs/>
          <w:color w:val="2F5496" w:themeColor="accent1" w:themeShade="BF"/>
        </w:rPr>
        <w:t xml:space="preserve"> reference mRNA. As expected for 3’UTR replacement and as demonstrated in vitro for miR-9 and miR-133b in repressing Gdnf mRNA expression (Kumar et al)</w:t>
      </w:r>
      <w:r w:rsidR="003F004E" w:rsidRPr="00D266A7">
        <w:rPr>
          <w:i/>
          <w:iCs/>
          <w:color w:val="2F5496" w:themeColor="accent1" w:themeShade="BF"/>
        </w:rPr>
        <w:t>,</w:t>
      </w:r>
      <w:r w:rsidR="000871D4" w:rsidRPr="00D266A7">
        <w:rPr>
          <w:i/>
          <w:iCs/>
          <w:color w:val="2F5496" w:themeColor="accent1" w:themeShade="BF"/>
        </w:rPr>
        <w:t xml:space="preserve"> in the colon Gdnf expression is comparable between genotypes</w:t>
      </w:r>
      <w:r w:rsidR="003217B0" w:rsidRPr="00D266A7">
        <w:rPr>
          <w:i/>
          <w:iCs/>
          <w:color w:val="2F5496" w:themeColor="accent1" w:themeShade="BF"/>
        </w:rPr>
        <w:t xml:space="preserve"> (</w:t>
      </w:r>
      <w:r w:rsidR="003F004E" w:rsidRPr="00D266A7">
        <w:rPr>
          <w:i/>
          <w:iCs/>
          <w:color w:val="2F5496" w:themeColor="accent1" w:themeShade="BF"/>
        </w:rPr>
        <w:t xml:space="preserve">new </w:t>
      </w:r>
      <w:r w:rsidR="003217B0" w:rsidRPr="00D266A7">
        <w:rPr>
          <w:i/>
          <w:iCs/>
          <w:color w:val="2F5496" w:themeColor="accent1" w:themeShade="BF"/>
        </w:rPr>
        <w:t>Figure 2C)</w:t>
      </w:r>
      <w:r w:rsidR="000871D4" w:rsidRPr="00D266A7">
        <w:rPr>
          <w:i/>
          <w:iCs/>
          <w:color w:val="2F5496" w:themeColor="accent1" w:themeShade="BF"/>
        </w:rPr>
        <w:t xml:space="preserve">. </w:t>
      </w:r>
    </w:p>
    <w:p w14:paraId="3E8ED6C3" w14:textId="0B089820" w:rsidR="00B31A91" w:rsidRDefault="00675049" w:rsidP="005F25B7">
      <w:pPr>
        <w:spacing w:line="240" w:lineRule="auto"/>
      </w:pPr>
      <w:r>
        <w:br/>
        <w:t>6. Figure 1K: HuC/D staining is very poor, no DAPI or nuclei staining is present. Moreover, are the images representative of the increase of HuC/D neurons in the wthyper? I would rather think there are no differences at all…Please provide better quality images.</w:t>
      </w:r>
    </w:p>
    <w:p w14:paraId="00BEA3AD" w14:textId="3BD442D7" w:rsidR="00B31A91" w:rsidRDefault="00225FC7" w:rsidP="005F25B7">
      <w:pPr>
        <w:spacing w:line="240" w:lineRule="auto"/>
      </w:pPr>
      <w:r w:rsidRPr="00D266A7">
        <w:rPr>
          <w:i/>
          <w:iCs/>
          <w:color w:val="2F5496" w:themeColor="accent1" w:themeShade="BF"/>
        </w:rPr>
        <w:t>ANSWER:</w:t>
      </w:r>
      <w:r w:rsidRPr="00D266A7">
        <w:rPr>
          <w:b/>
          <w:bCs/>
          <w:color w:val="2F5496" w:themeColor="accent1" w:themeShade="BF"/>
        </w:rPr>
        <w:t xml:space="preserve"> </w:t>
      </w:r>
      <w:r w:rsidR="00803015" w:rsidRPr="00D266A7">
        <w:rPr>
          <w:color w:val="2F5496" w:themeColor="accent1" w:themeShade="BF"/>
        </w:rPr>
        <w:t xml:space="preserve">We apologise for not including a more representative photo in the initial submission. </w:t>
      </w:r>
      <w:r w:rsidR="007C3E65" w:rsidRPr="00D266A7">
        <w:rPr>
          <w:color w:val="2F5496" w:themeColor="accent1" w:themeShade="BF"/>
        </w:rPr>
        <w:t xml:space="preserve">New </w:t>
      </w:r>
      <w:r w:rsidRPr="00D266A7">
        <w:rPr>
          <w:color w:val="2F5496" w:themeColor="accent1" w:themeShade="BF"/>
        </w:rPr>
        <w:t xml:space="preserve">HUD+ IHC </w:t>
      </w:r>
      <w:r w:rsidR="007C3E65" w:rsidRPr="00D266A7">
        <w:rPr>
          <w:color w:val="2F5496" w:themeColor="accent1" w:themeShade="BF"/>
        </w:rPr>
        <w:t xml:space="preserve">images have </w:t>
      </w:r>
      <w:r w:rsidRPr="00D266A7">
        <w:rPr>
          <w:color w:val="2F5496" w:themeColor="accent1" w:themeShade="BF"/>
        </w:rPr>
        <w:t xml:space="preserve">now </w:t>
      </w:r>
      <w:r w:rsidR="007C3E65" w:rsidRPr="00D266A7">
        <w:rPr>
          <w:color w:val="2F5496" w:themeColor="accent1" w:themeShade="BF"/>
        </w:rPr>
        <w:t xml:space="preserve">been provided </w:t>
      </w:r>
      <w:r w:rsidRPr="00D266A7">
        <w:rPr>
          <w:color w:val="2F5496" w:themeColor="accent1" w:themeShade="BF"/>
        </w:rPr>
        <w:t xml:space="preserve">to </w:t>
      </w:r>
      <w:r w:rsidR="007C3E65" w:rsidRPr="00D266A7">
        <w:rPr>
          <w:color w:val="2F5496" w:themeColor="accent1" w:themeShade="BF"/>
        </w:rPr>
        <w:t xml:space="preserve">better illustrate the </w:t>
      </w:r>
      <w:r w:rsidRPr="00D266A7">
        <w:rPr>
          <w:color w:val="2F5496" w:themeColor="accent1" w:themeShade="BF"/>
        </w:rPr>
        <w:t>increase in ENS ganglia size</w:t>
      </w:r>
      <w:r w:rsidR="007C3E65" w:rsidRPr="00D266A7">
        <w:rPr>
          <w:color w:val="2F5496" w:themeColor="accent1" w:themeShade="BF"/>
        </w:rPr>
        <w:t xml:space="preserve"> </w:t>
      </w:r>
      <w:r w:rsidRPr="00D266A7">
        <w:rPr>
          <w:color w:val="2F5496" w:themeColor="accent1" w:themeShade="BF"/>
        </w:rPr>
        <w:t>in</w:t>
      </w:r>
      <w:r w:rsidR="007C3E65" w:rsidRPr="00D266A7">
        <w:rPr>
          <w:color w:val="2F5496" w:themeColor="accent1" w:themeShade="BF"/>
        </w:rPr>
        <w:t xml:space="preserve"> wt/hyper </w:t>
      </w:r>
      <w:r w:rsidRPr="00D266A7">
        <w:rPr>
          <w:color w:val="2F5496" w:themeColor="accent1" w:themeShade="BF"/>
        </w:rPr>
        <w:t xml:space="preserve">animals relative to the wt </w:t>
      </w:r>
      <w:r w:rsidR="007C3E65" w:rsidRPr="00D266A7">
        <w:rPr>
          <w:color w:val="2F5496" w:themeColor="accent1" w:themeShade="BF"/>
        </w:rPr>
        <w:t>(</w:t>
      </w:r>
      <w:r w:rsidRPr="00D266A7">
        <w:rPr>
          <w:color w:val="2F5496" w:themeColor="accent1" w:themeShade="BF"/>
        </w:rPr>
        <w:t xml:space="preserve">new </w:t>
      </w:r>
      <w:r w:rsidR="007C3E65" w:rsidRPr="00D266A7">
        <w:rPr>
          <w:color w:val="2F5496" w:themeColor="accent1" w:themeShade="BF"/>
        </w:rPr>
        <w:t>Figure 1L).</w:t>
      </w:r>
      <w:r w:rsidRPr="00D266A7">
        <w:rPr>
          <w:color w:val="2F5496" w:themeColor="accent1" w:themeShade="BF"/>
        </w:rPr>
        <w:t xml:space="preserve"> We feel that addition of DAPI might not enhance the illustrative power of the figure since all</w:t>
      </w:r>
      <w:r w:rsidR="0046078A" w:rsidRPr="00D266A7">
        <w:rPr>
          <w:color w:val="2F5496" w:themeColor="accent1" w:themeShade="BF"/>
        </w:rPr>
        <w:t>,</w:t>
      </w:r>
      <w:r w:rsidRPr="00D266A7">
        <w:rPr>
          <w:color w:val="2F5496" w:themeColor="accent1" w:themeShade="BF"/>
        </w:rPr>
        <w:t xml:space="preserve"> not only the ENS nuclei would provide the signal. </w:t>
      </w:r>
      <w:r w:rsidR="00A1588F" w:rsidRPr="00D266A7">
        <w:rPr>
          <w:color w:val="2F5496" w:themeColor="accent1" w:themeShade="BF"/>
        </w:rPr>
        <w:t>Important q</w:t>
      </w:r>
      <w:r w:rsidR="0046078A" w:rsidRPr="00D266A7">
        <w:rPr>
          <w:color w:val="2F5496" w:themeColor="accent1" w:themeShade="BF"/>
        </w:rPr>
        <w:t xml:space="preserve">uantitative </w:t>
      </w:r>
      <w:r w:rsidRPr="00D266A7">
        <w:rPr>
          <w:color w:val="2F5496" w:themeColor="accent1" w:themeShade="BF"/>
        </w:rPr>
        <w:t xml:space="preserve">data is shown on graphs </w:t>
      </w:r>
      <w:r w:rsidR="00692F4F" w:rsidRPr="00D266A7">
        <w:rPr>
          <w:color w:val="2F5496" w:themeColor="accent1" w:themeShade="BF"/>
        </w:rPr>
        <w:t xml:space="preserve">on </w:t>
      </w:r>
      <w:r w:rsidRPr="00D266A7">
        <w:rPr>
          <w:color w:val="2F5496" w:themeColor="accent1" w:themeShade="BF"/>
        </w:rPr>
        <w:t>Figure 1M,</w:t>
      </w:r>
      <w:r w:rsidR="00A07DEA" w:rsidRPr="00D266A7">
        <w:rPr>
          <w:color w:val="2F5496" w:themeColor="accent1" w:themeShade="BF"/>
        </w:rPr>
        <w:t xml:space="preserve"> </w:t>
      </w:r>
      <w:r w:rsidRPr="00D266A7">
        <w:rPr>
          <w:color w:val="2F5496" w:themeColor="accent1" w:themeShade="BF"/>
        </w:rPr>
        <w:t xml:space="preserve">O and P. </w:t>
      </w:r>
      <w:r w:rsidR="00675049" w:rsidRPr="00D266A7">
        <w:rPr>
          <w:color w:val="2F5496" w:themeColor="accent1" w:themeShade="BF"/>
        </w:rPr>
        <w:br/>
      </w:r>
      <w:r w:rsidR="00675049" w:rsidRPr="00D266A7">
        <w:rPr>
          <w:color w:val="2F5496" w:themeColor="accent1" w:themeShade="BF"/>
        </w:rPr>
        <w:br/>
      </w:r>
      <w:r w:rsidR="00675049">
        <w:t>7. Figure 2B and Supplementary Figure 2: the data are presented with histograms and not as scatter plot as other real-time PCR image. Please modify according to the CMGH guidelines.</w:t>
      </w:r>
    </w:p>
    <w:p w14:paraId="24C5E499" w14:textId="348C34FA" w:rsidR="00AB5087" w:rsidRPr="00D266A7" w:rsidRDefault="00862E13" w:rsidP="00AB5087">
      <w:pPr>
        <w:spacing w:line="240" w:lineRule="auto"/>
        <w:rPr>
          <w:b/>
          <w:bCs/>
          <w:color w:val="2F5496" w:themeColor="accent1" w:themeShade="BF"/>
        </w:rPr>
      </w:pPr>
      <w:r w:rsidRPr="00D266A7">
        <w:rPr>
          <w:i/>
          <w:iCs/>
          <w:color w:val="2F5496" w:themeColor="accent1" w:themeShade="BF"/>
        </w:rPr>
        <w:t>ANSWER:</w:t>
      </w:r>
      <w:r w:rsidRPr="00D266A7">
        <w:rPr>
          <w:b/>
          <w:bCs/>
          <w:color w:val="2F5496" w:themeColor="accent1" w:themeShade="BF"/>
        </w:rPr>
        <w:t xml:space="preserve"> </w:t>
      </w:r>
      <w:r w:rsidRPr="00D266A7">
        <w:rPr>
          <w:i/>
          <w:iCs/>
          <w:color w:val="2F5496" w:themeColor="accent1" w:themeShade="BF"/>
        </w:rPr>
        <w:t xml:space="preserve">We have now replaced the Figure 2B and </w:t>
      </w:r>
      <w:r w:rsidR="007D08F9" w:rsidRPr="00D266A7">
        <w:rPr>
          <w:i/>
          <w:iCs/>
          <w:color w:val="2F5496" w:themeColor="accent1" w:themeShade="BF"/>
        </w:rPr>
        <w:t>Supplementary Figure 2</w:t>
      </w:r>
      <w:r w:rsidRPr="00D266A7">
        <w:rPr>
          <w:i/>
          <w:iCs/>
          <w:color w:val="2F5496" w:themeColor="accent1" w:themeShade="BF"/>
        </w:rPr>
        <w:t xml:space="preserve"> as noted above.</w:t>
      </w:r>
      <w:r w:rsidRPr="00D266A7">
        <w:rPr>
          <w:b/>
          <w:bCs/>
          <w:color w:val="2F5496" w:themeColor="accent1" w:themeShade="BF"/>
        </w:rPr>
        <w:t xml:space="preserve"> </w:t>
      </w:r>
    </w:p>
    <w:p w14:paraId="3814CC31" w14:textId="77777777" w:rsidR="00A07DEA" w:rsidRDefault="00675049" w:rsidP="005F25B7">
      <w:pPr>
        <w:spacing w:line="240" w:lineRule="auto"/>
        <w:rPr>
          <w:b/>
          <w:bCs/>
        </w:rPr>
      </w:pPr>
      <w:r>
        <w:t>8. In methods, please change rpm with x g, since the latter are universal values, the first depend on the centrifuge used for the analysis.</w:t>
      </w:r>
    </w:p>
    <w:p w14:paraId="3445B555" w14:textId="1FC914E0" w:rsidR="00B31A91" w:rsidRDefault="00B31A91" w:rsidP="005F25B7">
      <w:pPr>
        <w:spacing w:line="240" w:lineRule="auto"/>
      </w:pPr>
      <w:r w:rsidRPr="00D266A7">
        <w:rPr>
          <w:b/>
          <w:bCs/>
          <w:color w:val="2F5496" w:themeColor="accent1" w:themeShade="BF"/>
        </w:rPr>
        <w:t xml:space="preserve"> </w:t>
      </w:r>
      <w:r w:rsidR="00862E13" w:rsidRPr="00D266A7">
        <w:rPr>
          <w:i/>
          <w:iCs/>
          <w:color w:val="2F5496" w:themeColor="accent1" w:themeShade="BF"/>
        </w:rPr>
        <w:t>ANSWER:</w:t>
      </w:r>
      <w:r w:rsidR="00862E13" w:rsidRPr="00D266A7">
        <w:rPr>
          <w:b/>
          <w:bCs/>
          <w:color w:val="2F5496" w:themeColor="accent1" w:themeShade="BF"/>
        </w:rPr>
        <w:t xml:space="preserve"> </w:t>
      </w:r>
      <w:r w:rsidR="00217377" w:rsidRPr="00D266A7">
        <w:rPr>
          <w:i/>
          <w:iCs/>
          <w:color w:val="2F5496" w:themeColor="accent1" w:themeShade="BF"/>
        </w:rPr>
        <w:t>Values have been updated</w:t>
      </w:r>
      <w:r w:rsidR="009F2D93" w:rsidRPr="00D266A7">
        <w:rPr>
          <w:i/>
          <w:iCs/>
          <w:color w:val="2F5496" w:themeColor="accent1" w:themeShade="BF"/>
        </w:rPr>
        <w:t xml:space="preserve"> from rpm</w:t>
      </w:r>
      <w:r w:rsidR="00217377" w:rsidRPr="00D266A7">
        <w:rPr>
          <w:i/>
          <w:iCs/>
          <w:color w:val="2F5496" w:themeColor="accent1" w:themeShade="BF"/>
        </w:rPr>
        <w:t xml:space="preserve"> to</w:t>
      </w:r>
      <w:r w:rsidR="009F2D93" w:rsidRPr="00D266A7">
        <w:rPr>
          <w:i/>
          <w:iCs/>
          <w:color w:val="2F5496" w:themeColor="accent1" w:themeShade="BF"/>
        </w:rPr>
        <w:t xml:space="preserve"> g</w:t>
      </w:r>
      <w:r w:rsidR="00217377" w:rsidRPr="000919D3">
        <w:rPr>
          <w:i/>
          <w:iCs/>
        </w:rPr>
        <w:t xml:space="preserve">. </w:t>
      </w:r>
    </w:p>
    <w:sectPr w:rsidR="00B31A91" w:rsidSect="00AC5E6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i-FI"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049"/>
    <w:rsid w:val="0001244F"/>
    <w:rsid w:val="000205BB"/>
    <w:rsid w:val="000247BD"/>
    <w:rsid w:val="00026B03"/>
    <w:rsid w:val="00044259"/>
    <w:rsid w:val="00062772"/>
    <w:rsid w:val="000871D4"/>
    <w:rsid w:val="000919D3"/>
    <w:rsid w:val="00091D3B"/>
    <w:rsid w:val="000B0BA2"/>
    <w:rsid w:val="000B2DA4"/>
    <w:rsid w:val="00106292"/>
    <w:rsid w:val="0011256C"/>
    <w:rsid w:val="00160D1A"/>
    <w:rsid w:val="00171E24"/>
    <w:rsid w:val="00192E14"/>
    <w:rsid w:val="00194CBE"/>
    <w:rsid w:val="00194F04"/>
    <w:rsid w:val="00196542"/>
    <w:rsid w:val="001A6058"/>
    <w:rsid w:val="001B16F2"/>
    <w:rsid w:val="001E077D"/>
    <w:rsid w:val="001E306B"/>
    <w:rsid w:val="00217377"/>
    <w:rsid w:val="00221051"/>
    <w:rsid w:val="00225FC7"/>
    <w:rsid w:val="00227A50"/>
    <w:rsid w:val="0026647F"/>
    <w:rsid w:val="002A5ACC"/>
    <w:rsid w:val="002D1462"/>
    <w:rsid w:val="002D3B0C"/>
    <w:rsid w:val="002D6375"/>
    <w:rsid w:val="003179B9"/>
    <w:rsid w:val="003217B0"/>
    <w:rsid w:val="0033394A"/>
    <w:rsid w:val="00334F40"/>
    <w:rsid w:val="00341004"/>
    <w:rsid w:val="0037134E"/>
    <w:rsid w:val="0037300B"/>
    <w:rsid w:val="003A0E62"/>
    <w:rsid w:val="003F004E"/>
    <w:rsid w:val="00425488"/>
    <w:rsid w:val="0044337A"/>
    <w:rsid w:val="0046078A"/>
    <w:rsid w:val="004912C7"/>
    <w:rsid w:val="00492108"/>
    <w:rsid w:val="004A33CF"/>
    <w:rsid w:val="004B4504"/>
    <w:rsid w:val="004B458A"/>
    <w:rsid w:val="004C7B9F"/>
    <w:rsid w:val="004D45EF"/>
    <w:rsid w:val="004E2FAD"/>
    <w:rsid w:val="00502D0D"/>
    <w:rsid w:val="005134CD"/>
    <w:rsid w:val="00555C05"/>
    <w:rsid w:val="00587B60"/>
    <w:rsid w:val="005B20F8"/>
    <w:rsid w:val="005C513A"/>
    <w:rsid w:val="005D6976"/>
    <w:rsid w:val="005E10FB"/>
    <w:rsid w:val="005F25B7"/>
    <w:rsid w:val="00634563"/>
    <w:rsid w:val="00663764"/>
    <w:rsid w:val="00666A68"/>
    <w:rsid w:val="006706A7"/>
    <w:rsid w:val="00675049"/>
    <w:rsid w:val="00680236"/>
    <w:rsid w:val="00686B8C"/>
    <w:rsid w:val="00686DED"/>
    <w:rsid w:val="00692F4F"/>
    <w:rsid w:val="006A3941"/>
    <w:rsid w:val="006C15AD"/>
    <w:rsid w:val="006D54CD"/>
    <w:rsid w:val="006F2DA7"/>
    <w:rsid w:val="00707C77"/>
    <w:rsid w:val="007616AF"/>
    <w:rsid w:val="007B194B"/>
    <w:rsid w:val="007B34C7"/>
    <w:rsid w:val="007C3E65"/>
    <w:rsid w:val="007D08F9"/>
    <w:rsid w:val="007E19D3"/>
    <w:rsid w:val="00803015"/>
    <w:rsid w:val="00834A0A"/>
    <w:rsid w:val="00840ADC"/>
    <w:rsid w:val="00847077"/>
    <w:rsid w:val="00862E13"/>
    <w:rsid w:val="00863793"/>
    <w:rsid w:val="008640EA"/>
    <w:rsid w:val="008C6820"/>
    <w:rsid w:val="008C6E54"/>
    <w:rsid w:val="008F7C79"/>
    <w:rsid w:val="00912C68"/>
    <w:rsid w:val="00950220"/>
    <w:rsid w:val="009A53F5"/>
    <w:rsid w:val="009C4E01"/>
    <w:rsid w:val="009F2D93"/>
    <w:rsid w:val="009F4D14"/>
    <w:rsid w:val="00A05151"/>
    <w:rsid w:val="00A077EC"/>
    <w:rsid w:val="00A07DEA"/>
    <w:rsid w:val="00A1588F"/>
    <w:rsid w:val="00A27E47"/>
    <w:rsid w:val="00A93C30"/>
    <w:rsid w:val="00AB5087"/>
    <w:rsid w:val="00AC5E69"/>
    <w:rsid w:val="00B31A91"/>
    <w:rsid w:val="00B34F47"/>
    <w:rsid w:val="00BA70DF"/>
    <w:rsid w:val="00BB6A46"/>
    <w:rsid w:val="00BD3ED7"/>
    <w:rsid w:val="00BF4A32"/>
    <w:rsid w:val="00BF4AA4"/>
    <w:rsid w:val="00C01398"/>
    <w:rsid w:val="00C1319D"/>
    <w:rsid w:val="00C55BA5"/>
    <w:rsid w:val="00C630F9"/>
    <w:rsid w:val="00C7129C"/>
    <w:rsid w:val="00C773DD"/>
    <w:rsid w:val="00C827CE"/>
    <w:rsid w:val="00CA12F0"/>
    <w:rsid w:val="00CA622F"/>
    <w:rsid w:val="00CA6DB6"/>
    <w:rsid w:val="00D1269C"/>
    <w:rsid w:val="00D266A7"/>
    <w:rsid w:val="00D47335"/>
    <w:rsid w:val="00D50FDF"/>
    <w:rsid w:val="00D93721"/>
    <w:rsid w:val="00DA2024"/>
    <w:rsid w:val="00DB195E"/>
    <w:rsid w:val="00DB2A08"/>
    <w:rsid w:val="00DB7372"/>
    <w:rsid w:val="00DE5B72"/>
    <w:rsid w:val="00E10FD7"/>
    <w:rsid w:val="00E56B7E"/>
    <w:rsid w:val="00E62772"/>
    <w:rsid w:val="00E86839"/>
    <w:rsid w:val="00E95F13"/>
    <w:rsid w:val="00EA4D76"/>
    <w:rsid w:val="00ED0979"/>
    <w:rsid w:val="00F11E07"/>
    <w:rsid w:val="00F21E65"/>
    <w:rsid w:val="00F63869"/>
    <w:rsid w:val="00F826F5"/>
    <w:rsid w:val="00FB60BF"/>
    <w:rsid w:val="00FD644B"/>
    <w:rsid w:val="00FF532E"/>
    <w:rsid w:val="00FF6B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07D0"/>
  <w15:chartTrackingRefBased/>
  <w15:docId w15:val="{2304C80A-D4BA-4EF1-AA4C-2A7FEC07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5049"/>
    <w:rPr>
      <w:b/>
      <w:bCs/>
    </w:rPr>
  </w:style>
  <w:style w:type="character" w:styleId="Hyperlink">
    <w:name w:val="Hyperlink"/>
    <w:basedOn w:val="DefaultParagraphFont"/>
    <w:uiPriority w:val="99"/>
    <w:unhideWhenUsed/>
    <w:rsid w:val="00492108"/>
    <w:rPr>
      <w:color w:val="0563C1" w:themeColor="hyperlink"/>
      <w:u w:val="single"/>
    </w:rPr>
  </w:style>
  <w:style w:type="character" w:customStyle="1" w:styleId="UnresolvedMention1">
    <w:name w:val="Unresolved Mention1"/>
    <w:basedOn w:val="DefaultParagraphFont"/>
    <w:uiPriority w:val="99"/>
    <w:semiHidden/>
    <w:unhideWhenUsed/>
    <w:rsid w:val="00492108"/>
    <w:rPr>
      <w:color w:val="605E5C"/>
      <w:shd w:val="clear" w:color="auto" w:fill="E1DFDD"/>
    </w:rPr>
  </w:style>
  <w:style w:type="paragraph" w:customStyle="1" w:styleId="Bibliography1">
    <w:name w:val="Bibliography1"/>
    <w:basedOn w:val="Normal"/>
    <w:qFormat/>
    <w:rsid w:val="00D1269C"/>
    <w:pPr>
      <w:suppressAutoHyphens/>
      <w:spacing w:beforeAutospacing="1" w:after="200" w:afterAutospacing="1" w:line="240" w:lineRule="auto"/>
    </w:pPr>
    <w:rPr>
      <w:rFonts w:ascii="Times New Roman" w:eastAsiaTheme="minorEastAsia" w:hAnsi="Times New Roman" w:cs="Times New Roman"/>
      <w:kern w:val="0"/>
      <w:sz w:val="24"/>
      <w:szCs w:val="24"/>
      <w:lang w:val="fi-FI" w:eastAsia="fi-FI"/>
      <w14:ligatures w14:val="none"/>
    </w:rPr>
  </w:style>
  <w:style w:type="paragraph" w:styleId="Revision">
    <w:name w:val="Revision"/>
    <w:hidden/>
    <w:uiPriority w:val="99"/>
    <w:semiHidden/>
    <w:rsid w:val="00E10FD7"/>
    <w:pPr>
      <w:spacing w:after="0" w:line="240" w:lineRule="auto"/>
    </w:pPr>
  </w:style>
  <w:style w:type="character" w:styleId="CommentReference">
    <w:name w:val="annotation reference"/>
    <w:basedOn w:val="DefaultParagraphFont"/>
    <w:uiPriority w:val="99"/>
    <w:semiHidden/>
    <w:unhideWhenUsed/>
    <w:rsid w:val="004B458A"/>
    <w:rPr>
      <w:sz w:val="16"/>
      <w:szCs w:val="16"/>
    </w:rPr>
  </w:style>
  <w:style w:type="paragraph" w:styleId="CommentText">
    <w:name w:val="annotation text"/>
    <w:basedOn w:val="Normal"/>
    <w:link w:val="CommentTextChar"/>
    <w:uiPriority w:val="99"/>
    <w:unhideWhenUsed/>
    <w:rsid w:val="004B458A"/>
    <w:pPr>
      <w:spacing w:line="240" w:lineRule="auto"/>
    </w:pPr>
    <w:rPr>
      <w:sz w:val="20"/>
      <w:szCs w:val="20"/>
    </w:rPr>
  </w:style>
  <w:style w:type="character" w:customStyle="1" w:styleId="CommentTextChar">
    <w:name w:val="Comment Text Char"/>
    <w:basedOn w:val="DefaultParagraphFont"/>
    <w:link w:val="CommentText"/>
    <w:uiPriority w:val="99"/>
    <w:rsid w:val="004B458A"/>
    <w:rPr>
      <w:sz w:val="20"/>
      <w:szCs w:val="20"/>
    </w:rPr>
  </w:style>
  <w:style w:type="paragraph" w:styleId="CommentSubject">
    <w:name w:val="annotation subject"/>
    <w:basedOn w:val="CommentText"/>
    <w:next w:val="CommentText"/>
    <w:link w:val="CommentSubjectChar"/>
    <w:uiPriority w:val="99"/>
    <w:semiHidden/>
    <w:unhideWhenUsed/>
    <w:rsid w:val="004B458A"/>
    <w:rPr>
      <w:b/>
      <w:bCs/>
    </w:rPr>
  </w:style>
  <w:style w:type="character" w:customStyle="1" w:styleId="CommentSubjectChar">
    <w:name w:val="Comment Subject Char"/>
    <w:basedOn w:val="CommentTextChar"/>
    <w:link w:val="CommentSubject"/>
    <w:uiPriority w:val="99"/>
    <w:semiHidden/>
    <w:rsid w:val="004B458A"/>
    <w:rPr>
      <w:b/>
      <w:bCs/>
      <w:sz w:val="20"/>
      <w:szCs w:val="20"/>
    </w:rPr>
  </w:style>
  <w:style w:type="paragraph" w:styleId="BalloonText">
    <w:name w:val="Balloon Text"/>
    <w:basedOn w:val="Normal"/>
    <w:link w:val="BalloonTextChar"/>
    <w:uiPriority w:val="99"/>
    <w:semiHidden/>
    <w:unhideWhenUsed/>
    <w:rsid w:val="00CA1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2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36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Virtanen, Heikki T</dc:creator>
  <cp:keywords/>
  <dc:description/>
  <cp:lastModifiedBy>Virtanen, Heikki T</cp:lastModifiedBy>
  <cp:revision>6</cp:revision>
  <cp:lastPrinted>2024-06-17T12:01:00Z</cp:lastPrinted>
  <dcterms:created xsi:type="dcterms:W3CDTF">2024-07-23T11:34:00Z</dcterms:created>
  <dcterms:modified xsi:type="dcterms:W3CDTF">2024-07-24T13:29:00Z</dcterms:modified>
</cp:coreProperties>
</file>