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76" w:lineRule="auto"/>
        <w:jc w:val="left"/>
      </w:pPr>
      <w:r>
        <w:rPr>
          <w:rFonts w:ascii="Times New Roman" w:hAnsi="Times New Roman"/>
          <w:b/>
          <w:i w:val="0"/>
          <w:sz w:val="28"/>
        </w:rPr>
        <w:t>Physics-anchored hybrid hydrological modeling using satellite Earth observation for monthly volumetric flood risk and extreme generalization in the Lower Indus Basin, Pakistan</w:t>
      </w:r>
    </w:p>
    <w:p>
      <w:pPr>
        <w:spacing w:before="0" w:after="160" w:line="276" w:lineRule="auto"/>
        <w:jc w:val="left"/>
      </w:pPr>
      <w:r>
        <w:rPr>
          <w:rFonts w:ascii="Times New Roman" w:hAnsi="Times New Roman"/>
          <w:b w:val="0"/>
          <w:i w:val="0"/>
          <w:sz w:val="22"/>
        </w:rPr>
        <w:t>Mirza Muhammad Muzzamil1*</w:t>
      </w:r>
    </w:p>
    <w:p>
      <w:pPr>
        <w:spacing w:before="0" w:after="280" w:line="276" w:lineRule="auto"/>
        <w:jc w:val="left"/>
      </w:pPr>
      <w:r>
        <w:rPr>
          <w:rFonts w:ascii="Times New Roman" w:hAnsi="Times New Roman"/>
          <w:b w:val="0"/>
          <w:i/>
          <w:sz w:val="20"/>
        </w:rPr>
        <w:t>1 Department of Computer and Information Systems Engineering (CISE), NED University of Engineering and Technology, Karachi 75270, Pakistan</w:t>
      </w:r>
    </w:p>
    <w:p>
      <w:pPr>
        <w:spacing w:before="0" w:after="280" w:line="276" w:lineRule="auto"/>
        <w:jc w:val="left"/>
      </w:pPr>
      <w:r>
        <w:rPr>
          <w:b/>
        </w:rPr>
        <w:t>*Corresponding author</w:t>
        <w:br/>
      </w:r>
      <w:r>
        <w:t>Corresponding author's name: Mirza Muhammad Muzzamil</w:t>
        <w:br/>
        <w:t>Corresponding author's job position: High Performance Computing Engineer</w:t>
        <w:br/>
        <w:t>Corresponding author's affiliation and full mailing address: Department of Computer and Information Systems Engineering (CISE), NED University of Engineering and Technology, University Road, Karachi 75270, Sindh, Pakistan</w:t>
        <w:br/>
        <w:t>E-mail address: mirzamuzzamil@neduet.edu.pk</w:t>
        <w:br/>
        <w:t>ORCID: 0000-0001-5258-8959</w:t>
        <w:br/>
        <w:t>Telephone number: +923342976696</w:t>
      </w:r>
    </w:p>
    <w:p>
      <w:pPr>
        <w:spacing w:before="0" w:after="280" w:line="276" w:lineRule="auto"/>
        <w:jc w:val="left"/>
      </w:pPr>
      <w:r>
        <w:rPr>
          <w:b/>
        </w:rPr>
        <w:t xml:space="preserve">Short title: </w:t>
      </w:r>
      <w:r>
        <w:t>Physics-anchored hybrid hydrological modeling in the Lower Indus Basin</w:t>
      </w:r>
    </w:p>
    <w:p>
      <w:pPr>
        <w:spacing w:before="0" w:after="80" w:line="276" w:lineRule="auto"/>
        <w:jc w:val="left"/>
      </w:pPr>
      <w:r>
        <w:rPr>
          <w:b/>
        </w:rPr>
        <w:t>Abstract</w:t>
      </w:r>
    </w:p>
    <w:p>
      <w:pPr>
        <w:spacing w:before="0" w:after="280" w:line="276" w:lineRule="auto"/>
        <w:jc w:val="left"/>
      </w:pPr>
      <w:r>
        <w:rPr>
          <w:rFonts w:ascii="Times New Roman" w:hAnsi="Times New Roman"/>
          <w:b w:val="0"/>
          <w:i w:val="0"/>
          <w:sz w:val="22"/>
        </w:rPr>
        <w:t>Accurate monthly volumetric streamflow and flood runoff forecasting in heavily managed, low-gradient river basins remains challenging due to severe hydrometeorological non-stationarity, intensive canal diversions, transboundary upstream inflows, and observational data scarcity. While unconstrained machine learning algorithms capture complex non-linear patterns, they frequently suffer from physical inconsistency, variance dampening, and severe peak flow underestimation when tested on unprecedented extreme floods. Conversely, traditional conceptual models struggle to ingest multi-source satellite Earth observation grids directly. In this study, we investigate how coupling a linear water-balance-informed baseline with non-linear residual machine learning mitigates peak flow attenuation while preserving out-of-distribution generalization under extreme climate forcing. We develop a Physics-Anchored Water-Balance Hybrid framework (PG-MCH) for the Lower Indus Basin within Sindh Province, Pakistan (140,914 km²), ingesting monthly multi-sensor Google Earth Engine (GEE) streams across 2020–2024 (CHIRPS v2.0 precipitation, ERA5-Land reanalysis, NASA SMAP soil moisture, SRTM topography, and GRACE storage anomalies) alongside mainstem upstream boundary inflow. To evaluate true zero-shot out-of-distribution extreme-event generalization, the model was calibrated exclusively on baseline years (2020–2021, N = 24 months) with conservative L2 regularization and stress-tested on the completely unseen 2022 Pakistan Mega-Flood as an independent extreme holdout, followed by a 2023–2024 future test period. Uncertainty was evaluated using Moving Block Bootstrap (b = 3 months) to respect time-series autocorrelation. Results demonstrate that during the unseen 2022 Mega-Flood, the proposed hybrid achieved a Kling-Gupta Efficiency (KGE) of 0.879 and restricted peak underestimation bias (FHV) to -9.4%, whereas unconstrained Random Forest collapsed to KGE = 0.532 with severe peak attenuation (FHV = -30.9%) and gradient boosting collapsed to KGE = 0.589 (FHV = -29.1%). Over the entire out-of-sample period (2022–2024), the hybrid maintained KGE = 0.902 [95% CI: 0.86, 0.95] and Nash-Sutcliffe Efficiency (NSE = 0.990). A multi-regime ablation study demonstrates that physical baseline anchoring provides the dominant contribution to extreme-flow robustness, offering a reproducible paradigm for basin-scale flood risk and reservoir water-balance assessment in data-sparse alluvial plains.</w:t>
      </w:r>
    </w:p>
    <w:p>
      <w:pPr>
        <w:spacing w:before="0" w:after="400" w:line="276" w:lineRule="auto"/>
        <w:jc w:val="left"/>
      </w:pPr>
      <w:r>
        <w:rPr>
          <w:b/>
        </w:rPr>
        <w:t xml:space="preserve">Keywords: </w:t>
      </w:r>
      <w:r>
        <w:t>Physics-guided machine learning, Google Earth Engine, Indus River Basin, Sindh Province, Flood generalization, Water balance</w:t>
      </w:r>
    </w:p>
    <w:p>
      <w:pPr>
        <w:spacing w:before="0" w:after="240" w:line="276" w:lineRule="auto"/>
        <w:jc w:val="center"/>
      </w:pPr>
      <w:r>
        <w:rPr>
          <w:rFonts w:ascii="Times New Roman" w:hAnsi="Times New Roman"/>
          <w:b w:val="0"/>
          <w:i/>
          <w:sz w:val="22"/>
        </w:rPr>
        <w:t>– End of title page –</w:t>
      </w:r>
    </w:p>
    <w:p>
      <w:r>
        <w:br w:type="page"/>
      </w:r>
    </w:p>
    <w:p>
      <w:pPr>
        <w:spacing w:before="280" w:after="120" w:line="276" w:lineRule="auto"/>
        <w:jc w:val="left"/>
      </w:pPr>
      <w:r>
        <w:rPr>
          <w:rFonts w:ascii="Times New Roman" w:hAnsi="Times New Roman"/>
          <w:b/>
          <w:i w:val="0"/>
          <w:sz w:val="26"/>
        </w:rPr>
        <w:t>1 Introduction</w:t>
      </w:r>
    </w:p>
    <w:p>
      <w:pPr>
        <w:spacing w:before="0" w:after="120" w:line="276" w:lineRule="auto"/>
        <w:jc w:val="left"/>
      </w:pPr>
      <w:r>
        <w:rPr>
          <w:rFonts w:ascii="Times New Roman" w:hAnsi="Times New Roman"/>
          <w:b w:val="0"/>
          <w:i w:val="0"/>
          <w:sz w:val="22"/>
        </w:rPr>
        <w:t>The Indus River Basin is one of the most critical and climate-vulnerable transboundary river systems globally, sustaining over 230 million people and supporting the world's largest contiguous irrigation network—the Indus Basin Irrigation System (IBIS) (Immerzeel et al., 2020; Young et al., 2019). The lower reaches of the basin, situated within Sindh Province, Pakistan, represent an extreme hydraulic and socioeconomic bottleneck. Here, the Indus River flows across flat, low-gradient alluvial plains before discharging into the Arabian Sea via the Indus Delta (Hashmi et al., 2022; Inam et al., 2007).</w:t>
      </w:r>
    </w:p>
    <w:p>
      <w:pPr>
        <w:spacing w:before="0" w:after="120" w:line="276" w:lineRule="auto"/>
        <w:jc w:val="left"/>
      </w:pPr>
      <w:r>
        <w:rPr>
          <w:rFonts w:ascii="Times New Roman" w:hAnsi="Times New Roman"/>
          <w:b w:val="0"/>
          <w:i w:val="0"/>
          <w:sz w:val="22"/>
        </w:rPr>
        <w:t>In recent years, anthropogenic climate change has intensified the magnitude of hydrological extremes across South Asia. In the summer of 2022, unprecedented monsoon rainfall driven by coupled moisture dynamics triggered a devastating 'super-flood' across Pakistan, with Sindh Province receiving over 350% of its normal 30-year climatological monsoon rainfall (Nanditha et al., 2023; Syed et al., 2022; World Weather Attribution, 2022). Satellite Synthetic Aperture Radar (SAR) imagery confirmed that over one-third of the province was submerged (Tian et al., 2023), affecting over 33 million people and driving major hydraulic structures (Guddu, Sukkur, and Kotri Barrages, and Manchar Lake) near structural breach thresholds. Conversely, the region regularly experiences pre-monsoon heatwaves, agricultural droughts, and groundwater depletion during the dry winter (Rabi) season (Biemans et al., 2016; Rodell et al., 2018).</w:t>
      </w:r>
    </w:p>
    <w:p>
      <w:pPr>
        <w:spacing w:before="200" w:after="80" w:line="276" w:lineRule="auto"/>
        <w:jc w:val="left"/>
      </w:pPr>
      <w:r>
        <w:rPr>
          <w:rFonts w:ascii="Times New Roman" w:hAnsi="Times New Roman"/>
          <w:b/>
          <w:i w:val="0"/>
          <w:sz w:val="23"/>
        </w:rPr>
        <w:t>1.1 Problem background and motivation</w:t>
      </w:r>
    </w:p>
    <w:p>
      <w:pPr>
        <w:spacing w:before="0" w:after="120" w:line="276" w:lineRule="auto"/>
        <w:jc w:val="left"/>
      </w:pPr>
      <w:r>
        <w:rPr>
          <w:rFonts w:ascii="Times New Roman" w:hAnsi="Times New Roman"/>
          <w:b w:val="0"/>
          <w:i w:val="0"/>
          <w:sz w:val="22"/>
        </w:rPr>
        <w:t>Hydrological prediction in heavily managed alluvial basins faces two fundamental methodological limitations:</w:t>
      </w:r>
    </w:p>
    <w:p>
      <w:pPr>
        <w:spacing w:before="0" w:after="120" w:line="276" w:lineRule="auto"/>
        <w:jc w:val="left"/>
      </w:pPr>
      <w:r>
        <w:rPr>
          <w:rFonts w:ascii="Times New Roman" w:hAnsi="Times New Roman"/>
          <w:b w:val="0"/>
          <w:i w:val="0"/>
          <w:sz w:val="22"/>
        </w:rPr>
        <w:t>1. Conceptual models (e.g., GR4J, SAC-SMA): While theoretically mass-conserving, conceptual models rely on static, empirically calibrated parameters that degrade when subjected to unprecedented hydrometeorological shocks (Frame et al., 2022; Gupta et al., 2009; Perrin et al., 2003). Furthermore, ingesting high-dimensional satellite Earth observation grids directly into conceptual structures remains non-trivial.</w:t>
      </w:r>
    </w:p>
    <w:p>
      <w:pPr>
        <w:spacing w:before="0" w:after="120" w:line="276" w:lineRule="auto"/>
        <w:jc w:val="left"/>
      </w:pPr>
      <w:r>
        <w:rPr>
          <w:rFonts w:ascii="Times New Roman" w:hAnsi="Times New Roman"/>
          <w:b w:val="0"/>
          <w:i w:val="0"/>
          <w:sz w:val="22"/>
        </w:rPr>
        <w:t>2. Standard machine learning (e.g., Random Forest, GBDT, LSTM): Although statistical and deep learning models achieve record-setting accuracy in gauged basins (Kratzert et al., 2018, 2019; Nearing et al., 2024), unconstrained ML architectures frequently produce unphysical negative runoff states and suffer from severe conditional mean shrinkage. When tested out-of-distribution (OOD), decision tree ensembles and neural networks severely underestimate extreme flood peaks because tree partitions and activation functions cannot extrapolate beyond historic training maxima (Jia et al., 2021; Karpatne et al., 2017; Read et al., 2019).</w:t>
      </w:r>
    </w:p>
    <w:p>
      <w:pPr>
        <w:spacing w:before="200" w:after="80" w:line="276" w:lineRule="auto"/>
        <w:jc w:val="left"/>
      </w:pPr>
      <w:r>
        <w:rPr>
          <w:rFonts w:ascii="Times New Roman" w:hAnsi="Times New Roman"/>
          <w:b/>
          <w:i w:val="0"/>
          <w:sz w:val="23"/>
        </w:rPr>
        <w:t>1.2 Core contributions and study objectives</w:t>
      </w:r>
    </w:p>
    <w:p>
      <w:pPr>
        <w:spacing w:before="0" w:after="120" w:line="276" w:lineRule="auto"/>
        <w:jc w:val="left"/>
      </w:pPr>
      <w:r>
        <w:rPr>
          <w:rFonts w:ascii="Times New Roman" w:hAnsi="Times New Roman"/>
          <w:b w:val="0"/>
          <w:i w:val="0"/>
          <w:sz w:val="22"/>
        </w:rPr>
        <w:t>To bridge the gap between physical mass conservation and machine learning flexibility at monthly basin scales, this paper provides four primary contributions:</w:t>
      </w:r>
    </w:p>
    <w:p>
      <w:pPr>
        <w:spacing w:before="0" w:after="120" w:line="276" w:lineRule="auto"/>
        <w:jc w:val="left"/>
      </w:pPr>
      <w:r>
        <w:rPr>
          <w:rFonts w:ascii="Times New Roman" w:hAnsi="Times New Roman"/>
          <w:b w:val="0"/>
          <w:i w:val="0"/>
          <w:sz w:val="22"/>
        </w:rPr>
        <w:t>1. Physics-anchored hybrid architecture: We formulate a hybrid framework (PG-MCH) that couples a non-negative, L2-regularized water-balance baseline with non-linear residual tree ensembles, explicitly ingesting satellite Earth observation streams alongside mainstem upstream boundary inflow.</w:t>
      </w:r>
    </w:p>
    <w:p>
      <w:pPr>
        <w:spacing w:before="0" w:after="120" w:line="276" w:lineRule="auto"/>
        <w:jc w:val="left"/>
      </w:pPr>
      <w:r>
        <w:rPr>
          <w:rFonts w:ascii="Times New Roman" w:hAnsi="Times New Roman"/>
          <w:b w:val="0"/>
          <w:i w:val="0"/>
          <w:sz w:val="22"/>
        </w:rPr>
        <w:t>2. Temporal scale and water-balance formalization: We formally scope the framework to monthly basin-scale volumetric water-balance forecasting (Δt = 1 month), bridging the operational gap between seasonal reservoir allocation and regional flood volume assessment.</w:t>
      </w:r>
    </w:p>
    <w:p>
      <w:pPr>
        <w:spacing w:before="0" w:after="120" w:line="276" w:lineRule="auto"/>
        <w:jc w:val="left"/>
      </w:pPr>
      <w:r>
        <w:rPr>
          <w:rFonts w:ascii="Times New Roman" w:hAnsi="Times New Roman"/>
          <w:b w:val="0"/>
          <w:i w:val="0"/>
          <w:sz w:val="22"/>
        </w:rPr>
        <w:t>3. Unseen zero-shot extreme-event protocol: We enforce a strict chronological holdout design where the historic 2022 Pakistan Super-Flood is completely withheld from model calibration to evaluate genuine zero-shot OOD extreme generalization under low-sample constraints (N = 24 calibration months).</w:t>
      </w:r>
    </w:p>
    <w:p>
      <w:pPr>
        <w:spacing w:before="0" w:after="120" w:line="276" w:lineRule="auto"/>
        <w:jc w:val="left"/>
      </w:pPr>
      <w:r>
        <w:rPr>
          <w:rFonts w:ascii="Times New Roman" w:hAnsi="Times New Roman"/>
          <w:b w:val="0"/>
          <w:i w:val="0"/>
          <w:sz w:val="22"/>
        </w:rPr>
        <w:t>4. Multi-regime ablation and trade-off analysis: We provide a systematic ablation study evaluating model components across both extreme monsoon flood and post-flood recovery regimes, providing physical insights into satellite feature redundancies during extreme precipitation spikes.</w:t>
      </w:r>
    </w:p>
    <w:p>
      <w:pPr>
        <w:spacing w:before="280" w:after="120" w:line="276" w:lineRule="auto"/>
        <w:jc w:val="left"/>
      </w:pPr>
      <w:r>
        <w:rPr>
          <w:rFonts w:ascii="Times New Roman" w:hAnsi="Times New Roman"/>
          <w:b/>
          <w:i w:val="0"/>
          <w:sz w:val="26"/>
        </w:rPr>
        <w:t>2 Literature review and gap analysis</w:t>
      </w:r>
    </w:p>
    <w:p>
      <w:pPr>
        <w:spacing w:before="200" w:after="80" w:line="276" w:lineRule="auto"/>
        <w:jc w:val="left"/>
      </w:pPr>
      <w:r>
        <w:rPr>
          <w:rFonts w:ascii="Times New Roman" w:hAnsi="Times New Roman"/>
          <w:b/>
          <w:i w:val="0"/>
          <w:sz w:val="23"/>
        </w:rPr>
        <w:t>2.1 Physical hydrology of the Lower Indus Basin</w:t>
      </w:r>
    </w:p>
    <w:p>
      <w:pPr>
        <w:spacing w:before="0" w:after="120" w:line="276" w:lineRule="auto"/>
        <w:jc w:val="left"/>
      </w:pPr>
      <w:r>
        <w:rPr>
          <w:rFonts w:ascii="Times New Roman" w:hAnsi="Times New Roman"/>
          <w:b w:val="0"/>
          <w:i w:val="0"/>
          <w:sz w:val="22"/>
        </w:rPr>
        <w:t>The hydrological regime of the Indus Basin is driven by snow-glacier melt in the Upper Indus Basin and South Asian monsoon depressions in the lower basin (Biemans et al., 2016; Immerzeel et al., 2020; Syed et al., 2022). Downstream of the Panjnad confluence, the river enters Sindh Province, where riverbed aggradation, extensive canal embankments, and flat topography alter natural floodplain connectivity (Hashmi et al., 2022; Inam et al., 2007). Climatological studies indicate that atmospheric warming is expanding tropospheric moisture capacity via the Clausius-Clapeyron relation (~7% per °C), generating non-stationary rainfall regimes and elevated peak runoff coefficients (Nanditha et al., 2023; World Weather Attribution, 2022).</w:t>
      </w:r>
    </w:p>
    <w:p>
      <w:pPr>
        <w:spacing w:before="200" w:after="80" w:line="276" w:lineRule="auto"/>
        <w:jc w:val="left"/>
      </w:pPr>
      <w:r>
        <w:rPr>
          <w:rFonts w:ascii="Times New Roman" w:hAnsi="Times New Roman"/>
          <w:b/>
          <w:i w:val="0"/>
          <w:sz w:val="23"/>
        </w:rPr>
        <w:t>2.2 Evolution from conceptual models to deep learning</w:t>
      </w:r>
    </w:p>
    <w:p>
      <w:pPr>
        <w:spacing w:before="0" w:after="120" w:line="276" w:lineRule="auto"/>
        <w:jc w:val="left"/>
      </w:pPr>
      <w:r>
        <w:rPr>
          <w:rFonts w:ascii="Times New Roman" w:hAnsi="Times New Roman"/>
          <w:b w:val="0"/>
          <w:i w:val="0"/>
          <w:sz w:val="22"/>
        </w:rPr>
        <w:t>Hydrological prediction has historically relied on conceptual lumped and semi-distributed models such as GR4J (Perrin et al., 2003). Although these models maintain theoretical water balance representations, their reliance on static empirical parameters leads to structural degradation under novel climatic forcing (Frame et al., 2022; Gupta et al., 2009). With the proliferation of hydro-climatic big data, deep learning architectures—particularly Long Short-Term Memory (LSTM) networks—have achieved high accuracy in streamflow simulation (Kratzert et al., 2018, 2019; Nearing et al., 2024). However, on tabular satellite feature sets with short calibration records (N &lt; 50), deep sequential models are susceptible to severe sample-variance overfitting unless physically constrained (Jia et al., 2021; Willard et al., 2022).</w:t>
      </w:r>
    </w:p>
    <w:p>
      <w:pPr>
        <w:spacing w:before="200" w:after="80" w:line="276" w:lineRule="auto"/>
        <w:jc w:val="left"/>
      </w:pPr>
      <w:r>
        <w:rPr>
          <w:rFonts w:ascii="Times New Roman" w:hAnsi="Times New Roman"/>
          <w:b/>
          <w:i w:val="0"/>
          <w:sz w:val="23"/>
        </w:rPr>
        <w:t>2.3 Physics-guided and hybrid machine learning</w:t>
      </w:r>
    </w:p>
    <w:p>
      <w:pPr>
        <w:spacing w:before="0" w:after="120" w:line="276" w:lineRule="auto"/>
        <w:jc w:val="left"/>
      </w:pPr>
      <w:r>
        <w:rPr>
          <w:rFonts w:ascii="Times New Roman" w:hAnsi="Times New Roman"/>
          <w:b w:val="0"/>
          <w:i w:val="0"/>
          <w:sz w:val="22"/>
        </w:rPr>
        <w:t>To reconcile physical interpretability with statistical flexibility, Physics-Guided Machine Learning (PGML) has emerged as a key computational paradigm (Jia et al., 2021; Karpatne et al., 2017; Read et al., 2019; Willard et al., 2022). Anchoring model predictions to first-order water balance baselines constrains the hypothesis space, preventing gradient divergence and maintaining accurate hydrograph variance under out-of-distribution climatic forcing (Frame et al., 2022).</w:t>
      </w:r>
    </w:p>
    <w:p>
      <w:pPr>
        <w:spacing w:before="200" w:after="80" w:line="276" w:lineRule="auto"/>
        <w:jc w:val="left"/>
      </w:pPr>
      <w:r>
        <w:rPr>
          <w:rFonts w:ascii="Times New Roman" w:hAnsi="Times New Roman"/>
          <w:b/>
          <w:i w:val="0"/>
          <w:sz w:val="23"/>
        </w:rPr>
        <w:t>2.4 Cloud-native Earth observation</w:t>
      </w:r>
    </w:p>
    <w:p>
      <w:pPr>
        <w:spacing w:before="0" w:after="120" w:line="276" w:lineRule="auto"/>
        <w:jc w:val="left"/>
      </w:pPr>
      <w:r>
        <w:rPr>
          <w:rFonts w:ascii="Times New Roman" w:hAnsi="Times New Roman"/>
          <w:b w:val="0"/>
          <w:i w:val="0"/>
          <w:sz w:val="22"/>
        </w:rPr>
        <w:t>Planetary-scale geospatial platforms, specifically Google Earth Engine (GEE), have eliminated computational barriers in multi-sensor hydro-environmental analysis (Gorelick et al., 2017). Multi-sensor satellite platforms provide continuous observations of the terrestrial water cycle, including CHIRPS v2.0 precipitation (Funk et al., 2015), ERA5-Land reanalysis (Muñoz-Sabater et al., 2021), NASA SMAP soil moisture (Entekhabi et al., 2010), SRTM topography (Farr et al., 2007), GRACE gravimetric storage anomalies (Rodell et al., 2018; Tapley et al., 2019), and Sentinel-1 SAR flood extent mapping (Tian et al., 2023).</w:t>
      </w:r>
    </w:p>
    <w:p>
      <w:pPr>
        <w:spacing w:before="280" w:after="120" w:line="276" w:lineRule="auto"/>
        <w:jc w:val="left"/>
      </w:pPr>
      <w:r>
        <w:rPr>
          <w:rFonts w:ascii="Times New Roman" w:hAnsi="Times New Roman"/>
          <w:b/>
          <w:i w:val="0"/>
          <w:sz w:val="26"/>
        </w:rPr>
        <w:t>3 Study area and geospatial datasets</w:t>
      </w:r>
    </w:p>
    <w:p>
      <w:pPr>
        <w:spacing w:before="160" w:after="80"/>
        <w:jc w:val="center"/>
      </w:pPr>
      <w:r>
        <w:drawing>
          <wp:inline xmlns:a="http://schemas.openxmlformats.org/drawingml/2006/main" xmlns:pic="http://schemas.openxmlformats.org/drawingml/2006/picture">
            <wp:extent cx="5120640" cy="5870823"/>
            <wp:docPr id="1" name="Picture 1"/>
            <wp:cNvGraphicFramePr>
              <a:graphicFrameLocks noChangeAspect="1"/>
            </wp:cNvGraphicFramePr>
            <a:graphic>
              <a:graphicData uri="http://schemas.openxmlformats.org/drawingml/2006/picture">
                <pic:pic>
                  <pic:nvPicPr>
                    <pic:cNvPr id="0" name="Figure_Study_Area_Sindh_Indus.png"/>
                    <pic:cNvPicPr/>
                  </pic:nvPicPr>
                  <pic:blipFill>
                    <a:blip r:embed="rId9"/>
                    <a:stretch>
                      <a:fillRect/>
                    </a:stretch>
                  </pic:blipFill>
                  <pic:spPr>
                    <a:xfrm>
                      <a:off x="0" y="0"/>
                      <a:ext cx="5120640" cy="5870823"/>
                    </a:xfrm>
                    <a:prstGeom prst="rect"/>
                  </pic:spPr>
                </pic:pic>
              </a:graphicData>
            </a:graphic>
          </wp:inline>
        </w:drawing>
      </w:r>
    </w:p>
    <w:p>
      <w:pPr>
        <w:spacing w:before="120" w:after="120" w:line="276" w:lineRule="auto"/>
      </w:pPr>
      <w:r>
        <w:rPr>
          <w:rFonts w:ascii="Times New Roman" w:hAnsi="Times New Roman"/>
          <w:b/>
          <w:sz w:val="20"/>
        </w:rPr>
        <w:t xml:space="preserve">Fig. 1 </w:t>
      </w:r>
      <w:r>
        <w:rPr>
          <w:rFonts w:ascii="Times New Roman" w:hAnsi="Times New Roman"/>
          <w:sz w:val="20"/>
        </w:rPr>
        <w:t>Study area map of the Lower Indus River Basin within Sindh Province, Pakistan, illustrating the Indus River mainstem, major barrages (Guddu, Sukkur, Kotri), Manchar Lake retention basin, digital elevation context, scale bar, and regional context inset map</w:t>
      </w:r>
    </w:p>
    <w:p>
      <w:pPr>
        <w:spacing w:before="200" w:after="80" w:line="276" w:lineRule="auto"/>
        <w:jc w:val="left"/>
      </w:pPr>
      <w:r>
        <w:rPr>
          <w:rFonts w:ascii="Times New Roman" w:hAnsi="Times New Roman"/>
          <w:b/>
          <w:i w:val="0"/>
          <w:sz w:val="23"/>
        </w:rPr>
        <w:t>3.1 Study region: Lower Indus Basin in Sindh Province</w:t>
      </w:r>
    </w:p>
    <w:p>
      <w:pPr>
        <w:spacing w:before="0" w:after="120" w:line="276" w:lineRule="auto"/>
        <w:jc w:val="left"/>
      </w:pPr>
      <w:r>
        <w:rPr>
          <w:rFonts w:ascii="Times New Roman" w:hAnsi="Times New Roman"/>
          <w:b w:val="0"/>
          <w:i w:val="0"/>
          <w:sz w:val="22"/>
        </w:rPr>
        <w:t>The study domain encompasses the Lower Indus River Basin within the administrative boundaries of Sindh Province (140,914 km², 23.7°N - 28.5°N, 66.6°E - 71.1°E; Fig. 1). Physiographically, the Indus alluvial floodplain is characterized by an extremely flat hydraulic gradient with a mean slope &lt; 0.8° (hydraulic gradient ≈ 1:10,000), while the western Kirthar mountain range exhibits steep relief (&gt; 15°).</w:t>
      </w:r>
    </w:p>
    <w:p>
      <w:pPr>
        <w:spacing w:before="0" w:after="120" w:line="276" w:lineRule="auto"/>
        <w:jc w:val="left"/>
      </w:pPr>
      <w:r>
        <w:rPr>
          <w:rFonts w:ascii="Times New Roman" w:hAnsi="Times New Roman"/>
          <w:b w:val="0"/>
          <w:i w:val="0"/>
          <w:sz w:val="22"/>
        </w:rPr>
        <w:t>Five strategic hydrological nodes were selected for spatial and hydraulic profiling:</w:t>
      </w:r>
    </w:p>
    <w:p>
      <w:pPr>
        <w:spacing w:before="0" w:after="120" w:line="276" w:lineRule="auto"/>
        <w:jc w:val="left"/>
      </w:pPr>
      <w:r>
        <w:rPr>
          <w:rFonts w:ascii="Times New Roman" w:hAnsi="Times New Roman"/>
          <w:b w:val="0"/>
          <w:i w:val="0"/>
          <w:sz w:val="22"/>
        </w:rPr>
        <w:t>• Guddu Barrage (28.422°N, 69.711°E, Elev: 75.6 m): Primary entry point of Indus River mainstem into Sindh Province.</w:t>
      </w:r>
    </w:p>
    <w:p>
      <w:pPr>
        <w:spacing w:before="0" w:after="120" w:line="276" w:lineRule="auto"/>
        <w:jc w:val="left"/>
      </w:pPr>
      <w:r>
        <w:rPr>
          <w:rFonts w:ascii="Times New Roman" w:hAnsi="Times New Roman"/>
          <w:b w:val="0"/>
          <w:i w:val="0"/>
          <w:sz w:val="22"/>
        </w:rPr>
        <w:t>• Sukkur Barrage (27.705°N, 68.858°E, Elev: 63.8 m): Feeds seven major irrigation canal commands.</w:t>
      </w:r>
    </w:p>
    <w:p>
      <w:pPr>
        <w:spacing w:before="0" w:after="120" w:line="276" w:lineRule="auto"/>
        <w:jc w:val="left"/>
      </w:pPr>
      <w:r>
        <w:rPr>
          <w:rFonts w:ascii="Times New Roman" w:hAnsi="Times New Roman"/>
          <w:b w:val="0"/>
          <w:i w:val="0"/>
          <w:sz w:val="22"/>
        </w:rPr>
        <w:t>• Kotri Barrage (25.433°N, 68.324°E, Elev: 17.9 m): Lower Indus barrage regulating delta outflows to the Arabian Sea.</w:t>
      </w:r>
    </w:p>
    <w:p>
      <w:pPr>
        <w:spacing w:before="0" w:after="120" w:line="276" w:lineRule="auto"/>
        <w:jc w:val="left"/>
      </w:pPr>
      <w:r>
        <w:rPr>
          <w:rFonts w:ascii="Times New Roman" w:hAnsi="Times New Roman"/>
          <w:b w:val="0"/>
          <w:i w:val="0"/>
          <w:sz w:val="22"/>
        </w:rPr>
        <w:t>• Manchar Lake (26.435°N, 67.665°E, Elev: 32.1 m): Major natural flood attenuation reservoir.</w:t>
      </w:r>
    </w:p>
    <w:p>
      <w:pPr>
        <w:spacing w:before="0" w:after="120" w:line="276" w:lineRule="auto"/>
        <w:jc w:val="left"/>
      </w:pPr>
      <w:r>
        <w:rPr>
          <w:rFonts w:ascii="Times New Roman" w:hAnsi="Times New Roman"/>
          <w:b w:val="0"/>
          <w:i w:val="0"/>
          <w:sz w:val="22"/>
        </w:rPr>
        <w:t>• Indus Delta (24.747°N, 67.923°E, Elev: 11.9 m): Coastal estuarine outflow.</w:t>
      </w:r>
    </w:p>
    <w:p>
      <w:pPr>
        <w:spacing w:before="120" w:after="120" w:line="276" w:lineRule="auto"/>
      </w:pPr>
      <w:r>
        <w:rPr>
          <w:rFonts w:ascii="Times New Roman" w:hAnsi="Times New Roman"/>
          <w:b/>
          <w:sz w:val="20"/>
        </w:rPr>
        <w:t xml:space="preserve">Table 1 </w:t>
      </w:r>
      <w:r>
        <w:rPr>
          <w:rFonts w:ascii="Times New Roman" w:hAnsi="Times New Roman"/>
          <w:sz w:val="20"/>
        </w:rPr>
        <w:t>Geospatial Earth Observation dataset inventory and operational variable roles</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806"/>
        <w:gridCol w:w="1806"/>
        <w:gridCol w:w="1806"/>
        <w:gridCol w:w="1806"/>
        <w:gridCol w:w="1806"/>
      </w:tblGrid>
      <w:tr>
        <w:tc>
          <w:tcPr>
            <w:tcW w:type="dxa" w:w="1806"/>
            <w:tcBorders>
              <w:bottom w:val="single" w:sz="8" w:space="0" w:color="000000"/>
            </w:tcBorders>
            <w:shd w:fill="F2F2F2"/>
          </w:tcPr>
          <w:p>
            <w:pPr>
              <w:spacing w:line="252" w:lineRule="auto" w:after="40" w:before="40"/>
            </w:pPr>
            <w:r>
              <w:rPr>
                <w:rFonts w:ascii="Times New Roman" w:hAnsi="Times New Roman"/>
                <w:b/>
                <w:sz w:val="17"/>
              </w:rPr>
              <w:t>Dataset</w:t>
            </w:r>
          </w:p>
        </w:tc>
        <w:tc>
          <w:tcPr>
            <w:tcW w:type="dxa" w:w="1806"/>
            <w:tcBorders>
              <w:bottom w:val="single" w:sz="8" w:space="0" w:color="000000"/>
            </w:tcBorders>
            <w:shd w:fill="F2F2F2"/>
          </w:tcPr>
          <w:p>
            <w:pPr>
              <w:spacing w:line="252" w:lineRule="auto" w:after="40" w:before="40"/>
            </w:pPr>
            <w:r>
              <w:rPr>
                <w:rFonts w:ascii="Times New Roman" w:hAnsi="Times New Roman"/>
                <w:b/>
                <w:sz w:val="17"/>
              </w:rPr>
              <w:t>GEE Collection ID</w:t>
            </w:r>
          </w:p>
        </w:tc>
        <w:tc>
          <w:tcPr>
            <w:tcW w:type="dxa" w:w="1806"/>
            <w:tcBorders>
              <w:bottom w:val="single" w:sz="8" w:space="0" w:color="000000"/>
            </w:tcBorders>
            <w:shd w:fill="F2F2F2"/>
          </w:tcPr>
          <w:p>
            <w:pPr>
              <w:spacing w:line="252" w:lineRule="auto" w:after="40" w:before="40"/>
            </w:pPr>
            <w:r>
              <w:rPr>
                <w:rFonts w:ascii="Times New Roman" w:hAnsi="Times New Roman"/>
                <w:b/>
                <w:sz w:val="17"/>
              </w:rPr>
              <w:t>Spatial Res.</w:t>
            </w:r>
          </w:p>
        </w:tc>
        <w:tc>
          <w:tcPr>
            <w:tcW w:type="dxa" w:w="1806"/>
            <w:tcBorders>
              <w:bottom w:val="single" w:sz="8" w:space="0" w:color="000000"/>
            </w:tcBorders>
            <w:shd w:fill="F2F2F2"/>
          </w:tcPr>
          <w:p>
            <w:pPr>
              <w:spacing w:line="252" w:lineRule="auto" w:after="40" w:before="40"/>
            </w:pPr>
            <w:r>
              <w:rPr>
                <w:rFonts w:ascii="Times New Roman" w:hAnsi="Times New Roman"/>
                <w:b/>
                <w:sz w:val="17"/>
              </w:rPr>
              <w:t>Extracted Variable</w:t>
            </w:r>
          </w:p>
        </w:tc>
        <w:tc>
          <w:tcPr>
            <w:tcW w:type="dxa" w:w="1806"/>
            <w:tcBorders>
              <w:bottom w:val="single" w:sz="8" w:space="0" w:color="000000"/>
            </w:tcBorders>
            <w:shd w:fill="F2F2F2"/>
          </w:tcPr>
          <w:p>
            <w:pPr>
              <w:spacing w:line="252" w:lineRule="auto" w:after="40" w:before="40"/>
            </w:pPr>
            <w:r>
              <w:rPr>
                <w:rFonts w:ascii="Times New Roman" w:hAnsi="Times New Roman"/>
                <w:b/>
                <w:sz w:val="17"/>
              </w:rPr>
              <w:t>Role in Proposed Architecture</w:t>
            </w:r>
          </w:p>
        </w:tc>
      </w:tr>
      <w:tr>
        <w:tc>
          <w:tcPr>
            <w:tcW w:type="dxa" w:w="1806"/>
          </w:tcPr>
          <w:p>
            <w:pPr>
              <w:spacing w:line="252" w:lineRule="auto" w:after="40" w:before="40"/>
            </w:pPr>
            <w:r>
              <w:rPr>
                <w:rFonts w:ascii="Times New Roman" w:hAnsi="Times New Roman"/>
                <w:sz w:val="17"/>
              </w:rPr>
              <w:t>CHIRPS v2.0</w:t>
            </w:r>
          </w:p>
        </w:tc>
        <w:tc>
          <w:tcPr>
            <w:tcW w:type="dxa" w:w="1806"/>
          </w:tcPr>
          <w:p>
            <w:pPr>
              <w:spacing w:line="252" w:lineRule="auto" w:after="40" w:before="40"/>
            </w:pPr>
            <w:r>
              <w:rPr>
                <w:rFonts w:ascii="Times New Roman" w:hAnsi="Times New Roman"/>
                <w:sz w:val="17"/>
              </w:rPr>
              <w:t>UCSB-CHG/CHIRPS/DAILY</w:t>
            </w:r>
          </w:p>
        </w:tc>
        <w:tc>
          <w:tcPr>
            <w:tcW w:type="dxa" w:w="1806"/>
          </w:tcPr>
          <w:p>
            <w:pPr>
              <w:spacing w:line="252" w:lineRule="auto" w:after="40" w:before="40"/>
            </w:pPr>
            <w:r>
              <w:rPr>
                <w:rFonts w:ascii="Times New Roman" w:hAnsi="Times New Roman"/>
                <w:sz w:val="17"/>
              </w:rPr>
              <w:t>0.05° (~5.5 km)</w:t>
            </w:r>
          </w:p>
        </w:tc>
        <w:tc>
          <w:tcPr>
            <w:tcW w:type="dxa" w:w="1806"/>
          </w:tcPr>
          <w:p>
            <w:pPr>
              <w:spacing w:line="252" w:lineRule="auto" w:after="40" w:before="40"/>
            </w:pPr>
            <w:r>
              <w:rPr>
                <w:rFonts w:ascii="Times New Roman" w:hAnsi="Times New Roman"/>
                <w:sz w:val="17"/>
              </w:rPr>
              <w:t>Monthly Precipitation P(t)</w:t>
            </w:r>
          </w:p>
        </w:tc>
        <w:tc>
          <w:tcPr>
            <w:tcW w:type="dxa" w:w="1806"/>
          </w:tcPr>
          <w:p>
            <w:pPr>
              <w:spacing w:line="252" w:lineRule="auto" w:after="40" w:before="40"/>
            </w:pPr>
            <w:r>
              <w:rPr>
                <w:rFonts w:ascii="Times New Roman" w:hAnsi="Times New Roman"/>
                <w:sz w:val="17"/>
              </w:rPr>
              <w:t>Active input to Q_base baseline and ε_hat ensemble</w:t>
            </w:r>
          </w:p>
        </w:tc>
      </w:tr>
      <w:tr>
        <w:tc>
          <w:tcPr>
            <w:tcW w:type="dxa" w:w="1806"/>
          </w:tcPr>
          <w:p>
            <w:pPr>
              <w:spacing w:line="252" w:lineRule="auto" w:after="40" w:before="40"/>
            </w:pPr>
            <w:r>
              <w:rPr>
                <w:rFonts w:ascii="Times New Roman" w:hAnsi="Times New Roman"/>
                <w:sz w:val="17"/>
              </w:rPr>
              <w:t>ERA5-Land</w:t>
            </w:r>
          </w:p>
        </w:tc>
        <w:tc>
          <w:tcPr>
            <w:tcW w:type="dxa" w:w="1806"/>
          </w:tcPr>
          <w:p>
            <w:pPr>
              <w:spacing w:line="252" w:lineRule="auto" w:after="40" w:before="40"/>
            </w:pPr>
            <w:r>
              <w:rPr>
                <w:rFonts w:ascii="Times New Roman" w:hAnsi="Times New Roman"/>
                <w:sz w:val="17"/>
              </w:rPr>
              <w:t>ECMWF/ERA5_LAND/DAILY_AGGR</w:t>
            </w:r>
          </w:p>
        </w:tc>
        <w:tc>
          <w:tcPr>
            <w:tcW w:type="dxa" w:w="1806"/>
          </w:tcPr>
          <w:p>
            <w:pPr>
              <w:spacing w:line="252" w:lineRule="auto" w:after="40" w:before="40"/>
            </w:pPr>
            <w:r>
              <w:rPr>
                <w:rFonts w:ascii="Times New Roman" w:hAnsi="Times New Roman"/>
                <w:sz w:val="17"/>
              </w:rPr>
              <w:t>0.1° (~10 km)</w:t>
            </w:r>
          </w:p>
        </w:tc>
        <w:tc>
          <w:tcPr>
            <w:tcW w:type="dxa" w:w="1806"/>
          </w:tcPr>
          <w:p>
            <w:pPr>
              <w:spacing w:line="252" w:lineRule="auto" w:after="40" w:before="40"/>
            </w:pPr>
            <w:r>
              <w:rPr>
                <w:rFonts w:ascii="Times New Roman" w:hAnsi="Times New Roman"/>
                <w:sz w:val="17"/>
              </w:rPr>
              <w:t>2m Temp, Evaporation</w:t>
            </w:r>
          </w:p>
        </w:tc>
        <w:tc>
          <w:tcPr>
            <w:tcW w:type="dxa" w:w="1806"/>
          </w:tcPr>
          <w:p>
            <w:pPr>
              <w:spacing w:line="252" w:lineRule="auto" w:after="40" w:before="40"/>
            </w:pPr>
            <w:r>
              <w:rPr>
                <w:rFonts w:ascii="Times New Roman" w:hAnsi="Times New Roman"/>
                <w:sz w:val="17"/>
              </w:rPr>
              <w:t>Moisture deficit D = PET - P in ε_hat ensemble</w:t>
            </w:r>
          </w:p>
        </w:tc>
      </w:tr>
      <w:tr>
        <w:tc>
          <w:tcPr>
            <w:tcW w:type="dxa" w:w="1806"/>
          </w:tcPr>
          <w:p>
            <w:pPr>
              <w:spacing w:line="252" w:lineRule="auto" w:after="40" w:before="40"/>
            </w:pPr>
            <w:r>
              <w:rPr>
                <w:rFonts w:ascii="Times New Roman" w:hAnsi="Times New Roman"/>
                <w:sz w:val="17"/>
              </w:rPr>
              <w:t>NASA SMAP L4</w:t>
            </w:r>
          </w:p>
        </w:tc>
        <w:tc>
          <w:tcPr>
            <w:tcW w:type="dxa" w:w="1806"/>
          </w:tcPr>
          <w:p>
            <w:pPr>
              <w:spacing w:line="252" w:lineRule="auto" w:after="40" w:before="40"/>
            </w:pPr>
            <w:r>
              <w:rPr>
                <w:rFonts w:ascii="Times New Roman" w:hAnsi="Times New Roman"/>
                <w:sz w:val="17"/>
              </w:rPr>
              <w:t>NASA/SMAP/SPL4SMGP/008</w:t>
            </w:r>
          </w:p>
        </w:tc>
        <w:tc>
          <w:tcPr>
            <w:tcW w:type="dxa" w:w="1806"/>
          </w:tcPr>
          <w:p>
            <w:pPr>
              <w:spacing w:line="252" w:lineRule="auto" w:after="40" w:before="40"/>
            </w:pPr>
            <w:r>
              <w:rPr>
                <w:rFonts w:ascii="Times New Roman" w:hAnsi="Times New Roman"/>
                <w:sz w:val="17"/>
              </w:rPr>
              <w:t>9 km</w:t>
            </w:r>
          </w:p>
        </w:tc>
        <w:tc>
          <w:tcPr>
            <w:tcW w:type="dxa" w:w="1806"/>
          </w:tcPr>
          <w:p>
            <w:pPr>
              <w:spacing w:line="252" w:lineRule="auto" w:after="40" w:before="40"/>
            </w:pPr>
            <w:r>
              <w:rPr>
                <w:rFonts w:ascii="Times New Roman" w:hAnsi="Times New Roman"/>
                <w:sz w:val="17"/>
              </w:rPr>
              <w:t>Root-Zone Soil Moisture</w:t>
            </w:r>
          </w:p>
        </w:tc>
        <w:tc>
          <w:tcPr>
            <w:tcW w:type="dxa" w:w="1806"/>
          </w:tcPr>
          <w:p>
            <w:pPr>
              <w:spacing w:line="252" w:lineRule="auto" w:after="40" w:before="40"/>
            </w:pPr>
            <w:r>
              <w:rPr>
                <w:rFonts w:ascii="Times New Roman" w:hAnsi="Times New Roman"/>
                <w:sz w:val="17"/>
              </w:rPr>
              <w:t>Regional catchment saturation state diagnosis</w:t>
            </w:r>
          </w:p>
        </w:tc>
      </w:tr>
      <w:tr>
        <w:tc>
          <w:tcPr>
            <w:tcW w:type="dxa" w:w="1806"/>
          </w:tcPr>
          <w:p>
            <w:pPr>
              <w:spacing w:line="252" w:lineRule="auto" w:after="40" w:before="40"/>
            </w:pPr>
            <w:r>
              <w:rPr>
                <w:rFonts w:ascii="Times New Roman" w:hAnsi="Times New Roman"/>
                <w:sz w:val="17"/>
              </w:rPr>
              <w:t>SRTM DEM</w:t>
            </w:r>
          </w:p>
        </w:tc>
        <w:tc>
          <w:tcPr>
            <w:tcW w:type="dxa" w:w="1806"/>
          </w:tcPr>
          <w:p>
            <w:pPr>
              <w:spacing w:line="252" w:lineRule="auto" w:after="40" w:before="40"/>
            </w:pPr>
            <w:r>
              <w:rPr>
                <w:rFonts w:ascii="Times New Roman" w:hAnsi="Times New Roman"/>
                <w:sz w:val="17"/>
              </w:rPr>
              <w:t>USGS/SRTMGL1_003</w:t>
            </w:r>
          </w:p>
        </w:tc>
        <w:tc>
          <w:tcPr>
            <w:tcW w:type="dxa" w:w="1806"/>
          </w:tcPr>
          <w:p>
            <w:pPr>
              <w:spacing w:line="252" w:lineRule="auto" w:after="40" w:before="40"/>
            </w:pPr>
            <w:r>
              <w:rPr>
                <w:rFonts w:ascii="Times New Roman" w:hAnsi="Times New Roman"/>
                <w:sz w:val="17"/>
              </w:rPr>
              <w:t>30 m</w:t>
            </w:r>
          </w:p>
        </w:tc>
        <w:tc>
          <w:tcPr>
            <w:tcW w:type="dxa" w:w="1806"/>
          </w:tcPr>
          <w:p>
            <w:pPr>
              <w:spacing w:line="252" w:lineRule="auto" w:after="40" w:before="40"/>
            </w:pPr>
            <w:r>
              <w:rPr>
                <w:rFonts w:ascii="Times New Roman" w:hAnsi="Times New Roman"/>
                <w:sz w:val="17"/>
              </w:rPr>
              <w:t>Elevation, Slope</w:t>
            </w:r>
          </w:p>
        </w:tc>
        <w:tc>
          <w:tcPr>
            <w:tcW w:type="dxa" w:w="1806"/>
          </w:tcPr>
          <w:p>
            <w:pPr>
              <w:spacing w:line="252" w:lineRule="auto" w:after="40" w:before="40"/>
            </w:pPr>
            <w:r>
              <w:rPr>
                <w:rFonts w:ascii="Times New Roman" w:hAnsi="Times New Roman"/>
                <w:sz w:val="17"/>
              </w:rPr>
              <w:t>Floodplain delineation and node profiling</w:t>
            </w:r>
          </w:p>
        </w:tc>
      </w:tr>
      <w:tr>
        <w:tc>
          <w:tcPr>
            <w:tcW w:type="dxa" w:w="1806"/>
          </w:tcPr>
          <w:p>
            <w:pPr>
              <w:spacing w:line="252" w:lineRule="auto" w:after="40" w:before="40"/>
            </w:pPr>
            <w:r>
              <w:rPr>
                <w:rFonts w:ascii="Times New Roman" w:hAnsi="Times New Roman"/>
                <w:sz w:val="17"/>
              </w:rPr>
              <w:t>GRACE Mascons</w:t>
            </w:r>
          </w:p>
        </w:tc>
        <w:tc>
          <w:tcPr>
            <w:tcW w:type="dxa" w:w="1806"/>
          </w:tcPr>
          <w:p>
            <w:pPr>
              <w:spacing w:line="252" w:lineRule="auto" w:after="40" w:before="40"/>
            </w:pPr>
            <w:r>
              <w:rPr>
                <w:rFonts w:ascii="Times New Roman" w:hAnsi="Times New Roman"/>
                <w:sz w:val="17"/>
              </w:rPr>
              <w:t>NASA/GRACE/MASS_GRIDS_V04/LAND</w:t>
            </w:r>
          </w:p>
        </w:tc>
        <w:tc>
          <w:tcPr>
            <w:tcW w:type="dxa" w:w="1806"/>
          </w:tcPr>
          <w:p>
            <w:pPr>
              <w:spacing w:line="252" w:lineRule="auto" w:after="40" w:before="40"/>
            </w:pPr>
            <w:r>
              <w:rPr>
                <w:rFonts w:ascii="Times New Roman" w:hAnsi="Times New Roman"/>
                <w:sz w:val="17"/>
              </w:rPr>
              <w:t>0.5° (~50 km)</w:t>
            </w:r>
          </w:p>
        </w:tc>
        <w:tc>
          <w:tcPr>
            <w:tcW w:type="dxa" w:w="1806"/>
          </w:tcPr>
          <w:p>
            <w:pPr>
              <w:spacing w:line="252" w:lineRule="auto" w:after="40" w:before="40"/>
            </w:pPr>
            <w:r>
              <w:rPr>
                <w:rFonts w:ascii="Times New Roman" w:hAnsi="Times New Roman"/>
                <w:sz w:val="17"/>
              </w:rPr>
              <w:t>Terrestrial Water Storage (TWSA)</w:t>
            </w:r>
          </w:p>
        </w:tc>
        <w:tc>
          <w:tcPr>
            <w:tcW w:type="dxa" w:w="1806"/>
          </w:tcPr>
          <w:p>
            <w:pPr>
              <w:spacing w:line="252" w:lineRule="auto" w:after="40" w:before="40"/>
            </w:pPr>
            <w:r>
              <w:rPr>
                <w:rFonts w:ascii="Times New Roman" w:hAnsi="Times New Roman"/>
                <w:sz w:val="17"/>
              </w:rPr>
              <w:t>Regional macro-scale storage boundary state diagnosis</w:t>
            </w:r>
          </w:p>
        </w:tc>
      </w:tr>
      <w:tr>
        <w:tc>
          <w:tcPr>
            <w:tcW w:type="dxa" w:w="1806"/>
          </w:tcPr>
          <w:p>
            <w:pPr>
              <w:spacing w:line="252" w:lineRule="auto" w:after="40" w:before="40"/>
            </w:pPr>
            <w:r>
              <w:rPr>
                <w:rFonts w:ascii="Times New Roman" w:hAnsi="Times New Roman"/>
                <w:sz w:val="17"/>
              </w:rPr>
              <w:t>Barrage Telemetry</w:t>
            </w:r>
          </w:p>
        </w:tc>
        <w:tc>
          <w:tcPr>
            <w:tcW w:type="dxa" w:w="1806"/>
          </w:tcPr>
          <w:p>
            <w:pPr>
              <w:spacing w:line="252" w:lineRule="auto" w:after="40" w:before="40"/>
            </w:pPr>
            <w:r>
              <w:rPr>
                <w:rFonts w:ascii="Times New Roman" w:hAnsi="Times New Roman"/>
                <w:sz w:val="17"/>
              </w:rPr>
              <w:t>Sindh Irrigation Dept / FFC</w:t>
            </w:r>
          </w:p>
        </w:tc>
        <w:tc>
          <w:tcPr>
            <w:tcW w:type="dxa" w:w="1806"/>
          </w:tcPr>
          <w:p>
            <w:pPr>
              <w:spacing w:line="252" w:lineRule="auto" w:after="40" w:before="40"/>
            </w:pPr>
            <w:r>
              <w:rPr>
                <w:rFonts w:ascii="Times New Roman" w:hAnsi="Times New Roman"/>
                <w:sz w:val="17"/>
              </w:rPr>
              <w:t>Gauged Nodes</w:t>
            </w:r>
          </w:p>
        </w:tc>
        <w:tc>
          <w:tcPr>
            <w:tcW w:type="dxa" w:w="1806"/>
          </w:tcPr>
          <w:p>
            <w:pPr>
              <w:spacing w:line="252" w:lineRule="auto" w:after="40" w:before="40"/>
            </w:pPr>
            <w:r>
              <w:rPr>
                <w:rFonts w:ascii="Times New Roman" w:hAnsi="Times New Roman"/>
                <w:sz w:val="17"/>
              </w:rPr>
              <w:t>Upstream Inflow Q_inflow(t)</w:t>
            </w:r>
          </w:p>
        </w:tc>
        <w:tc>
          <w:tcPr>
            <w:tcW w:type="dxa" w:w="1806"/>
          </w:tcPr>
          <w:p>
            <w:pPr>
              <w:spacing w:line="252" w:lineRule="auto" w:after="40" w:before="40"/>
            </w:pPr>
            <w:r>
              <w:rPr>
                <w:rFonts w:ascii="Times New Roman" w:hAnsi="Times New Roman"/>
                <w:sz w:val="17"/>
              </w:rPr>
              <w:t>Boundary condition input to Q_base physical baseline</w:t>
            </w:r>
          </w:p>
        </w:tc>
      </w:tr>
    </w:tbl>
    <w:p>
      <w:pPr>
        <w:spacing w:before="0" w:after="120" w:line="276" w:lineRule="auto"/>
        <w:jc w:val="left"/>
      </w:pPr>
    </w:p>
    <w:p>
      <w:pPr>
        <w:spacing w:before="200" w:after="80" w:line="276" w:lineRule="auto"/>
        <w:jc w:val="left"/>
      </w:pPr>
      <w:r>
        <w:rPr>
          <w:rFonts w:ascii="Times New Roman" w:hAnsi="Times New Roman"/>
          <w:b/>
          <w:i w:val="0"/>
          <w:sz w:val="23"/>
        </w:rPr>
        <w:t>3.2 Observed catchment runoff variable and boundary conditions</w:t>
      </w:r>
    </w:p>
    <w:p>
      <w:pPr>
        <w:spacing w:before="0" w:after="120" w:line="276" w:lineRule="auto"/>
        <w:jc w:val="left"/>
      </w:pPr>
      <w:r>
        <w:rPr>
          <w:rFonts w:ascii="Times New Roman" w:hAnsi="Times New Roman"/>
          <w:b w:val="0"/>
          <w:i w:val="0"/>
          <w:sz w:val="22"/>
        </w:rPr>
        <w:t>Observed streamflow discharge (Q_m³/s) recorded by the Sindh Irrigation Department and Federal Flood Commission (FFC) barrage telemetry was converted to monthly catchment runoff depth (Q_depth, mm/month) via:</w:t>
      </w:r>
    </w:p>
    <w:p>
      <w:pPr>
        <w:spacing w:before="0" w:after="120" w:line="276" w:lineRule="auto"/>
        <w:jc w:val="center"/>
      </w:pPr>
      <w:r>
        <w:rPr>
          <w:rFonts w:ascii="Times New Roman" w:hAnsi="Times New Roman"/>
          <w:b w:val="0"/>
          <w:i/>
          <w:sz w:val="22"/>
        </w:rPr>
        <w:t>Q_depth = (Q_m³/s · Δt) / (A_basin · 10³),                                         (1)</w:t>
      </w:r>
    </w:p>
    <w:p>
      <w:pPr>
        <w:spacing w:before="0" w:after="120" w:line="276" w:lineRule="auto"/>
        <w:jc w:val="left"/>
      </w:pPr>
      <w:r>
        <w:rPr>
          <w:rFonts w:ascii="Times New Roman" w:hAnsi="Times New Roman"/>
          <w:b w:val="0"/>
          <w:i w:val="0"/>
          <w:sz w:val="22"/>
        </w:rPr>
        <w:t>where A_basin = 140,914 km², Δt is the monthly duration in seconds, and 10³ represents the volumetric conversion factor (1 mm × 1 km² = 1,000 m³). To account for transboundary river flow entering Sindh, mainstem inflow recorded at Guddu Barrage is explicitly ingested as an upstream boundary condition variable (Q_inflow, mm/month).</w:t>
      </w:r>
    </w:p>
    <w:p>
      <w:pPr>
        <w:spacing w:before="280" w:after="120" w:line="276" w:lineRule="auto"/>
        <w:jc w:val="left"/>
      </w:pPr>
      <w:r>
        <w:rPr>
          <w:rFonts w:ascii="Times New Roman" w:hAnsi="Times New Roman"/>
          <w:b/>
          <w:i w:val="0"/>
          <w:sz w:val="26"/>
        </w:rPr>
        <w:t>4 Methodology</w:t>
      </w:r>
    </w:p>
    <w:p>
      <w:pPr>
        <w:spacing w:before="160" w:after="80"/>
        <w:jc w:val="center"/>
      </w:pPr>
      <w:r>
        <w:drawing>
          <wp:inline xmlns:a="http://schemas.openxmlformats.org/drawingml/2006/main" xmlns:pic="http://schemas.openxmlformats.org/drawingml/2006/picture">
            <wp:extent cx="5852160" cy="3131989"/>
            <wp:docPr id="2" name="Picture 2"/>
            <wp:cNvGraphicFramePr>
              <a:graphicFrameLocks noChangeAspect="1"/>
            </wp:cNvGraphicFramePr>
            <a:graphic>
              <a:graphicData uri="http://schemas.openxmlformats.org/drawingml/2006/picture">
                <pic:pic>
                  <pic:nvPicPr>
                    <pic:cNvPr id="0" name="Figure_Methodology_Hierarchical_Framework.png"/>
                    <pic:cNvPicPr/>
                  </pic:nvPicPr>
                  <pic:blipFill>
                    <a:blip r:embed="rId10"/>
                    <a:stretch>
                      <a:fillRect/>
                    </a:stretch>
                  </pic:blipFill>
                  <pic:spPr>
                    <a:xfrm>
                      <a:off x="0" y="0"/>
                      <a:ext cx="5852160" cy="3131989"/>
                    </a:xfrm>
                    <a:prstGeom prst="rect"/>
                  </pic:spPr>
                </pic:pic>
              </a:graphicData>
            </a:graphic>
          </wp:inline>
        </w:drawing>
      </w:r>
    </w:p>
    <w:p>
      <w:pPr>
        <w:spacing w:before="120" w:after="120" w:line="276" w:lineRule="auto"/>
      </w:pPr>
      <w:r>
        <w:rPr>
          <w:rFonts w:ascii="Times New Roman" w:hAnsi="Times New Roman"/>
          <w:b/>
          <w:sz w:val="20"/>
        </w:rPr>
        <w:t xml:space="preserve">Fig. 2 </w:t>
      </w:r>
      <w:r>
        <w:rPr>
          <w:rFonts w:ascii="Times New Roman" w:hAnsi="Times New Roman"/>
          <w:sz w:val="20"/>
        </w:rPr>
        <w:t>Hierarchical methodology and system architecture flowchart for the Lower Indus Basin physics-anchored Earth observation framework</w:t>
      </w:r>
    </w:p>
    <w:p>
      <w:pPr>
        <w:spacing w:before="200" w:after="80" w:line="276" w:lineRule="auto"/>
        <w:jc w:val="left"/>
      </w:pPr>
      <w:r>
        <w:rPr>
          <w:rFonts w:ascii="Times New Roman" w:hAnsi="Times New Roman"/>
          <w:b/>
          <w:i w:val="0"/>
          <w:sz w:val="23"/>
        </w:rPr>
        <w:t>4.1 Hierarchical system framework</w:t>
      </w:r>
    </w:p>
    <w:p>
      <w:pPr>
        <w:spacing w:before="0" w:after="120" w:line="276" w:lineRule="auto"/>
        <w:jc w:val="left"/>
      </w:pPr>
      <w:r>
        <w:rPr>
          <w:rFonts w:ascii="Times New Roman" w:hAnsi="Times New Roman"/>
          <w:b w:val="0"/>
          <w:i w:val="0"/>
          <w:sz w:val="22"/>
        </w:rPr>
        <w:t>As illustrated in Fig. 2, the modeling framework is structured into five sequential tiers:</w:t>
      </w:r>
    </w:p>
    <w:p>
      <w:pPr>
        <w:spacing w:before="0" w:after="120" w:line="276" w:lineRule="auto"/>
        <w:jc w:val="left"/>
      </w:pPr>
      <w:r>
        <w:rPr>
          <w:rFonts w:ascii="Times New Roman" w:hAnsi="Times New Roman"/>
          <w:b w:val="0"/>
          <w:i w:val="0"/>
          <w:sz w:val="22"/>
        </w:rPr>
        <w:t>1. Tier 1 (Data ingestion): Cloud-native ingestion of multi-sensor Earth observation grids via GEE and barrage telemetry (Table 1).</w:t>
      </w:r>
    </w:p>
    <w:p>
      <w:pPr>
        <w:spacing w:before="0" w:after="120" w:line="276" w:lineRule="auto"/>
        <w:jc w:val="left"/>
      </w:pPr>
      <w:r>
        <w:rPr>
          <w:rFonts w:ascii="Times New Roman" w:hAnsi="Times New Roman"/>
          <w:b w:val="0"/>
          <w:i w:val="0"/>
          <w:sz w:val="22"/>
        </w:rPr>
        <w:t>2. Tier 2 (Harmonization and feature engineering): Spatial boundary clipping, monthly aggregation, Antecedent Precipitation Index (API) derivation, and atmospheric moisture deficit modeling.</w:t>
      </w:r>
    </w:p>
    <w:p>
      <w:pPr>
        <w:spacing w:before="0" w:after="120" w:line="276" w:lineRule="auto"/>
        <w:jc w:val="left"/>
      </w:pPr>
      <w:r>
        <w:rPr>
          <w:rFonts w:ascii="Times New Roman" w:hAnsi="Times New Roman"/>
          <w:b w:val="0"/>
          <w:i w:val="0"/>
          <w:sz w:val="22"/>
        </w:rPr>
        <w:t>3. Tier 3 (Physics-anchored core): Dual-stage modeling coupling a non-negative, water-balance-informed baseline with non-linear residual tree ensembles.</w:t>
      </w:r>
    </w:p>
    <w:p>
      <w:pPr>
        <w:spacing w:before="0" w:after="120" w:line="276" w:lineRule="auto"/>
        <w:jc w:val="left"/>
      </w:pPr>
      <w:r>
        <w:rPr>
          <w:rFonts w:ascii="Times New Roman" w:hAnsi="Times New Roman"/>
          <w:b w:val="0"/>
          <w:i w:val="0"/>
          <w:sz w:val="22"/>
        </w:rPr>
        <w:t>4. Tier 4 (Multi-criteria evaluation): Performance benchmarking across KGE, NSE, RMSE, and peak flow bias (FHV).</w:t>
      </w:r>
    </w:p>
    <w:p>
      <w:pPr>
        <w:spacing w:before="0" w:after="120" w:line="276" w:lineRule="auto"/>
        <w:jc w:val="left"/>
      </w:pPr>
      <w:r>
        <w:rPr>
          <w:rFonts w:ascii="Times New Roman" w:hAnsi="Times New Roman"/>
          <w:b w:val="0"/>
          <w:i w:val="0"/>
          <w:sz w:val="22"/>
        </w:rPr>
        <w:t>5. Tier 5 (Decision support applications): Monthly flood volume analysis and inflow estimation for Guddu, Sukkur, Kotri, and Manchar Lake.</w:t>
      </w:r>
    </w:p>
    <w:p>
      <w:pPr>
        <w:spacing w:before="200" w:after="80" w:line="276" w:lineRule="auto"/>
        <w:jc w:val="left"/>
      </w:pPr>
      <w:r>
        <w:rPr>
          <w:rFonts w:ascii="Times New Roman" w:hAnsi="Times New Roman"/>
          <w:b/>
          <w:i w:val="0"/>
          <w:sz w:val="23"/>
        </w:rPr>
        <w:t>4.2 Mathematical water balance formulation</w:t>
      </w:r>
    </w:p>
    <w:p>
      <w:pPr>
        <w:spacing w:before="0" w:after="120" w:line="276" w:lineRule="auto"/>
        <w:jc w:val="left"/>
      </w:pPr>
      <w:r>
        <w:rPr>
          <w:rFonts w:ascii="Times New Roman" w:hAnsi="Times New Roman"/>
          <w:b w:val="0"/>
          <w:i w:val="0"/>
          <w:sz w:val="22"/>
        </w:rPr>
        <w:t>The regional catchment water balance in the managed Lower Indus is governed by the continuous differential equation:</w:t>
      </w:r>
    </w:p>
    <w:p>
      <w:pPr>
        <w:spacing w:before="0" w:after="120" w:line="276" w:lineRule="auto"/>
        <w:jc w:val="center"/>
      </w:pPr>
      <w:r>
        <w:rPr>
          <w:rFonts w:ascii="Times New Roman" w:hAnsi="Times New Roman"/>
          <w:b w:val="0"/>
          <w:i/>
          <w:sz w:val="22"/>
        </w:rPr>
        <w:t>dS(t)/dt = P(t) + Q_inflow(t) - ET(t) - Q(t) - G(t) - D(t),                     (2)</w:t>
      </w:r>
    </w:p>
    <w:p>
      <w:pPr>
        <w:spacing w:before="0" w:after="120" w:line="276" w:lineRule="auto"/>
        <w:jc w:val="left"/>
      </w:pPr>
      <w:r>
        <w:rPr>
          <w:rFonts w:ascii="Times New Roman" w:hAnsi="Times New Roman"/>
          <w:b w:val="0"/>
          <w:i w:val="0"/>
          <w:sz w:val="22"/>
        </w:rPr>
        <w:t>where P(t) is regional precipitation, Q_inflow(t) is upstream mainstem boundary inflow at Guddu, ET(t) is evapotranspiration, Q(t) is total catchment outflow, G(t) is net groundwater exchange, and D(t) represents canal irrigation diversions. Antecedent soil moisture memory is modeled using the Antecedent Precipitation Index (API_t):</w:t>
      </w:r>
    </w:p>
    <w:p>
      <w:pPr>
        <w:spacing w:before="0" w:after="120" w:line="276" w:lineRule="auto"/>
        <w:jc w:val="center"/>
      </w:pPr>
      <w:r>
        <w:rPr>
          <w:rFonts w:ascii="Times New Roman" w:hAnsi="Times New Roman"/>
          <w:b w:val="0"/>
          <w:i/>
          <w:sz w:val="22"/>
        </w:rPr>
        <w:t>API_t = ∑_{k=0}^{K} γ^k P_{t-k} = P_t + γ P_{t-1} + γ² P_{t-2},                    (3)</w:t>
      </w:r>
    </w:p>
    <w:p>
      <w:pPr>
        <w:spacing w:before="0" w:after="120" w:line="276" w:lineRule="auto"/>
        <w:jc w:val="left"/>
      </w:pPr>
      <w:r>
        <w:rPr>
          <w:rFonts w:ascii="Times New Roman" w:hAnsi="Times New Roman"/>
          <w:b w:val="0"/>
          <w:i w:val="0"/>
          <w:sz w:val="22"/>
        </w:rPr>
        <w:t>where the memory decay factor is set to γ = 0.60 based on grid-search calibration on the 2020–2021 training record.</w:t>
      </w:r>
    </w:p>
    <w:p>
      <w:pPr>
        <w:spacing w:before="200" w:after="80" w:line="276" w:lineRule="auto"/>
        <w:jc w:val="left"/>
      </w:pPr>
      <w:r>
        <w:rPr>
          <w:rFonts w:ascii="Times New Roman" w:hAnsi="Times New Roman"/>
          <w:b/>
          <w:i w:val="0"/>
          <w:sz w:val="23"/>
        </w:rPr>
        <w:t>4.3 Physics-anchored hybrid architecture (PG-MCH)</w:t>
      </w:r>
    </w:p>
    <w:p>
      <w:pPr>
        <w:spacing w:before="0" w:after="120" w:line="276" w:lineRule="auto"/>
        <w:jc w:val="left"/>
      </w:pPr>
      <w:r>
        <w:rPr>
          <w:rFonts w:ascii="Times New Roman" w:hAnsi="Times New Roman"/>
          <w:b w:val="0"/>
          <w:i w:val="0"/>
          <w:sz w:val="22"/>
        </w:rPr>
        <w:t>The framework operates in two coupled stages:</w:t>
      </w:r>
    </w:p>
    <w:p>
      <w:pPr>
        <w:spacing w:before="0" w:after="120" w:line="276" w:lineRule="auto"/>
        <w:jc w:val="left"/>
      </w:pPr>
      <w:r>
        <w:rPr>
          <w:rFonts w:ascii="Times New Roman" w:hAnsi="Times New Roman"/>
          <w:b w:val="0"/>
          <w:i w:val="0"/>
          <w:sz w:val="22"/>
        </w:rPr>
        <w:t>1. Physics-anchored runoff baseline (Q_base):</w:t>
      </w:r>
    </w:p>
    <w:p>
      <w:pPr>
        <w:spacing w:before="0" w:after="120" w:line="276" w:lineRule="auto"/>
        <w:jc w:val="center"/>
      </w:pPr>
      <w:r>
        <w:rPr>
          <w:rFonts w:ascii="Times New Roman" w:hAnsi="Times New Roman"/>
          <w:b w:val="0"/>
          <w:i/>
          <w:sz w:val="22"/>
        </w:rPr>
        <w:t>Q_base(t) = β_0 + β_1 P(t) + β_2 API(t) + β_3 Q_inflow(t),                     (4)</w:t>
      </w:r>
    </w:p>
    <w:p>
      <w:pPr>
        <w:spacing w:before="0" w:after="120" w:line="276" w:lineRule="auto"/>
        <w:jc w:val="left"/>
      </w:pPr>
      <w:r>
        <w:rPr>
          <w:rFonts w:ascii="Times New Roman" w:hAnsi="Times New Roman"/>
          <w:b w:val="0"/>
          <w:i w:val="0"/>
          <w:sz w:val="22"/>
        </w:rPr>
        <w:t>where parameters β = [β_1, β_2, β_3]^T are estimated using Non-Negative Least Squares (NNLS) with L2 regularization penalty (λ = 2.0) on the 2020–2021 training set to enforce physical monotonicity (β_1 ≥ 0, β_2 ≥ 0, β_3 ≥ 0). This guarantees that Q_base scales proportionally with unprecedented rainfall and upstream inflow without gradient collapse.</w:t>
      </w:r>
    </w:p>
    <w:p>
      <w:pPr>
        <w:spacing w:before="0" w:after="120" w:line="276" w:lineRule="auto"/>
        <w:jc w:val="left"/>
      </w:pPr>
      <w:r>
        <w:rPr>
          <w:rFonts w:ascii="Times New Roman" w:hAnsi="Times New Roman"/>
          <w:b w:val="0"/>
          <w:i w:val="0"/>
          <w:sz w:val="22"/>
        </w:rPr>
        <w:t>2. Non-linear residual tree ensemble (ε_hat):</w:t>
      </w:r>
    </w:p>
    <w:p>
      <w:pPr>
        <w:spacing w:before="0" w:after="120" w:line="276" w:lineRule="auto"/>
        <w:jc w:val="center"/>
      </w:pPr>
      <w:r>
        <w:rPr>
          <w:rFonts w:ascii="Times New Roman" w:hAnsi="Times New Roman"/>
          <w:b w:val="0"/>
          <w:i/>
          <w:sz w:val="22"/>
        </w:rPr>
        <w:t>ε(t) = Q_obs(t) - Q_base(t),                                                    (5)</w:t>
      </w:r>
    </w:p>
    <w:p>
      <w:pPr>
        <w:spacing w:before="0" w:after="120" w:line="276" w:lineRule="auto"/>
        <w:jc w:val="center"/>
      </w:pPr>
      <w:r>
        <w:rPr>
          <w:rFonts w:ascii="Times New Roman" w:hAnsi="Times New Roman"/>
          <w:b w:val="0"/>
          <w:i/>
          <w:sz w:val="22"/>
        </w:rPr>
        <w:t>ε_hat(t) = F_trees(P(t), Q_inflow(t), ET(t), T_2m(t), D_deficit(t), API(t), Month).  (6)</w:t>
      </w:r>
    </w:p>
    <w:p>
      <w:pPr>
        <w:spacing w:before="0" w:after="120" w:line="276" w:lineRule="auto"/>
        <w:jc w:val="left"/>
      </w:pPr>
      <w:r>
        <w:rPr>
          <w:rFonts w:ascii="Times New Roman" w:hAnsi="Times New Roman"/>
          <w:b w:val="0"/>
          <w:i w:val="0"/>
          <w:sz w:val="22"/>
        </w:rPr>
        <w:t>3. Composite output and dual mass bounds:</w:t>
      </w:r>
    </w:p>
    <w:p>
      <w:pPr>
        <w:spacing w:before="0" w:after="120" w:line="276" w:lineRule="auto"/>
        <w:jc w:val="left"/>
      </w:pPr>
      <w:r>
        <w:rPr>
          <w:rFonts w:ascii="Times New Roman" w:hAnsi="Times New Roman"/>
          <w:b w:val="0"/>
          <w:i w:val="0"/>
          <w:sz w:val="22"/>
        </w:rPr>
        <w:t>To guarantee strict conservation of mass and eliminate unphysical runoff generation during non-stationary climate extremes, the composite output is bounded by both zero non-negativity and total available terrestrial water volume (P(t) + Q_inflow(t) + API(t)):</w:t>
      </w:r>
    </w:p>
    <w:p>
      <w:pPr>
        <w:spacing w:before="0" w:after="120" w:line="276" w:lineRule="auto"/>
        <w:jc w:val="center"/>
      </w:pPr>
      <w:r>
        <w:rPr>
          <w:rFonts w:ascii="Times New Roman" w:hAnsi="Times New Roman"/>
          <w:b w:val="0"/>
          <w:i/>
          <w:sz w:val="22"/>
        </w:rPr>
        <w:t>Q_hat(t) = min(P(t) + Q_inflow(t) + API(t), max(0, Q_base(t) + ε_hat(t))).       (7)</w:t>
      </w:r>
    </w:p>
    <w:p>
      <w:pPr>
        <w:spacing w:before="160" w:after="80" w:line="276" w:lineRule="auto"/>
        <w:jc w:val="left"/>
      </w:pPr>
      <w:r>
        <w:rPr>
          <w:rFonts w:ascii="Times New Roman" w:hAnsi="Times New Roman"/>
          <w:b/>
          <w:i w:val="0"/>
          <w:sz w:val="19"/>
        </w:rPr>
        <w:t>Algorithm 1: Physics-anchored hybrid training and dual mass-bounded inference (PG-MCH)</w:t>
      </w:r>
    </w:p>
    <w:p>
      <w:pPr>
        <w:spacing w:line="252" w:lineRule="auto" w:after="160"/>
        <w:ind w:left="360"/>
      </w:pPr>
      <w:r>
        <w:rPr>
          <w:rFonts w:ascii="Courier New" w:hAnsi="Courier New"/>
          <w:sz w:val="17"/>
        </w:rPr>
        <w:t>Require: Calibration record {X_train, y_train}, test feature matrix X_test, L2 penalty λ = 2.0, memory decay γ = 0.60</w:t>
        <w:br/>
        <w:t>Ensure: Calibrated baseline weights β*, residual tree ensemble F_trees, and dual mass-bounded volumetric predictions Q_hat_test</w:t>
        <w:br/>
        <w:t>1: Compute Antecedent Precipitation Index: API_t ← P_t + γ P_{t-1} + γ² P_{t-2}</w:t>
        <w:br/>
        <w:t>2: Estimate non-negative L2 baseline weights on X_train:</w:t>
        <w:br/>
        <w:t>3:   β* ← argmin_{β ≥ 0} ||y_train - X_base β||₂² + λ ||β||₂²</w:t>
        <w:br/>
        <w:t>4: Compute training baseline streamflow: Q_base,train ← X_base β*</w:t>
        <w:br/>
        <w:t>5: Compute target hydrological residuals: ε_train ← y_train - Q_base,train</w:t>
        <w:br/>
        <w:t>6: Train Gradient Boosted Decision Tree ensemble on residuals:</w:t>
        <w:br/>
        <w:t>7:   F_trees ← FitGBDT(X_train, ε_train)</w:t>
        <w:br/>
        <w:t>8: Compute test baseline and residual predictions:</w:t>
        <w:br/>
        <w:t>9:   Q_base,test ← X_test,base β*,   ε_hat_test ← F_trees(X_test)</w:t>
        <w:br/>
        <w:t>10: for each time step t in test set do</w:t>
        <w:br/>
        <w:t>11:   W_total(t) ← P(t) + Q_inflow(t) + API(t)</w:t>
        <w:br/>
        <w:t>12:   Q_hat(t) ← min(W_total(t), max(0, Q_base(t) + ε_hat(t)))</w:t>
        <w:br/>
        <w:t>13: end for</w:t>
        <w:br/>
        <w:t>14: return Q_hat_test</w:t>
      </w:r>
    </w:p>
    <w:p>
      <w:pPr>
        <w:spacing w:before="200" w:after="80" w:line="276" w:lineRule="auto"/>
        <w:jc w:val="left"/>
      </w:pPr>
      <w:r>
        <w:rPr>
          <w:rFonts w:ascii="Times New Roman" w:hAnsi="Times New Roman"/>
          <w:b/>
          <w:i w:val="0"/>
          <w:sz w:val="23"/>
        </w:rPr>
        <w:t>4.4 Experimental design and low-sample holdout protocol</w:t>
      </w:r>
    </w:p>
    <w:p>
      <w:pPr>
        <w:spacing w:before="0" w:after="120" w:line="276" w:lineRule="auto"/>
        <w:jc w:val="left"/>
      </w:pPr>
      <w:r>
        <w:rPr>
          <w:rFonts w:ascii="Times New Roman" w:hAnsi="Times New Roman"/>
          <w:b w:val="0"/>
          <w:i w:val="0"/>
          <w:sz w:val="22"/>
        </w:rPr>
        <w:t>To evaluate genuine out-of-distribution extreme generalization under strict low-sample constraints (N = 24 monthly calibration samples):</w:t>
      </w:r>
    </w:p>
    <w:p>
      <w:pPr>
        <w:spacing w:before="0" w:after="120" w:line="276" w:lineRule="auto"/>
        <w:jc w:val="left"/>
      </w:pPr>
      <w:r>
        <w:rPr>
          <w:rFonts w:ascii="Times New Roman" w:hAnsi="Times New Roman"/>
          <w:b w:val="0"/>
          <w:i w:val="0"/>
          <w:sz w:val="22"/>
        </w:rPr>
        <w:t>• Model calibration (2020–2021): 24 months of moderate baseline hydrometeorology.</w:t>
      </w:r>
    </w:p>
    <w:p>
      <w:pPr>
        <w:spacing w:before="0" w:after="120" w:line="276" w:lineRule="auto"/>
        <w:jc w:val="left"/>
      </w:pPr>
      <w:r>
        <w:rPr>
          <w:rFonts w:ascii="Times New Roman" w:hAnsi="Times New Roman"/>
          <w:b w:val="0"/>
          <w:i w:val="0"/>
          <w:sz w:val="22"/>
        </w:rPr>
        <w:t>• Unseen extreme holdout (2022): 12 months containing the historic 2022 Pakistan Super-Flood (+350% precipitation), withheld completely from model calibration.</w:t>
      </w:r>
    </w:p>
    <w:p>
      <w:pPr>
        <w:spacing w:before="0" w:after="120" w:line="276" w:lineRule="auto"/>
        <w:jc w:val="left"/>
      </w:pPr>
      <w:r>
        <w:rPr>
          <w:rFonts w:ascii="Times New Roman" w:hAnsi="Times New Roman"/>
          <w:b w:val="0"/>
          <w:i w:val="0"/>
          <w:sz w:val="22"/>
        </w:rPr>
        <w:t>• Future testing period (2023–2024): 24 months of non-stationary post-flood recovery.</w:t>
      </w:r>
    </w:p>
    <w:p>
      <w:pPr>
        <w:spacing w:before="0" w:after="120" w:line="276" w:lineRule="auto"/>
        <w:jc w:val="left"/>
      </w:pPr>
      <w:r>
        <w:rPr>
          <w:rFonts w:ascii="Times New Roman" w:hAnsi="Times New Roman"/>
          <w:b w:val="0"/>
          <w:i w:val="0"/>
          <w:sz w:val="22"/>
        </w:rPr>
        <w:t>• Moving Block Bootstrap (MBB): 1,000 resamplings with block size b = 3 months (representing seasonal persistence) to evaluate 95% confidence intervals while respecting time-series autocorrelation.</w:t>
      </w:r>
    </w:p>
    <w:p>
      <w:pPr>
        <w:spacing w:before="0" w:after="120" w:line="276" w:lineRule="auto"/>
        <w:jc w:val="left"/>
      </w:pPr>
      <w:r>
        <w:rPr>
          <w:rFonts w:ascii="Times New Roman" w:hAnsi="Times New Roman"/>
          <w:b w:val="0"/>
          <w:i w:val="0"/>
          <w:sz w:val="22"/>
        </w:rPr>
        <w:t>• Hyperparameter integrity and regularization: To prevent overfitting on N = 24 training samples, GBDT hyperparameters (max_depth = 3, n_estimators = 100, learning_rate = 0.08, subsample = 0.8) and L2 baseline penalty (λ = 2.0) were tuned strictly via 5-fold time-series cross-validation on the 2020–2021 period; no information from 2022–2024 was used during model selection.</w:t>
      </w:r>
    </w:p>
    <w:p>
      <w:pPr>
        <w:spacing w:before="200" w:after="80" w:line="276" w:lineRule="auto"/>
        <w:jc w:val="left"/>
      </w:pPr>
      <w:r>
        <w:rPr>
          <w:rFonts w:ascii="Times New Roman" w:hAnsi="Times New Roman"/>
          <w:b/>
          <w:i w:val="0"/>
          <w:sz w:val="23"/>
        </w:rPr>
        <w:t>4.5 Conceptual model specification (GR4J benchmark)</w:t>
      </w:r>
    </w:p>
    <w:p>
      <w:pPr>
        <w:spacing w:before="0" w:after="120" w:line="276" w:lineRule="auto"/>
        <w:jc w:val="left"/>
      </w:pPr>
      <w:r>
        <w:rPr>
          <w:rFonts w:ascii="Times New Roman" w:hAnsi="Times New Roman"/>
          <w:b w:val="0"/>
          <w:i w:val="0"/>
          <w:sz w:val="22"/>
        </w:rPr>
        <w:t>To provide a rigorous baseline comparison, the GR4J conceptual model (Perrin et al., 2003) was calibrated on the 2020–2021 monthly rainfall-runoff record using Nelder-Mead optimization targeting maximum KGE. The calibrated parameters (X_1 = 340 mm production store capacity, X_2 = -1.2 mm groundwater exchange, X_3 = 90 mm routing store, X_4 = 1.1 months unit hydrograph time constant) were fixed during the 2022–2024 holdout evaluation.</w:t>
      </w:r>
    </w:p>
    <w:p>
      <w:pPr>
        <w:spacing w:before="280" w:after="120" w:line="276" w:lineRule="auto"/>
        <w:jc w:val="left"/>
      </w:pPr>
      <w:r>
        <w:rPr>
          <w:rFonts w:ascii="Times New Roman" w:hAnsi="Times New Roman"/>
          <w:b/>
          <w:i w:val="0"/>
          <w:sz w:val="26"/>
        </w:rPr>
        <w:t>5 Results and discussion</w:t>
      </w:r>
    </w:p>
    <w:p>
      <w:pPr>
        <w:spacing w:before="120" w:after="120" w:line="276" w:lineRule="auto"/>
      </w:pPr>
      <w:r>
        <w:rPr>
          <w:rFonts w:ascii="Times New Roman" w:hAnsi="Times New Roman"/>
          <w:b/>
          <w:sz w:val="20"/>
        </w:rPr>
        <w:t xml:space="preserve">Table 2 </w:t>
      </w:r>
      <w:r>
        <w:rPr>
          <w:rFonts w:ascii="Times New Roman" w:hAnsi="Times New Roman"/>
          <w:sz w:val="20"/>
        </w:rPr>
        <w:t>Quantitative hydrological model benchmarking results across unseen 2022 extreme flood and future validation periods</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290"/>
        <w:gridCol w:w="1290"/>
        <w:gridCol w:w="1290"/>
        <w:gridCol w:w="1290"/>
        <w:gridCol w:w="1290"/>
        <w:gridCol w:w="1290"/>
        <w:gridCol w:w="1290"/>
      </w:tblGrid>
      <w:tr>
        <w:tc>
          <w:tcPr>
            <w:tcW w:type="dxa" w:w="1290"/>
            <w:tcBorders>
              <w:bottom w:val="single" w:sz="8" w:space="0" w:color="000000"/>
            </w:tcBorders>
            <w:shd w:fill="F2F2F2"/>
          </w:tcPr>
          <w:p>
            <w:pPr>
              <w:spacing w:line="252" w:lineRule="auto" w:after="40" w:before="40"/>
            </w:pPr>
            <w:r>
              <w:rPr>
                <w:rFonts w:ascii="Times New Roman" w:hAnsi="Times New Roman"/>
                <w:b/>
                <w:sz w:val="17"/>
              </w:rPr>
              <w:t>Model Architecture</w:t>
            </w:r>
          </w:p>
        </w:tc>
        <w:tc>
          <w:tcPr>
            <w:tcW w:type="dxa" w:w="1290"/>
            <w:tcBorders>
              <w:bottom w:val="single" w:sz="8" w:space="0" w:color="000000"/>
            </w:tcBorders>
            <w:shd w:fill="F2F2F2"/>
          </w:tcPr>
          <w:p>
            <w:pPr>
              <w:spacing w:line="252" w:lineRule="auto" w:after="40" w:before="40"/>
            </w:pPr>
            <w:r>
              <w:rPr>
                <w:rFonts w:ascii="Times New Roman" w:hAnsi="Times New Roman"/>
                <w:b/>
                <w:sz w:val="17"/>
              </w:rPr>
              <w:t>KGE (2022 Flood)</w:t>
            </w:r>
          </w:p>
        </w:tc>
        <w:tc>
          <w:tcPr>
            <w:tcW w:type="dxa" w:w="1290"/>
            <w:tcBorders>
              <w:bottom w:val="single" w:sz="8" w:space="0" w:color="000000"/>
            </w:tcBorders>
            <w:shd w:fill="F2F2F2"/>
          </w:tcPr>
          <w:p>
            <w:pPr>
              <w:spacing w:line="252" w:lineRule="auto" w:after="40" w:before="40"/>
            </w:pPr>
            <w:r>
              <w:rPr>
                <w:rFonts w:ascii="Times New Roman" w:hAnsi="Times New Roman"/>
                <w:b/>
                <w:sz w:val="17"/>
              </w:rPr>
              <w:t>FHV (2022 Flood)(a)</w:t>
            </w:r>
          </w:p>
        </w:tc>
        <w:tc>
          <w:tcPr>
            <w:tcW w:type="dxa" w:w="1290"/>
            <w:tcBorders>
              <w:bottom w:val="single" w:sz="8" w:space="0" w:color="000000"/>
            </w:tcBorders>
            <w:shd w:fill="F2F2F2"/>
          </w:tcPr>
          <w:p>
            <w:pPr>
              <w:spacing w:line="252" w:lineRule="auto" w:after="40" w:before="40"/>
            </w:pPr>
            <w:r>
              <w:rPr>
                <w:rFonts w:ascii="Times New Roman" w:hAnsi="Times New Roman"/>
                <w:b/>
                <w:sz w:val="17"/>
              </w:rPr>
              <w:t>KGE (2023–2024)</w:t>
            </w:r>
          </w:p>
        </w:tc>
        <w:tc>
          <w:tcPr>
            <w:tcW w:type="dxa" w:w="1290"/>
            <w:tcBorders>
              <w:bottom w:val="single" w:sz="8" w:space="0" w:color="000000"/>
            </w:tcBorders>
            <w:shd w:fill="F2F2F2"/>
          </w:tcPr>
          <w:p>
            <w:pPr>
              <w:spacing w:line="252" w:lineRule="auto" w:after="40" w:before="40"/>
            </w:pPr>
            <w:r>
              <w:rPr>
                <w:rFonts w:ascii="Times New Roman" w:hAnsi="Times New Roman"/>
                <w:b/>
                <w:sz w:val="17"/>
              </w:rPr>
              <w:t>KGE Combined [95% CI]</w:t>
            </w:r>
          </w:p>
        </w:tc>
        <w:tc>
          <w:tcPr>
            <w:tcW w:type="dxa" w:w="1290"/>
            <w:tcBorders>
              <w:bottom w:val="single" w:sz="8" w:space="0" w:color="000000"/>
            </w:tcBorders>
            <w:shd w:fill="F2F2F2"/>
          </w:tcPr>
          <w:p>
            <w:pPr>
              <w:spacing w:line="252" w:lineRule="auto" w:after="40" w:before="40"/>
            </w:pPr>
            <w:r>
              <w:rPr>
                <w:rFonts w:ascii="Times New Roman" w:hAnsi="Times New Roman"/>
                <w:b/>
                <w:sz w:val="17"/>
              </w:rPr>
              <w:t>NSE Combined</w:t>
            </w:r>
          </w:p>
        </w:tc>
        <w:tc>
          <w:tcPr>
            <w:tcW w:type="dxa" w:w="1290"/>
            <w:tcBorders>
              <w:bottom w:val="single" w:sz="8" w:space="0" w:color="000000"/>
            </w:tcBorders>
            <w:shd w:fill="F2F2F2"/>
          </w:tcPr>
          <w:p>
            <w:pPr>
              <w:spacing w:line="252" w:lineRule="auto" w:after="40" w:before="40"/>
            </w:pPr>
            <w:r>
              <w:rPr>
                <w:rFonts w:ascii="Times New Roman" w:hAnsi="Times New Roman"/>
                <w:b/>
                <w:sz w:val="17"/>
              </w:rPr>
              <w:t>FHV Combined(a)</w:t>
            </w:r>
          </w:p>
        </w:tc>
      </w:tr>
      <w:tr>
        <w:tc>
          <w:tcPr>
            <w:tcW w:type="dxa" w:w="1290"/>
          </w:tcPr>
          <w:p>
            <w:pPr>
              <w:spacing w:line="252" w:lineRule="auto" w:after="40" w:before="40"/>
            </w:pPr>
            <w:r>
              <w:rPr>
                <w:rFonts w:ascii="Times New Roman" w:hAnsi="Times New Roman"/>
                <w:b/>
                <w:sz w:val="17"/>
              </w:rPr>
              <w:t>PG-MCH (Proposed)</w:t>
            </w:r>
          </w:p>
        </w:tc>
        <w:tc>
          <w:tcPr>
            <w:tcW w:type="dxa" w:w="1290"/>
          </w:tcPr>
          <w:p>
            <w:pPr>
              <w:spacing w:line="252" w:lineRule="auto" w:after="40" w:before="40"/>
            </w:pPr>
            <w:r>
              <w:rPr>
                <w:rFonts w:ascii="Times New Roman" w:hAnsi="Times New Roman"/>
                <w:b/>
                <w:sz w:val="17"/>
              </w:rPr>
              <w:t>0.879</w:t>
            </w:r>
          </w:p>
        </w:tc>
        <w:tc>
          <w:tcPr>
            <w:tcW w:type="dxa" w:w="1290"/>
          </w:tcPr>
          <w:p>
            <w:pPr>
              <w:spacing w:line="252" w:lineRule="auto" w:after="40" w:before="40"/>
            </w:pPr>
            <w:r>
              <w:rPr>
                <w:rFonts w:ascii="Times New Roman" w:hAnsi="Times New Roman"/>
                <w:b/>
                <w:sz w:val="17"/>
              </w:rPr>
              <w:t>-9.4%</w:t>
            </w:r>
          </w:p>
        </w:tc>
        <w:tc>
          <w:tcPr>
            <w:tcW w:type="dxa" w:w="1290"/>
          </w:tcPr>
          <w:p>
            <w:pPr>
              <w:spacing w:line="252" w:lineRule="auto" w:after="40" w:before="40"/>
            </w:pPr>
            <w:r>
              <w:rPr>
                <w:rFonts w:ascii="Times New Roman" w:hAnsi="Times New Roman"/>
                <w:b/>
                <w:sz w:val="17"/>
              </w:rPr>
              <w:t>0.938</w:t>
            </w:r>
          </w:p>
        </w:tc>
        <w:tc>
          <w:tcPr>
            <w:tcW w:type="dxa" w:w="1290"/>
          </w:tcPr>
          <w:p>
            <w:pPr>
              <w:spacing w:line="252" w:lineRule="auto" w:after="40" w:before="40"/>
            </w:pPr>
            <w:r>
              <w:rPr>
                <w:rFonts w:ascii="Times New Roman" w:hAnsi="Times New Roman"/>
                <w:b/>
                <w:sz w:val="17"/>
              </w:rPr>
              <w:t>0.902 [0.86, 0.95]</w:t>
            </w:r>
          </w:p>
        </w:tc>
        <w:tc>
          <w:tcPr>
            <w:tcW w:type="dxa" w:w="1290"/>
          </w:tcPr>
          <w:p>
            <w:pPr>
              <w:spacing w:line="252" w:lineRule="auto" w:after="40" w:before="40"/>
            </w:pPr>
            <w:r>
              <w:rPr>
                <w:rFonts w:ascii="Times New Roman" w:hAnsi="Times New Roman"/>
                <w:b/>
                <w:sz w:val="17"/>
              </w:rPr>
              <w:t>0.990</w:t>
            </w:r>
          </w:p>
        </w:tc>
        <w:tc>
          <w:tcPr>
            <w:tcW w:type="dxa" w:w="1290"/>
          </w:tcPr>
          <w:p>
            <w:pPr>
              <w:spacing w:line="252" w:lineRule="auto" w:after="40" w:before="40"/>
            </w:pPr>
            <w:r>
              <w:rPr>
                <w:rFonts w:ascii="Times New Roman" w:hAnsi="Times New Roman"/>
                <w:b/>
                <w:sz w:val="17"/>
              </w:rPr>
              <w:t>-7.3%</w:t>
            </w:r>
          </w:p>
        </w:tc>
      </w:tr>
      <w:tr>
        <w:tc>
          <w:tcPr>
            <w:tcW w:type="dxa" w:w="1290"/>
          </w:tcPr>
          <w:p>
            <w:pPr>
              <w:spacing w:line="252" w:lineRule="auto" w:after="40" w:before="40"/>
            </w:pPr>
            <w:r>
              <w:rPr>
                <w:rFonts w:ascii="Times New Roman" w:hAnsi="Times New Roman"/>
                <w:sz w:val="17"/>
              </w:rPr>
              <w:t>TGB-Hydro (GBDT)</w:t>
            </w:r>
          </w:p>
        </w:tc>
        <w:tc>
          <w:tcPr>
            <w:tcW w:type="dxa" w:w="1290"/>
          </w:tcPr>
          <w:p>
            <w:pPr>
              <w:spacing w:line="252" w:lineRule="auto" w:after="40" w:before="40"/>
            </w:pPr>
            <w:r>
              <w:rPr>
                <w:rFonts w:ascii="Times New Roman" w:hAnsi="Times New Roman"/>
                <w:sz w:val="17"/>
              </w:rPr>
              <w:t>0.589</w:t>
            </w:r>
          </w:p>
        </w:tc>
        <w:tc>
          <w:tcPr>
            <w:tcW w:type="dxa" w:w="1290"/>
          </w:tcPr>
          <w:p>
            <w:pPr>
              <w:spacing w:line="252" w:lineRule="auto" w:after="40" w:before="40"/>
            </w:pPr>
            <w:r>
              <w:rPr>
                <w:rFonts w:ascii="Times New Roman" w:hAnsi="Times New Roman"/>
                <w:sz w:val="17"/>
              </w:rPr>
              <w:t>-29.1%</w:t>
            </w:r>
          </w:p>
        </w:tc>
        <w:tc>
          <w:tcPr>
            <w:tcW w:type="dxa" w:w="1290"/>
          </w:tcPr>
          <w:p>
            <w:pPr>
              <w:spacing w:line="252" w:lineRule="auto" w:after="40" w:before="40"/>
            </w:pPr>
            <w:r>
              <w:rPr>
                <w:rFonts w:ascii="Times New Roman" w:hAnsi="Times New Roman"/>
                <w:sz w:val="17"/>
              </w:rPr>
              <w:t>0.935</w:t>
            </w:r>
          </w:p>
        </w:tc>
        <w:tc>
          <w:tcPr>
            <w:tcW w:type="dxa" w:w="1290"/>
          </w:tcPr>
          <w:p>
            <w:pPr>
              <w:spacing w:line="252" w:lineRule="auto" w:after="40" w:before="40"/>
            </w:pPr>
            <w:r>
              <w:rPr>
                <w:rFonts w:ascii="Times New Roman" w:hAnsi="Times New Roman"/>
                <w:sz w:val="17"/>
              </w:rPr>
              <w:t>0.725 [0.56, 0.96]</w:t>
            </w:r>
          </w:p>
        </w:tc>
        <w:tc>
          <w:tcPr>
            <w:tcW w:type="dxa" w:w="1290"/>
          </w:tcPr>
          <w:p>
            <w:pPr>
              <w:spacing w:line="252" w:lineRule="auto" w:after="40" w:before="40"/>
            </w:pPr>
            <w:r>
              <w:rPr>
                <w:rFonts w:ascii="Times New Roman" w:hAnsi="Times New Roman"/>
                <w:sz w:val="17"/>
              </w:rPr>
              <w:t>0.883</w:t>
            </w:r>
          </w:p>
        </w:tc>
        <w:tc>
          <w:tcPr>
            <w:tcW w:type="dxa" w:w="1290"/>
          </w:tcPr>
          <w:p>
            <w:pPr>
              <w:spacing w:line="252" w:lineRule="auto" w:after="40" w:before="40"/>
            </w:pPr>
            <w:r>
              <w:rPr>
                <w:rFonts w:ascii="Times New Roman" w:hAnsi="Times New Roman"/>
                <w:sz w:val="17"/>
              </w:rPr>
              <w:t>-19.4%</w:t>
            </w:r>
          </w:p>
        </w:tc>
      </w:tr>
      <w:tr>
        <w:tc>
          <w:tcPr>
            <w:tcW w:type="dxa" w:w="1290"/>
          </w:tcPr>
          <w:p>
            <w:pPr>
              <w:spacing w:line="252" w:lineRule="auto" w:after="40" w:before="40"/>
            </w:pPr>
            <w:r>
              <w:rPr>
                <w:rFonts w:ascii="Times New Roman" w:hAnsi="Times New Roman"/>
                <w:sz w:val="17"/>
              </w:rPr>
              <w:t>RF-Baseline</w:t>
            </w:r>
          </w:p>
        </w:tc>
        <w:tc>
          <w:tcPr>
            <w:tcW w:type="dxa" w:w="1290"/>
          </w:tcPr>
          <w:p>
            <w:pPr>
              <w:spacing w:line="252" w:lineRule="auto" w:after="40" w:before="40"/>
            </w:pPr>
            <w:r>
              <w:rPr>
                <w:rFonts w:ascii="Times New Roman" w:hAnsi="Times New Roman"/>
                <w:sz w:val="17"/>
              </w:rPr>
              <w:t>0.532</w:t>
            </w:r>
          </w:p>
        </w:tc>
        <w:tc>
          <w:tcPr>
            <w:tcW w:type="dxa" w:w="1290"/>
          </w:tcPr>
          <w:p>
            <w:pPr>
              <w:spacing w:line="252" w:lineRule="auto" w:after="40" w:before="40"/>
            </w:pPr>
            <w:r>
              <w:rPr>
                <w:rFonts w:ascii="Times New Roman" w:hAnsi="Times New Roman"/>
                <w:sz w:val="17"/>
              </w:rPr>
              <w:t>-30.9%</w:t>
            </w:r>
          </w:p>
        </w:tc>
        <w:tc>
          <w:tcPr>
            <w:tcW w:type="dxa" w:w="1290"/>
          </w:tcPr>
          <w:p>
            <w:pPr>
              <w:spacing w:line="252" w:lineRule="auto" w:after="40" w:before="40"/>
            </w:pPr>
            <w:r>
              <w:rPr>
                <w:rFonts w:ascii="Times New Roman" w:hAnsi="Times New Roman"/>
                <w:sz w:val="17"/>
              </w:rPr>
              <w:t>0.832</w:t>
            </w:r>
          </w:p>
        </w:tc>
        <w:tc>
          <w:tcPr>
            <w:tcW w:type="dxa" w:w="1290"/>
          </w:tcPr>
          <w:p>
            <w:pPr>
              <w:spacing w:line="252" w:lineRule="auto" w:after="40" w:before="40"/>
            </w:pPr>
            <w:r>
              <w:rPr>
                <w:rFonts w:ascii="Times New Roman" w:hAnsi="Times New Roman"/>
                <w:sz w:val="17"/>
              </w:rPr>
              <w:t>0.646 [0.52, 0.88]</w:t>
            </w:r>
          </w:p>
        </w:tc>
        <w:tc>
          <w:tcPr>
            <w:tcW w:type="dxa" w:w="1290"/>
          </w:tcPr>
          <w:p>
            <w:pPr>
              <w:spacing w:line="252" w:lineRule="auto" w:after="40" w:before="40"/>
            </w:pPr>
            <w:r>
              <w:rPr>
                <w:rFonts w:ascii="Times New Roman" w:hAnsi="Times New Roman"/>
                <w:sz w:val="17"/>
              </w:rPr>
              <w:t>0.834</w:t>
            </w:r>
          </w:p>
        </w:tc>
        <w:tc>
          <w:tcPr>
            <w:tcW w:type="dxa" w:w="1290"/>
          </w:tcPr>
          <w:p>
            <w:pPr>
              <w:spacing w:line="252" w:lineRule="auto" w:after="40" w:before="40"/>
            </w:pPr>
            <w:r>
              <w:rPr>
                <w:rFonts w:ascii="Times New Roman" w:hAnsi="Times New Roman"/>
                <w:sz w:val="17"/>
              </w:rPr>
              <w:t>-23.3%</w:t>
            </w:r>
          </w:p>
        </w:tc>
      </w:tr>
      <w:tr>
        <w:tc>
          <w:tcPr>
            <w:tcW w:type="dxa" w:w="1290"/>
          </w:tcPr>
          <w:p>
            <w:pPr>
              <w:spacing w:line="252" w:lineRule="auto" w:after="40" w:before="40"/>
            </w:pPr>
            <w:r>
              <w:rPr>
                <w:rFonts w:ascii="Times New Roman" w:hAnsi="Times New Roman"/>
                <w:sz w:val="17"/>
              </w:rPr>
              <w:t>Conceptual GR4J Baseline</w:t>
            </w:r>
          </w:p>
        </w:tc>
        <w:tc>
          <w:tcPr>
            <w:tcW w:type="dxa" w:w="1290"/>
          </w:tcPr>
          <w:p>
            <w:pPr>
              <w:spacing w:line="252" w:lineRule="auto" w:after="40" w:before="40"/>
            </w:pPr>
            <w:r>
              <w:rPr>
                <w:rFonts w:ascii="Times New Roman" w:hAnsi="Times New Roman"/>
                <w:sz w:val="17"/>
              </w:rPr>
              <w:t>0.836</w:t>
            </w:r>
          </w:p>
        </w:tc>
        <w:tc>
          <w:tcPr>
            <w:tcW w:type="dxa" w:w="1290"/>
          </w:tcPr>
          <w:p>
            <w:pPr>
              <w:spacing w:line="252" w:lineRule="auto" w:after="40" w:before="40"/>
            </w:pPr>
            <w:r>
              <w:rPr>
                <w:rFonts w:ascii="Times New Roman" w:hAnsi="Times New Roman"/>
                <w:sz w:val="17"/>
              </w:rPr>
              <w:t>-12.1%</w:t>
            </w:r>
          </w:p>
        </w:tc>
        <w:tc>
          <w:tcPr>
            <w:tcW w:type="dxa" w:w="1290"/>
          </w:tcPr>
          <w:p>
            <w:pPr>
              <w:spacing w:line="252" w:lineRule="auto" w:after="40" w:before="40"/>
            </w:pPr>
            <w:r>
              <w:rPr>
                <w:rFonts w:ascii="Times New Roman" w:hAnsi="Times New Roman"/>
                <w:sz w:val="17"/>
              </w:rPr>
              <w:t>0.804</w:t>
            </w:r>
          </w:p>
        </w:tc>
        <w:tc>
          <w:tcPr>
            <w:tcW w:type="dxa" w:w="1290"/>
          </w:tcPr>
          <w:p>
            <w:pPr>
              <w:spacing w:line="252" w:lineRule="auto" w:after="40" w:before="40"/>
            </w:pPr>
            <w:r>
              <w:rPr>
                <w:rFonts w:ascii="Times New Roman" w:hAnsi="Times New Roman"/>
                <w:sz w:val="17"/>
              </w:rPr>
              <w:t>0.820 [0.70, 0.88]</w:t>
            </w:r>
          </w:p>
        </w:tc>
        <w:tc>
          <w:tcPr>
            <w:tcW w:type="dxa" w:w="1290"/>
          </w:tcPr>
          <w:p>
            <w:pPr>
              <w:spacing w:line="252" w:lineRule="auto" w:after="40" w:before="40"/>
            </w:pPr>
            <w:r>
              <w:rPr>
                <w:rFonts w:ascii="Times New Roman" w:hAnsi="Times New Roman"/>
                <w:sz w:val="17"/>
              </w:rPr>
              <w:t>0.972</w:t>
            </w:r>
          </w:p>
        </w:tc>
        <w:tc>
          <w:tcPr>
            <w:tcW w:type="dxa" w:w="1290"/>
          </w:tcPr>
          <w:p>
            <w:pPr>
              <w:spacing w:line="252" w:lineRule="auto" w:after="40" w:before="40"/>
            </w:pPr>
            <w:r>
              <w:rPr>
                <w:rFonts w:ascii="Times New Roman" w:hAnsi="Times New Roman"/>
                <w:sz w:val="17"/>
              </w:rPr>
              <w:t>-9.5%</w:t>
            </w:r>
          </w:p>
        </w:tc>
      </w:tr>
    </w:tbl>
    <w:p>
      <w:pPr>
        <w:spacing w:before="0" w:after="200" w:line="276" w:lineRule="auto"/>
        <w:jc w:val="left"/>
      </w:pPr>
      <w:r>
        <w:rPr>
          <w:rFonts w:ascii="Times New Roman" w:hAnsi="Times New Roman"/>
          <w:b w:val="0"/>
          <w:i/>
          <w:sz w:val="17"/>
        </w:rPr>
        <w:t>(a) FHV: Peak flow bias over top 20% high-flow events (ideal = 0%). Combined period covers 2022–2024 (36 out-of-sample months).</w:t>
      </w:r>
    </w:p>
    <w:p>
      <w:pPr>
        <w:spacing w:before="120" w:after="120" w:line="276" w:lineRule="auto"/>
      </w:pPr>
      <w:r>
        <w:rPr>
          <w:rFonts w:ascii="Times New Roman" w:hAnsi="Times New Roman"/>
          <w:b/>
          <w:sz w:val="20"/>
        </w:rPr>
        <w:t xml:space="preserve">Table 3 </w:t>
      </w:r>
      <w:r>
        <w:rPr>
          <w:rFonts w:ascii="Times New Roman" w:hAnsi="Times New Roman"/>
          <w:sz w:val="20"/>
        </w:rPr>
        <w:t>Systematic multi-regime ablation study on model components</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806"/>
        <w:gridCol w:w="1806"/>
        <w:gridCol w:w="1806"/>
        <w:gridCol w:w="1806"/>
        <w:gridCol w:w="1806"/>
      </w:tblGrid>
      <w:tr>
        <w:tc>
          <w:tcPr>
            <w:tcW w:type="dxa" w:w="1806"/>
            <w:tcBorders>
              <w:bottom w:val="single" w:sz="8" w:space="0" w:color="000000"/>
            </w:tcBorders>
            <w:shd w:fill="F2F2F2"/>
          </w:tcPr>
          <w:p>
            <w:pPr>
              <w:spacing w:line="252" w:lineRule="auto" w:after="40" w:before="40"/>
            </w:pPr>
            <w:r>
              <w:rPr>
                <w:rFonts w:ascii="Times New Roman" w:hAnsi="Times New Roman"/>
                <w:b/>
                <w:sz w:val="17"/>
              </w:rPr>
              <w:t>Ablation Configuration</w:t>
            </w:r>
          </w:p>
        </w:tc>
        <w:tc>
          <w:tcPr>
            <w:tcW w:type="dxa" w:w="1806"/>
            <w:tcBorders>
              <w:bottom w:val="single" w:sz="8" w:space="0" w:color="000000"/>
            </w:tcBorders>
            <w:shd w:fill="F2F2F2"/>
          </w:tcPr>
          <w:p>
            <w:pPr>
              <w:spacing w:line="252" w:lineRule="auto" w:after="40" w:before="40"/>
            </w:pPr>
            <w:r>
              <w:rPr>
                <w:rFonts w:ascii="Times New Roman" w:hAnsi="Times New Roman"/>
                <w:b/>
                <w:sz w:val="17"/>
              </w:rPr>
              <w:t>KGE (2022 Flood)</w:t>
            </w:r>
          </w:p>
        </w:tc>
        <w:tc>
          <w:tcPr>
            <w:tcW w:type="dxa" w:w="1806"/>
            <w:tcBorders>
              <w:bottom w:val="single" w:sz="8" w:space="0" w:color="000000"/>
            </w:tcBorders>
            <w:shd w:fill="F2F2F2"/>
          </w:tcPr>
          <w:p>
            <w:pPr>
              <w:spacing w:line="252" w:lineRule="auto" w:after="40" w:before="40"/>
            </w:pPr>
            <w:r>
              <w:rPr>
                <w:rFonts w:ascii="Times New Roman" w:hAnsi="Times New Roman"/>
                <w:b/>
                <w:sz w:val="17"/>
              </w:rPr>
              <w:t>FHV (2022 Flood)</w:t>
            </w:r>
          </w:p>
        </w:tc>
        <w:tc>
          <w:tcPr>
            <w:tcW w:type="dxa" w:w="1806"/>
            <w:tcBorders>
              <w:bottom w:val="single" w:sz="8" w:space="0" w:color="000000"/>
            </w:tcBorders>
            <w:shd w:fill="F2F2F2"/>
          </w:tcPr>
          <w:p>
            <w:pPr>
              <w:spacing w:line="252" w:lineRule="auto" w:after="40" w:before="40"/>
            </w:pPr>
            <w:r>
              <w:rPr>
                <w:rFonts w:ascii="Times New Roman" w:hAnsi="Times New Roman"/>
                <w:b/>
                <w:sz w:val="17"/>
              </w:rPr>
              <w:t>KGE (2023–2024)</w:t>
            </w:r>
          </w:p>
        </w:tc>
        <w:tc>
          <w:tcPr>
            <w:tcW w:type="dxa" w:w="1806"/>
            <w:tcBorders>
              <w:bottom w:val="single" w:sz="8" w:space="0" w:color="000000"/>
            </w:tcBorders>
            <w:shd w:fill="F2F2F2"/>
          </w:tcPr>
          <w:p>
            <w:pPr>
              <w:spacing w:line="252" w:lineRule="auto" w:after="40" w:before="40"/>
            </w:pPr>
            <w:r>
              <w:rPr>
                <w:rFonts w:ascii="Times New Roman" w:hAnsi="Times New Roman"/>
                <w:b/>
                <w:sz w:val="17"/>
              </w:rPr>
              <w:t>FHV (2023–2024)</w:t>
            </w:r>
          </w:p>
        </w:tc>
      </w:tr>
      <w:tr>
        <w:tc>
          <w:tcPr>
            <w:tcW w:type="dxa" w:w="1806"/>
          </w:tcPr>
          <w:p>
            <w:pPr>
              <w:spacing w:line="252" w:lineRule="auto" w:after="40" w:before="40"/>
            </w:pPr>
            <w:r>
              <w:rPr>
                <w:rFonts w:ascii="Times New Roman" w:hAnsi="Times New Roman"/>
                <w:b/>
                <w:sz w:val="17"/>
              </w:rPr>
              <w:t>Full PG-MCH (Proposed)</w:t>
            </w:r>
          </w:p>
        </w:tc>
        <w:tc>
          <w:tcPr>
            <w:tcW w:type="dxa" w:w="1806"/>
          </w:tcPr>
          <w:p>
            <w:pPr>
              <w:spacing w:line="252" w:lineRule="auto" w:after="40" w:before="40"/>
            </w:pPr>
            <w:r>
              <w:rPr>
                <w:rFonts w:ascii="Times New Roman" w:hAnsi="Times New Roman"/>
                <w:b/>
                <w:sz w:val="17"/>
              </w:rPr>
              <w:t>0.879</w:t>
            </w:r>
          </w:p>
        </w:tc>
        <w:tc>
          <w:tcPr>
            <w:tcW w:type="dxa" w:w="1806"/>
          </w:tcPr>
          <w:p>
            <w:pPr>
              <w:spacing w:line="252" w:lineRule="auto" w:after="40" w:before="40"/>
            </w:pPr>
            <w:r>
              <w:rPr>
                <w:rFonts w:ascii="Times New Roman" w:hAnsi="Times New Roman"/>
                <w:b/>
                <w:sz w:val="17"/>
              </w:rPr>
              <w:t>-9.4%</w:t>
            </w:r>
          </w:p>
        </w:tc>
        <w:tc>
          <w:tcPr>
            <w:tcW w:type="dxa" w:w="1806"/>
          </w:tcPr>
          <w:p>
            <w:pPr>
              <w:spacing w:line="252" w:lineRule="auto" w:after="40" w:before="40"/>
            </w:pPr>
            <w:r>
              <w:rPr>
                <w:rFonts w:ascii="Times New Roman" w:hAnsi="Times New Roman"/>
                <w:b/>
                <w:sz w:val="17"/>
              </w:rPr>
              <w:t>0.938</w:t>
            </w:r>
          </w:p>
        </w:tc>
        <w:tc>
          <w:tcPr>
            <w:tcW w:type="dxa" w:w="1806"/>
          </w:tcPr>
          <w:p>
            <w:pPr>
              <w:spacing w:line="252" w:lineRule="auto" w:after="40" w:before="40"/>
            </w:pPr>
            <w:r>
              <w:rPr>
                <w:rFonts w:ascii="Times New Roman" w:hAnsi="Times New Roman"/>
                <w:b/>
                <w:sz w:val="17"/>
              </w:rPr>
              <w:t>-5.0%</w:t>
            </w:r>
          </w:p>
        </w:tc>
      </w:tr>
      <w:tr>
        <w:tc>
          <w:tcPr>
            <w:tcW w:type="dxa" w:w="1806"/>
          </w:tcPr>
          <w:p>
            <w:pPr>
              <w:spacing w:line="252" w:lineRule="auto" w:after="40" w:before="40"/>
            </w:pPr>
            <w:r>
              <w:rPr>
                <w:rFonts w:ascii="Times New Roman" w:hAnsi="Times New Roman"/>
                <w:sz w:val="17"/>
              </w:rPr>
              <w:t>w/o Physical Backbone (Pure ML)</w:t>
            </w:r>
          </w:p>
        </w:tc>
        <w:tc>
          <w:tcPr>
            <w:tcW w:type="dxa" w:w="1806"/>
          </w:tcPr>
          <w:p>
            <w:pPr>
              <w:spacing w:line="252" w:lineRule="auto" w:after="40" w:before="40"/>
            </w:pPr>
            <w:r>
              <w:rPr>
                <w:rFonts w:ascii="Times New Roman" w:hAnsi="Times New Roman"/>
                <w:sz w:val="17"/>
              </w:rPr>
              <w:t>0.532</w:t>
            </w:r>
          </w:p>
        </w:tc>
        <w:tc>
          <w:tcPr>
            <w:tcW w:type="dxa" w:w="1806"/>
          </w:tcPr>
          <w:p>
            <w:pPr>
              <w:spacing w:line="252" w:lineRule="auto" w:after="40" w:before="40"/>
            </w:pPr>
            <w:r>
              <w:rPr>
                <w:rFonts w:ascii="Times New Roman" w:hAnsi="Times New Roman"/>
                <w:sz w:val="17"/>
              </w:rPr>
              <w:t>-30.9%</w:t>
            </w:r>
          </w:p>
        </w:tc>
        <w:tc>
          <w:tcPr>
            <w:tcW w:type="dxa" w:w="1806"/>
          </w:tcPr>
          <w:p>
            <w:pPr>
              <w:spacing w:line="252" w:lineRule="auto" w:after="40" w:before="40"/>
            </w:pPr>
            <w:r>
              <w:rPr>
                <w:rFonts w:ascii="Times New Roman" w:hAnsi="Times New Roman"/>
                <w:sz w:val="17"/>
              </w:rPr>
              <w:t>0.832</w:t>
            </w:r>
          </w:p>
        </w:tc>
        <w:tc>
          <w:tcPr>
            <w:tcW w:type="dxa" w:w="1806"/>
          </w:tcPr>
          <w:p>
            <w:pPr>
              <w:spacing w:line="252" w:lineRule="auto" w:after="40" w:before="40"/>
            </w:pPr>
            <w:r>
              <w:rPr>
                <w:rFonts w:ascii="Times New Roman" w:hAnsi="Times New Roman"/>
                <w:sz w:val="17"/>
              </w:rPr>
              <w:t>-15.0%</w:t>
            </w:r>
          </w:p>
        </w:tc>
      </w:tr>
      <w:tr>
        <w:tc>
          <w:tcPr>
            <w:tcW w:type="dxa" w:w="1806"/>
          </w:tcPr>
          <w:p>
            <w:pPr>
              <w:spacing w:line="252" w:lineRule="auto" w:after="40" w:before="40"/>
            </w:pPr>
            <w:r>
              <w:rPr>
                <w:rFonts w:ascii="Times New Roman" w:hAnsi="Times New Roman"/>
                <w:sz w:val="17"/>
              </w:rPr>
              <w:t>w/o Upstream Inflow (Q_inflow Telemetry)</w:t>
            </w:r>
          </w:p>
        </w:tc>
        <w:tc>
          <w:tcPr>
            <w:tcW w:type="dxa" w:w="1806"/>
          </w:tcPr>
          <w:p>
            <w:pPr>
              <w:spacing w:line="252" w:lineRule="auto" w:after="40" w:before="40"/>
            </w:pPr>
            <w:r>
              <w:rPr>
                <w:rFonts w:ascii="Times New Roman" w:hAnsi="Times New Roman"/>
                <w:sz w:val="17"/>
              </w:rPr>
              <w:t>0.817</w:t>
            </w:r>
          </w:p>
        </w:tc>
        <w:tc>
          <w:tcPr>
            <w:tcW w:type="dxa" w:w="1806"/>
          </w:tcPr>
          <w:p>
            <w:pPr>
              <w:spacing w:line="252" w:lineRule="auto" w:after="40" w:before="40"/>
            </w:pPr>
            <w:r>
              <w:rPr>
                <w:rFonts w:ascii="Times New Roman" w:hAnsi="Times New Roman"/>
                <w:sz w:val="17"/>
              </w:rPr>
              <w:t>-14.1%</w:t>
            </w:r>
          </w:p>
        </w:tc>
        <w:tc>
          <w:tcPr>
            <w:tcW w:type="dxa" w:w="1806"/>
          </w:tcPr>
          <w:p>
            <w:pPr>
              <w:spacing w:line="252" w:lineRule="auto" w:after="40" w:before="40"/>
            </w:pPr>
            <w:r>
              <w:rPr>
                <w:rFonts w:ascii="Times New Roman" w:hAnsi="Times New Roman"/>
                <w:sz w:val="17"/>
              </w:rPr>
              <w:t>0.900</w:t>
            </w:r>
          </w:p>
        </w:tc>
        <w:tc>
          <w:tcPr>
            <w:tcW w:type="dxa" w:w="1806"/>
          </w:tcPr>
          <w:p>
            <w:pPr>
              <w:spacing w:line="252" w:lineRule="auto" w:after="40" w:before="40"/>
            </w:pPr>
            <w:r>
              <w:rPr>
                <w:rFonts w:ascii="Times New Roman" w:hAnsi="Times New Roman"/>
                <w:sz w:val="17"/>
              </w:rPr>
              <w:t>-7.7%</w:t>
            </w:r>
          </w:p>
        </w:tc>
      </w:tr>
      <w:tr>
        <w:tc>
          <w:tcPr>
            <w:tcW w:type="dxa" w:w="1806"/>
          </w:tcPr>
          <w:p>
            <w:pPr>
              <w:spacing w:line="252" w:lineRule="auto" w:after="40" w:before="40"/>
            </w:pPr>
            <w:r>
              <w:rPr>
                <w:rFonts w:ascii="Times New Roman" w:hAnsi="Times New Roman"/>
                <w:sz w:val="17"/>
              </w:rPr>
              <w:t>w/o Antecedent Memory (No API)</w:t>
            </w:r>
          </w:p>
        </w:tc>
        <w:tc>
          <w:tcPr>
            <w:tcW w:type="dxa" w:w="1806"/>
          </w:tcPr>
          <w:p>
            <w:pPr>
              <w:spacing w:line="252" w:lineRule="auto" w:after="40" w:before="40"/>
            </w:pPr>
            <w:r>
              <w:rPr>
                <w:rFonts w:ascii="Times New Roman" w:hAnsi="Times New Roman"/>
                <w:sz w:val="17"/>
              </w:rPr>
              <w:t>0.957</w:t>
            </w:r>
          </w:p>
        </w:tc>
        <w:tc>
          <w:tcPr>
            <w:tcW w:type="dxa" w:w="1806"/>
          </w:tcPr>
          <w:p>
            <w:pPr>
              <w:spacing w:line="252" w:lineRule="auto" w:after="40" w:before="40"/>
            </w:pPr>
            <w:r>
              <w:rPr>
                <w:rFonts w:ascii="Times New Roman" w:hAnsi="Times New Roman"/>
                <w:sz w:val="17"/>
              </w:rPr>
              <w:t>-3.6%</w:t>
            </w:r>
          </w:p>
        </w:tc>
        <w:tc>
          <w:tcPr>
            <w:tcW w:type="dxa" w:w="1806"/>
          </w:tcPr>
          <w:p>
            <w:pPr>
              <w:spacing w:line="252" w:lineRule="auto" w:after="40" w:before="40"/>
            </w:pPr>
            <w:r>
              <w:rPr>
                <w:rFonts w:ascii="Times New Roman" w:hAnsi="Times New Roman"/>
                <w:sz w:val="17"/>
              </w:rPr>
              <w:t>0.977</w:t>
            </w:r>
          </w:p>
        </w:tc>
        <w:tc>
          <w:tcPr>
            <w:tcW w:type="dxa" w:w="1806"/>
          </w:tcPr>
          <w:p>
            <w:pPr>
              <w:spacing w:line="252" w:lineRule="auto" w:after="40" w:before="40"/>
            </w:pPr>
            <w:r>
              <w:rPr>
                <w:rFonts w:ascii="Times New Roman" w:hAnsi="Times New Roman"/>
                <w:sz w:val="17"/>
              </w:rPr>
              <w:t>-1.7%</w:t>
            </w:r>
          </w:p>
        </w:tc>
      </w:tr>
      <w:tr>
        <w:tc>
          <w:tcPr>
            <w:tcW w:type="dxa" w:w="1806"/>
          </w:tcPr>
          <w:p>
            <w:pPr>
              <w:spacing w:line="252" w:lineRule="auto" w:after="40" w:before="40"/>
            </w:pPr>
            <w:r>
              <w:rPr>
                <w:rFonts w:ascii="Times New Roman" w:hAnsi="Times New Roman"/>
                <w:sz w:val="17"/>
              </w:rPr>
              <w:t>w/o Thermal/Evaporative Forcing</w:t>
            </w:r>
          </w:p>
        </w:tc>
        <w:tc>
          <w:tcPr>
            <w:tcW w:type="dxa" w:w="1806"/>
          </w:tcPr>
          <w:p>
            <w:pPr>
              <w:spacing w:line="252" w:lineRule="auto" w:after="40" w:before="40"/>
            </w:pPr>
            <w:r>
              <w:rPr>
                <w:rFonts w:ascii="Times New Roman" w:hAnsi="Times New Roman"/>
                <w:sz w:val="17"/>
              </w:rPr>
              <w:t>0.879</w:t>
            </w:r>
          </w:p>
        </w:tc>
        <w:tc>
          <w:tcPr>
            <w:tcW w:type="dxa" w:w="1806"/>
          </w:tcPr>
          <w:p>
            <w:pPr>
              <w:spacing w:line="252" w:lineRule="auto" w:after="40" w:before="40"/>
            </w:pPr>
            <w:r>
              <w:rPr>
                <w:rFonts w:ascii="Times New Roman" w:hAnsi="Times New Roman"/>
                <w:sz w:val="17"/>
              </w:rPr>
              <w:t>-6.4%</w:t>
            </w:r>
          </w:p>
        </w:tc>
        <w:tc>
          <w:tcPr>
            <w:tcW w:type="dxa" w:w="1806"/>
          </w:tcPr>
          <w:p>
            <w:pPr>
              <w:spacing w:line="252" w:lineRule="auto" w:after="40" w:before="40"/>
            </w:pPr>
            <w:r>
              <w:rPr>
                <w:rFonts w:ascii="Times New Roman" w:hAnsi="Times New Roman"/>
                <w:sz w:val="17"/>
              </w:rPr>
              <w:t>0.939</w:t>
            </w:r>
          </w:p>
        </w:tc>
        <w:tc>
          <w:tcPr>
            <w:tcW w:type="dxa" w:w="1806"/>
          </w:tcPr>
          <w:p>
            <w:pPr>
              <w:spacing w:line="252" w:lineRule="auto" w:after="40" w:before="40"/>
            </w:pPr>
            <w:r>
              <w:rPr>
                <w:rFonts w:ascii="Times New Roman" w:hAnsi="Times New Roman"/>
                <w:sz w:val="17"/>
              </w:rPr>
              <w:t>-4.9%</w:t>
            </w:r>
          </w:p>
        </w:tc>
      </w:tr>
    </w:tbl>
    <w:p>
      <w:pPr>
        <w:spacing w:before="0" w:after="120" w:line="276" w:lineRule="auto"/>
        <w:jc w:val="left"/>
      </w:pPr>
    </w:p>
    <w:p>
      <w:pPr>
        <w:spacing w:before="160" w:after="80"/>
        <w:jc w:val="center"/>
      </w:pPr>
      <w:r>
        <w:drawing>
          <wp:inline xmlns:a="http://schemas.openxmlformats.org/drawingml/2006/main" xmlns:pic="http://schemas.openxmlformats.org/drawingml/2006/picture">
            <wp:extent cx="5669280" cy="3846142"/>
            <wp:docPr id="3" name="Picture 3"/>
            <wp:cNvGraphicFramePr>
              <a:graphicFrameLocks noChangeAspect="1"/>
            </wp:cNvGraphicFramePr>
            <a:graphic>
              <a:graphicData uri="http://schemas.openxmlformats.org/drawingml/2006/picture">
                <pic:pic>
                  <pic:nvPicPr>
                    <pic:cNvPr id="0" name="Figure_1_Hydrograph_Comparison_and_Residuals.png"/>
                    <pic:cNvPicPr/>
                  </pic:nvPicPr>
                  <pic:blipFill>
                    <a:blip r:embed="rId11"/>
                    <a:stretch>
                      <a:fillRect/>
                    </a:stretch>
                  </pic:blipFill>
                  <pic:spPr>
                    <a:xfrm>
                      <a:off x="0" y="0"/>
                      <a:ext cx="5669280" cy="3846142"/>
                    </a:xfrm>
                    <a:prstGeom prst="rect"/>
                  </pic:spPr>
                </pic:pic>
              </a:graphicData>
            </a:graphic>
          </wp:inline>
        </w:drawing>
      </w:r>
    </w:p>
    <w:p>
      <w:pPr>
        <w:spacing w:before="120" w:after="120" w:line="276" w:lineRule="auto"/>
      </w:pPr>
      <w:r>
        <w:rPr>
          <w:rFonts w:ascii="Times New Roman" w:hAnsi="Times New Roman"/>
          <w:b/>
          <w:sz w:val="20"/>
        </w:rPr>
        <w:t xml:space="preserve">Fig. 3 </w:t>
      </w:r>
      <w:r>
        <w:rPr>
          <w:rFonts w:ascii="Times New Roman" w:hAnsi="Times New Roman"/>
          <w:sz w:val="20"/>
        </w:rPr>
        <w:t>Multi-model streamflow simulation across the Lower Indus Basin (2020–2024). Panel (a) compares observed hydrographs with model predictions across Calibration (2020–2021), Unseen 2022 Mega-Flood, and Future Period (2023–2024), featuring 95% Moving Block Bootstrap confidence intervals (shaded band). Panel (b) displays residual errors</w:t>
      </w:r>
    </w:p>
    <w:p>
      <w:pPr>
        <w:spacing w:before="160" w:after="80"/>
        <w:jc w:val="center"/>
      </w:pPr>
      <w:r>
        <w:drawing>
          <wp:inline xmlns:a="http://schemas.openxmlformats.org/drawingml/2006/main" xmlns:pic="http://schemas.openxmlformats.org/drawingml/2006/picture">
            <wp:extent cx="5303520" cy="1794927"/>
            <wp:docPr id="4" name="Picture 4"/>
            <wp:cNvGraphicFramePr>
              <a:graphicFrameLocks noChangeAspect="1"/>
            </wp:cNvGraphicFramePr>
            <a:graphic>
              <a:graphicData uri="http://schemas.openxmlformats.org/drawingml/2006/picture">
                <pic:pic>
                  <pic:nvPicPr>
                    <pic:cNvPr id="0" name="Figure_2_Model_Benchmarking_Scatter.png"/>
                    <pic:cNvPicPr/>
                  </pic:nvPicPr>
                  <pic:blipFill>
                    <a:blip r:embed="rId12"/>
                    <a:stretch>
                      <a:fillRect/>
                    </a:stretch>
                  </pic:blipFill>
                  <pic:spPr>
                    <a:xfrm>
                      <a:off x="0" y="0"/>
                      <a:ext cx="5303520" cy="1794927"/>
                    </a:xfrm>
                    <a:prstGeom prst="rect"/>
                  </pic:spPr>
                </pic:pic>
              </a:graphicData>
            </a:graphic>
          </wp:inline>
        </w:drawing>
      </w:r>
    </w:p>
    <w:p>
      <w:pPr>
        <w:spacing w:before="120" w:after="120" w:line="276" w:lineRule="auto"/>
      </w:pPr>
      <w:r>
        <w:rPr>
          <w:rFonts w:ascii="Times New Roman" w:hAnsi="Times New Roman"/>
          <w:b/>
          <w:sz w:val="20"/>
        </w:rPr>
        <w:t xml:space="preserve">Fig. 4 </w:t>
      </w:r>
      <w:r>
        <w:rPr>
          <w:rFonts w:ascii="Times New Roman" w:hAnsi="Times New Roman"/>
          <w:sz w:val="20"/>
        </w:rPr>
        <w:t>Goodness-of-fit scatter plot and 1:1 regression fit during the 2022–2024 out-of-sample testing period</w:t>
      </w:r>
    </w:p>
    <w:p>
      <w:pPr>
        <w:spacing w:before="160" w:after="80"/>
        <w:jc w:val="center"/>
      </w:pPr>
      <w:r>
        <w:drawing>
          <wp:inline xmlns:a="http://schemas.openxmlformats.org/drawingml/2006/main" xmlns:pic="http://schemas.openxmlformats.org/drawingml/2006/picture">
            <wp:extent cx="5303520" cy="2966340"/>
            <wp:docPr id="5" name="Picture 5"/>
            <wp:cNvGraphicFramePr>
              <a:graphicFrameLocks noChangeAspect="1"/>
            </wp:cNvGraphicFramePr>
            <a:graphic>
              <a:graphicData uri="http://schemas.openxmlformats.org/drawingml/2006/picture">
                <pic:pic>
                  <pic:nvPicPr>
                    <pic:cNvPr id="0" name="Figure_3_2022_Extreme_Flood_Hydrograph_Zoom.png"/>
                    <pic:cNvPicPr/>
                  </pic:nvPicPr>
                  <pic:blipFill>
                    <a:blip r:embed="rId13"/>
                    <a:stretch>
                      <a:fillRect/>
                    </a:stretch>
                  </pic:blipFill>
                  <pic:spPr>
                    <a:xfrm>
                      <a:off x="0" y="0"/>
                      <a:ext cx="5303520" cy="2966340"/>
                    </a:xfrm>
                    <a:prstGeom prst="rect"/>
                  </pic:spPr>
                </pic:pic>
              </a:graphicData>
            </a:graphic>
          </wp:inline>
        </w:drawing>
      </w:r>
    </w:p>
    <w:p>
      <w:pPr>
        <w:spacing w:before="120" w:after="120" w:line="276" w:lineRule="auto"/>
      </w:pPr>
      <w:r>
        <w:rPr>
          <w:rFonts w:ascii="Times New Roman" w:hAnsi="Times New Roman"/>
          <w:b/>
          <w:sz w:val="20"/>
        </w:rPr>
        <w:t xml:space="preserve">Fig. 5 </w:t>
      </w:r>
      <w:r>
        <w:rPr>
          <w:rFonts w:ascii="Times New Roman" w:hAnsi="Times New Roman"/>
          <w:sz w:val="20"/>
        </w:rPr>
        <w:t>Reconstruction of the unseen 2022 Indus Mega-Flood event in Sindh Province under extreme monsoon forcing</w:t>
      </w:r>
    </w:p>
    <w:p>
      <w:pPr>
        <w:spacing w:before="160" w:after="80"/>
        <w:jc w:val="center"/>
      </w:pPr>
      <w:r>
        <w:drawing>
          <wp:inline xmlns:a="http://schemas.openxmlformats.org/drawingml/2006/main" xmlns:pic="http://schemas.openxmlformats.org/drawingml/2006/picture">
            <wp:extent cx="5303520" cy="2031234"/>
            <wp:docPr id="6" name="Picture 6"/>
            <wp:cNvGraphicFramePr>
              <a:graphicFrameLocks noChangeAspect="1"/>
            </wp:cNvGraphicFramePr>
            <a:graphic>
              <a:graphicData uri="http://schemas.openxmlformats.org/drawingml/2006/picture">
                <pic:pic>
                  <pic:nvPicPr>
                    <pic:cNvPr id="0" name="Figure_4_Ablation_Study_Comparison.png"/>
                    <pic:cNvPicPr/>
                  </pic:nvPicPr>
                  <pic:blipFill>
                    <a:blip r:embed="rId14"/>
                    <a:stretch>
                      <a:fillRect/>
                    </a:stretch>
                  </pic:blipFill>
                  <pic:spPr>
                    <a:xfrm>
                      <a:off x="0" y="0"/>
                      <a:ext cx="5303520" cy="2031234"/>
                    </a:xfrm>
                    <a:prstGeom prst="rect"/>
                  </pic:spPr>
                </pic:pic>
              </a:graphicData>
            </a:graphic>
          </wp:inline>
        </w:drawing>
      </w:r>
    </w:p>
    <w:p>
      <w:pPr>
        <w:spacing w:before="120" w:after="120" w:line="276" w:lineRule="auto"/>
      </w:pPr>
      <w:r>
        <w:rPr>
          <w:rFonts w:ascii="Times New Roman" w:hAnsi="Times New Roman"/>
          <w:b/>
          <w:sz w:val="20"/>
        </w:rPr>
        <w:t xml:space="preserve">Fig. 6 </w:t>
      </w:r>
      <w:r>
        <w:rPr>
          <w:rFonts w:ascii="Times New Roman" w:hAnsi="Times New Roman"/>
          <w:sz w:val="20"/>
        </w:rPr>
        <w:t>Systematic ablation comparison showing (a) extreme-event KGE during the unseen 2022 flood and (b) peak flow bias magnitude (|FHV|) across model variants</w:t>
      </w:r>
    </w:p>
    <w:p>
      <w:pPr>
        <w:spacing w:before="200" w:after="80" w:line="276" w:lineRule="auto"/>
        <w:jc w:val="left"/>
      </w:pPr>
      <w:r>
        <w:rPr>
          <w:rFonts w:ascii="Times New Roman" w:hAnsi="Times New Roman"/>
          <w:b/>
          <w:i w:val="0"/>
          <w:sz w:val="23"/>
        </w:rPr>
        <w:t>5.1 Unseen extreme flood generalization</w:t>
      </w:r>
    </w:p>
    <w:p>
      <w:pPr>
        <w:spacing w:before="0" w:after="120" w:line="276" w:lineRule="auto"/>
        <w:jc w:val="left"/>
      </w:pPr>
      <w:r>
        <w:rPr>
          <w:rFonts w:ascii="Times New Roman" w:hAnsi="Times New Roman"/>
          <w:b w:val="0"/>
          <w:i w:val="0"/>
          <w:sz w:val="22"/>
        </w:rPr>
        <w:t>As shown in Fig. 3, Fig. 4, and Fig. 5, when evaluated on the completely unseen 2022 super-flood, PG-MCH achieved KGE = 0.879 with a minimal peak underestimation bias of FHV = -9.4% (Table 2). In stark contrast, unconstrained Random Forest collapsed to KGE = 0.532 with severe peak dampening (FHV = -30.9%), while gradient boosting collapsed to KGE = 0.589 (FHV = -29.1%). Over the combined 2022–2024 out-of-sample period, PG-MCH maintained superior overall efficiency (KGE = 0.902 [0.86, 0.95], NSE = 0.990).</w:t>
      </w:r>
    </w:p>
    <w:p>
      <w:pPr>
        <w:spacing w:before="200" w:after="80" w:line="276" w:lineRule="auto"/>
        <w:jc w:val="left"/>
      </w:pPr>
      <w:r>
        <w:rPr>
          <w:rFonts w:ascii="Times New Roman" w:hAnsi="Times New Roman"/>
          <w:b/>
          <w:i w:val="0"/>
          <w:sz w:val="23"/>
        </w:rPr>
        <w:t>5.2 Ablation study and physical interpretation of features</w:t>
      </w:r>
    </w:p>
    <w:p>
      <w:pPr>
        <w:spacing w:before="0" w:after="120" w:line="276" w:lineRule="auto"/>
        <w:jc w:val="left"/>
      </w:pPr>
      <w:r>
        <w:rPr>
          <w:rFonts w:ascii="Times New Roman" w:hAnsi="Times New Roman"/>
          <w:b w:val="0"/>
          <w:i w:val="0"/>
          <w:sz w:val="22"/>
        </w:rPr>
        <w:t>Table 3 and Fig. 6 summarize the systematic ablation experiments, proving that anchoring residual decision tree ensembles to a non-negative water-balance baseline substantially improves extreme flood generalization.</w:t>
      </w:r>
    </w:p>
    <w:p>
      <w:pPr>
        <w:spacing w:before="280" w:after="120" w:line="276" w:lineRule="auto"/>
        <w:jc w:val="left"/>
      </w:pPr>
      <w:r>
        <w:rPr>
          <w:rFonts w:ascii="Times New Roman" w:hAnsi="Times New Roman"/>
          <w:b/>
          <w:i w:val="0"/>
          <w:sz w:val="26"/>
        </w:rPr>
        <w:t>6 Practical implications for water management</w:t>
      </w:r>
    </w:p>
    <w:p>
      <w:pPr>
        <w:spacing w:before="0" w:after="120" w:line="276" w:lineRule="auto"/>
        <w:jc w:val="left"/>
      </w:pPr>
      <w:r>
        <w:rPr>
          <w:rFonts w:ascii="Times New Roman" w:hAnsi="Times New Roman"/>
          <w:b w:val="0"/>
          <w:i w:val="0"/>
          <w:sz w:val="22"/>
        </w:rPr>
        <w:t>The monthly PG-MCH framework provides practical utility for regional water authorities by delivering 1-to-3 month volumetric forecasts for Guddu, Sukkur, and Kotri Barrages and assisting in storage pressure assessment at Manchar Lake.</w:t>
      </w:r>
    </w:p>
    <w:p>
      <w:pPr>
        <w:spacing w:before="280" w:after="120" w:line="276" w:lineRule="auto"/>
        <w:jc w:val="left"/>
      </w:pPr>
      <w:r>
        <w:rPr>
          <w:rFonts w:ascii="Times New Roman" w:hAnsi="Times New Roman"/>
          <w:b/>
          <w:i w:val="0"/>
          <w:sz w:val="26"/>
        </w:rPr>
        <w:t>7 Limitations and future work</w:t>
      </w:r>
    </w:p>
    <w:p>
      <w:pPr>
        <w:spacing w:before="0" w:after="120" w:line="276" w:lineRule="auto"/>
        <w:jc w:val="left"/>
      </w:pPr>
      <w:r>
        <w:rPr>
          <w:rFonts w:ascii="Times New Roman" w:hAnsi="Times New Roman"/>
          <w:b w:val="0"/>
          <w:i w:val="0"/>
          <w:sz w:val="22"/>
        </w:rPr>
        <w:t>• Temporal resolution: The monthly time step does not resolve daily/sub-daily flash flood hydrographs in Kirthar hill torrents.</w:t>
      </w:r>
    </w:p>
    <w:p>
      <w:pPr>
        <w:spacing w:before="0" w:after="120" w:line="276" w:lineRule="auto"/>
        <w:jc w:val="left"/>
      </w:pPr>
      <w:r>
        <w:rPr>
          <w:rFonts w:ascii="Times New Roman" w:hAnsi="Times New Roman"/>
          <w:b w:val="0"/>
          <w:i w:val="0"/>
          <w:sz w:val="22"/>
        </w:rPr>
        <w:t>• Spatial scale: 0.05° CHIRPS and 0.1° ERA5-Land grids do not resolve micro-embankments or localized urban drainage.</w:t>
      </w:r>
    </w:p>
    <w:p>
      <w:pPr>
        <w:spacing w:before="0" w:after="120" w:line="276" w:lineRule="auto"/>
        <w:jc w:val="left"/>
      </w:pPr>
      <w:r>
        <w:rPr>
          <w:rFonts w:ascii="Times New Roman" w:hAnsi="Times New Roman"/>
          <w:b w:val="0"/>
          <w:i w:val="0"/>
          <w:sz w:val="22"/>
        </w:rPr>
        <w:t>• Future extension: Ingesting daily Sentinel-1 SAR inundation maps (Tian et al., 2023) and coupling with daily hydraulic models (e.g., HEC-RAS 2D).</w:t>
      </w:r>
    </w:p>
    <w:p>
      <w:pPr>
        <w:spacing w:before="280" w:after="120" w:line="276" w:lineRule="auto"/>
        <w:jc w:val="left"/>
      </w:pPr>
      <w:r>
        <w:rPr>
          <w:rFonts w:ascii="Times New Roman" w:hAnsi="Times New Roman"/>
          <w:b/>
          <w:i w:val="0"/>
          <w:sz w:val="26"/>
        </w:rPr>
        <w:t>8 Conclusion</w:t>
      </w:r>
    </w:p>
    <w:p>
      <w:pPr>
        <w:spacing w:before="0" w:after="120" w:line="276" w:lineRule="auto"/>
        <w:jc w:val="left"/>
      </w:pPr>
      <w:r>
        <w:rPr>
          <w:rFonts w:ascii="Times New Roman" w:hAnsi="Times New Roman"/>
          <w:b w:val="0"/>
          <w:i w:val="0"/>
          <w:sz w:val="22"/>
        </w:rPr>
        <w:t>This study demonstrates that anchoring residual decision tree ensembles to a non-negative, regularized water-balance baseline substantially improves extreme flood generalization in the Lower Indus Basin. When tested on the unseen 2022 Super-Flood, PG-MCH preserved peak volumetric runoff while unconstrained machine learning suffered severe peak dampening.</w:t>
      </w:r>
    </w:p>
    <w:p>
      <w:pPr>
        <w:spacing w:before="280" w:after="120" w:line="276" w:lineRule="auto"/>
        <w:jc w:val="left"/>
      </w:pPr>
      <w:r>
        <w:rPr>
          <w:rFonts w:ascii="Times New Roman" w:hAnsi="Times New Roman"/>
          <w:b/>
          <w:i w:val="0"/>
          <w:sz w:val="26"/>
        </w:rPr>
        <w:t>Statements and Declarations</w:t>
      </w:r>
    </w:p>
    <w:p>
      <w:pPr>
        <w:spacing w:before="200" w:after="80" w:line="276" w:lineRule="auto"/>
        <w:jc w:val="left"/>
      </w:pPr>
      <w:r>
        <w:rPr>
          <w:rFonts w:ascii="Times New Roman" w:hAnsi="Times New Roman"/>
          <w:b/>
          <w:i w:val="0"/>
          <w:sz w:val="23"/>
        </w:rPr>
        <w:t>Funding</w:t>
      </w:r>
    </w:p>
    <w:p>
      <w:pPr>
        <w:spacing w:before="0" w:after="120" w:line="276" w:lineRule="auto"/>
        <w:jc w:val="left"/>
      </w:pPr>
      <w:r>
        <w:rPr>
          <w:rFonts w:ascii="Times New Roman" w:hAnsi="Times New Roman"/>
          <w:b w:val="0"/>
          <w:i w:val="0"/>
          <w:sz w:val="22"/>
        </w:rPr>
        <w:t>No specific research grant funding was received for conducting this study.</w:t>
      </w:r>
    </w:p>
    <w:p>
      <w:pPr>
        <w:spacing w:before="200" w:after="80" w:line="276" w:lineRule="auto"/>
        <w:jc w:val="left"/>
      </w:pPr>
      <w:r>
        <w:rPr>
          <w:rFonts w:ascii="Times New Roman" w:hAnsi="Times New Roman"/>
          <w:b/>
          <w:i w:val="0"/>
          <w:sz w:val="23"/>
        </w:rPr>
        <w:t>Competing Interests</w:t>
      </w:r>
    </w:p>
    <w:p>
      <w:pPr>
        <w:spacing w:before="0" w:after="120" w:line="276" w:lineRule="auto"/>
        <w:jc w:val="left"/>
      </w:pPr>
      <w:r>
        <w:rPr>
          <w:rFonts w:ascii="Times New Roman" w:hAnsi="Times New Roman"/>
          <w:b w:val="0"/>
          <w:i w:val="0"/>
          <w:sz w:val="22"/>
        </w:rPr>
        <w:t>The authors have no relevant financial or non-financial interests to disclose.</w:t>
      </w:r>
    </w:p>
    <w:p>
      <w:pPr>
        <w:spacing w:before="200" w:after="80" w:line="276" w:lineRule="auto"/>
        <w:jc w:val="left"/>
      </w:pPr>
      <w:r>
        <w:rPr>
          <w:rFonts w:ascii="Times New Roman" w:hAnsi="Times New Roman"/>
          <w:b/>
          <w:i w:val="0"/>
          <w:sz w:val="23"/>
        </w:rPr>
        <w:t>Author Contributions</w:t>
      </w:r>
    </w:p>
    <w:p>
      <w:pPr>
        <w:spacing w:before="0" w:after="120" w:line="276" w:lineRule="auto"/>
        <w:jc w:val="left"/>
      </w:pPr>
      <w:r>
        <w:rPr>
          <w:rFonts w:ascii="Times New Roman" w:hAnsi="Times New Roman"/>
          <w:b w:val="0"/>
          <w:i w:val="0"/>
          <w:sz w:val="22"/>
        </w:rPr>
        <w:t>Mirza Muhammad Muzzamil conceived the research framework, designed the physics-anchored hybrid architecture, executed Google Earth Engine data pipelines, conducted hydrological model calibration and holdout evaluations, synthesized experimental results, and prepared the manuscript.</w:t>
      </w:r>
    </w:p>
    <w:p>
      <w:pPr>
        <w:spacing w:before="200" w:after="80" w:line="276" w:lineRule="auto"/>
        <w:jc w:val="left"/>
      </w:pPr>
      <w:r>
        <w:rPr>
          <w:rFonts w:ascii="Times New Roman" w:hAnsi="Times New Roman"/>
          <w:b/>
          <w:i w:val="0"/>
          <w:sz w:val="23"/>
        </w:rPr>
        <w:t>Data Availability</w:t>
      </w:r>
    </w:p>
    <w:p>
      <w:pPr>
        <w:spacing w:before="0" w:after="120" w:line="276" w:lineRule="auto"/>
        <w:jc w:val="left"/>
      </w:pPr>
      <w:r>
        <w:rPr>
          <w:rFonts w:ascii="Times New Roman" w:hAnsi="Times New Roman"/>
          <w:b w:val="0"/>
          <w:i w:val="0"/>
          <w:sz w:val="22"/>
        </w:rPr>
        <w:t>The Earth observation datasets analyzed in this study are publicly available in Google Earth Engine (CHIRPS: UCSB-CHG/CHIRPS/DAILY; ERA5-Land: ECMWF/ERA5_LAND/DAILY_AGGR; SMAP: NASA/SMAP/SPL4SMGP/008; GRACE: NASA/GRACE/MASS_GRIDS_V04/LAND). All telemetry data and python source code are archived at GitHub: https://github.com/mirzamuzzamilbaig/Physics-Anchored-Hybrid-Hydrological-Modeling.</w:t>
      </w:r>
    </w:p>
    <w:p>
      <w:pPr>
        <w:spacing w:before="200" w:after="80" w:line="276" w:lineRule="auto"/>
        <w:jc w:val="left"/>
      </w:pPr>
      <w:r>
        <w:rPr>
          <w:rFonts w:ascii="Times New Roman" w:hAnsi="Times New Roman"/>
          <w:b/>
          <w:i w:val="0"/>
          <w:sz w:val="23"/>
        </w:rPr>
        <w:t>Acknowledgements</w:t>
      </w:r>
    </w:p>
    <w:p>
      <w:pPr>
        <w:spacing w:before="0" w:after="120" w:line="276" w:lineRule="auto"/>
        <w:jc w:val="left"/>
      </w:pPr>
      <w:r>
        <w:rPr>
          <w:rFonts w:ascii="Times New Roman" w:hAnsi="Times New Roman"/>
          <w:b w:val="0"/>
          <w:i w:val="0"/>
          <w:sz w:val="22"/>
        </w:rPr>
        <w:t>The authors express gratitude to the Sindh Irrigation Department and Federal Flood Commission (FFC) for providing barrage telemetry data.</w:t>
      </w:r>
    </w:p>
    <w:p>
      <w:pPr>
        <w:spacing w:before="280" w:after="120" w:line="276" w:lineRule="auto"/>
        <w:jc w:val="left"/>
      </w:pPr>
      <w:r>
        <w:rPr>
          <w:rFonts w:ascii="Times New Roman" w:hAnsi="Times New Roman"/>
          <w:b/>
          <w:i w:val="0"/>
          <w:sz w:val="26"/>
        </w:rPr>
        <w:t>References</w:t>
      </w:r>
    </w:p>
    <w:p>
      <w:pPr>
        <w:spacing w:before="40" w:after="80" w:line="276" w:lineRule="auto"/>
        <w:ind w:left="360" w:hanging="360"/>
        <w:jc w:val="left"/>
      </w:pPr>
      <w:r>
        <w:rPr>
          <w:rFonts w:ascii="Times New Roman" w:hAnsi="Times New Roman"/>
          <w:b w:val="0"/>
          <w:i w:val="0"/>
          <w:sz w:val="22"/>
        </w:rPr>
        <w:t>Biemans, H., Siderius, C., Mishra, V., &amp; Ahmad, B. (2016). Future water resources for food production in Five South Asian River Basins and potential for adaptation. Hydrology and Earth System Sciences, 20(9), 3711–3731. https://doi.org/10.5194/hess-20-3711-2016</w:t>
      </w:r>
    </w:p>
    <w:p>
      <w:pPr>
        <w:spacing w:before="40" w:after="80" w:line="276" w:lineRule="auto"/>
        <w:ind w:left="360" w:hanging="360"/>
        <w:jc w:val="left"/>
      </w:pPr>
      <w:r>
        <w:rPr>
          <w:rFonts w:ascii="Times New Roman" w:hAnsi="Times New Roman"/>
          <w:b w:val="0"/>
          <w:i w:val="0"/>
          <w:sz w:val="22"/>
        </w:rPr>
        <w:t>Entekhabi, D., Njoku, E. G., O'Neill, P. E., Kellogg, K. H., Crow, W. T., Edelstein, W. N., Entin, J. K., Goodman, S. D., Jackson, T. J., Johnson, J., &amp; others. (2010). The Soil Moisture Active Passive (SMAP) mission. Proceedings of the IEEE, 98(5), 704–716. https://doi.org/10.1109/JPROC.2010.2043918</w:t>
      </w:r>
    </w:p>
    <w:p>
      <w:pPr>
        <w:spacing w:before="40" w:after="80" w:line="276" w:lineRule="auto"/>
        <w:ind w:left="360" w:hanging="360"/>
        <w:jc w:val="left"/>
      </w:pPr>
      <w:r>
        <w:rPr>
          <w:rFonts w:ascii="Times New Roman" w:hAnsi="Times New Roman"/>
          <w:b w:val="0"/>
          <w:i w:val="0"/>
          <w:sz w:val="22"/>
        </w:rPr>
        <w:t>Farr, T. G., Rosen, P. A., Caro, E., Crippen, R., Duren, R., Hensley, S., Kobrick, M., Paller, M., Rodriguez, E., Roth, L., &amp; others. (2007). The Shuttle Radar Topography Mission. Reviews of Geophysics, 45(2), RG2004. https://doi.org/10.1029/2005RG000183</w:t>
      </w:r>
    </w:p>
    <w:p>
      <w:pPr>
        <w:spacing w:before="40" w:after="80" w:line="276" w:lineRule="auto"/>
        <w:ind w:left="360" w:hanging="360"/>
        <w:jc w:val="left"/>
      </w:pPr>
      <w:r>
        <w:rPr>
          <w:rFonts w:ascii="Times New Roman" w:hAnsi="Times New Roman"/>
          <w:b w:val="0"/>
          <w:i w:val="0"/>
          <w:sz w:val="22"/>
        </w:rPr>
        <w:t>Frame, J. M., Kratzert, F., Raney, A., Rahman, M., Salas, F. R., &amp; Nearing, G. S. (2022). Post-processing hydrological models with deep learning: Exploring the continuum between physics and data-driven methods. Hydrological Processes, 36(9), e14674. https://doi.org/10.1002/hyp.14674</w:t>
      </w:r>
    </w:p>
    <w:p>
      <w:pPr>
        <w:spacing w:before="40" w:after="80" w:line="276" w:lineRule="auto"/>
        <w:ind w:left="360" w:hanging="360"/>
        <w:jc w:val="left"/>
      </w:pPr>
      <w:r>
        <w:rPr>
          <w:rFonts w:ascii="Times New Roman" w:hAnsi="Times New Roman"/>
          <w:b w:val="0"/>
          <w:i w:val="0"/>
          <w:sz w:val="22"/>
        </w:rPr>
        <w:t>Funk, C., Peterson, P., Landsfeld, M., Pedreros, D., Verdin, J., Shukla, S., Husak, G., Rowland, J., Harrison, L., Hoell, A., &amp; others. (2015). The climate hazards infrared precipitation with stations---a new environmental record for monitoring extremes. Scientific Data, 2(1), 150066. https://doi.org/10.1038/sdata.2015.66</w:t>
      </w:r>
    </w:p>
    <w:p>
      <w:pPr>
        <w:spacing w:before="40" w:after="80" w:line="276" w:lineRule="auto"/>
        <w:ind w:left="360" w:hanging="360"/>
        <w:jc w:val="left"/>
      </w:pPr>
      <w:r>
        <w:rPr>
          <w:rFonts w:ascii="Times New Roman" w:hAnsi="Times New Roman"/>
          <w:b w:val="0"/>
          <w:i w:val="0"/>
          <w:sz w:val="22"/>
        </w:rPr>
        <w:t>Gorelick, N., Hancher, M., Dixon, M., Ilyushchenko, I., Thau, D., &amp; Moore, R. (2017). Google Earth Engine: Planetary-scale geospatial analysis for everyone. Remote Sensing of Environment, 202, 18–27. https://doi.org/10.1016/j.rse.2017.06.031</w:t>
      </w:r>
    </w:p>
    <w:p>
      <w:pPr>
        <w:spacing w:before="40" w:after="80" w:line="276" w:lineRule="auto"/>
        <w:ind w:left="360" w:hanging="360"/>
        <w:jc w:val="left"/>
      </w:pPr>
      <w:r>
        <w:rPr>
          <w:rFonts w:ascii="Times New Roman" w:hAnsi="Times New Roman"/>
          <w:b w:val="0"/>
          <w:i w:val="0"/>
          <w:sz w:val="22"/>
        </w:rPr>
        <w:t>Gupta, H. V., Kling, H., Yilmaz, K. K., &amp; Martinez, G. F. (2009). Decomposition of the mean squared error and NSE performance criteria: Implications for improving hydrological modelling. Journal of Hydrology, 377(1-2), 80–91. https://doi.org/10.1016/j.jhydrol.2009.08.003</w:t>
      </w:r>
    </w:p>
    <w:p>
      <w:pPr>
        <w:spacing w:before="40" w:after="80" w:line="276" w:lineRule="auto"/>
        <w:ind w:left="360" w:hanging="360"/>
        <w:jc w:val="left"/>
      </w:pPr>
      <w:r>
        <w:rPr>
          <w:rFonts w:ascii="Times New Roman" w:hAnsi="Times New Roman"/>
          <w:b w:val="0"/>
          <w:i w:val="0"/>
          <w:sz w:val="22"/>
        </w:rPr>
        <w:t>Hashmi, H. N., Siddiqui, M. A., &amp; Qureshi, A. L. (2022). Hydrodynamic evaluation of flood routing and barrage breaches in the Lower Indus River during extreme monsoon events. Journal of Flood Risk Management, 15(3), e12810. https://doi.org/10.1111/jfr3.12810</w:t>
      </w:r>
    </w:p>
    <w:p>
      <w:pPr>
        <w:spacing w:before="40" w:after="80" w:line="276" w:lineRule="auto"/>
        <w:ind w:left="360" w:hanging="360"/>
        <w:jc w:val="left"/>
      </w:pPr>
      <w:r>
        <w:rPr>
          <w:rFonts w:ascii="Times New Roman" w:hAnsi="Times New Roman"/>
          <w:b w:val="0"/>
          <w:i w:val="0"/>
          <w:sz w:val="22"/>
        </w:rPr>
        <w:t>Immerzeel, W. W., Lutz, A. F., Andrade, M., &amp; others. (2020). Importance and vulnerability of the world's water towers. Nature, 577(7790), 364–369. https://doi.org/10.1038/s41586-019-1822-y</w:t>
      </w:r>
    </w:p>
    <w:p>
      <w:pPr>
        <w:spacing w:before="40" w:after="80" w:line="276" w:lineRule="auto"/>
        <w:ind w:left="360" w:hanging="360"/>
        <w:jc w:val="left"/>
      </w:pPr>
      <w:r>
        <w:rPr>
          <w:rFonts w:ascii="Times New Roman" w:hAnsi="Times New Roman"/>
          <w:b w:val="0"/>
          <w:i w:val="0"/>
          <w:sz w:val="22"/>
        </w:rPr>
        <w:t>Inam, A., Clift, P. D., Giosan, L., &amp; others. (2007). The geographic and geological context of the Indus River. In Large Rivers: Geomorphology and Management (pp. 263–274). John Wiley &amp; Sons. https://doi.org/10.1002/9780470723722.ch16</w:t>
      </w:r>
    </w:p>
    <w:p>
      <w:pPr>
        <w:spacing w:before="40" w:after="80" w:line="276" w:lineRule="auto"/>
        <w:ind w:left="360" w:hanging="360"/>
        <w:jc w:val="left"/>
      </w:pPr>
      <w:r>
        <w:rPr>
          <w:rFonts w:ascii="Times New Roman" w:hAnsi="Times New Roman"/>
          <w:b w:val="0"/>
          <w:i w:val="0"/>
          <w:sz w:val="22"/>
        </w:rPr>
        <w:t>Jia, X., Willard, J., Karpatne, A., Read, J. S., Zwart, J. A., Steinbach, M., &amp; Kumar, V. (2021). Physics-guided machine learning for scientific discovery: An application in simulating lake water temperature. ACM Transactions on Data Science, 2(3), 1–26. https://doi.org/10.1145/3447814</w:t>
      </w:r>
    </w:p>
    <w:p>
      <w:pPr>
        <w:spacing w:before="40" w:after="80" w:line="276" w:lineRule="auto"/>
        <w:ind w:left="360" w:hanging="360"/>
        <w:jc w:val="left"/>
      </w:pPr>
      <w:r>
        <w:rPr>
          <w:rFonts w:ascii="Times New Roman" w:hAnsi="Times New Roman"/>
          <w:b w:val="0"/>
          <w:i w:val="0"/>
          <w:sz w:val="22"/>
        </w:rPr>
        <w:t>Karpatne, A., Watkins, W., Read, J. S., &amp; Kumar, V. (2017). Physics-guided neural networks (PGNN): An application in simulating lake temperature profiles. IEEE Transactions on Knowledge and Data Engineering, 30(8), 1519–1532. https://doi.org/10.1109/TKDE.2017.2720168</w:t>
      </w:r>
    </w:p>
    <w:p>
      <w:pPr>
        <w:spacing w:before="40" w:after="80" w:line="276" w:lineRule="auto"/>
        <w:ind w:left="360" w:hanging="360"/>
        <w:jc w:val="left"/>
      </w:pPr>
      <w:r>
        <w:rPr>
          <w:rFonts w:ascii="Times New Roman" w:hAnsi="Times New Roman"/>
          <w:b w:val="0"/>
          <w:i w:val="0"/>
          <w:sz w:val="22"/>
        </w:rPr>
        <w:t>Kratzert, F., Klotz, D., Brenner, C., Schulz, K., &amp; Herrnegger, M. (2018). Rainfall--runoff modelling using Long Short-Term Memory (LSTM) networks. Hydrology and Earth System Sciences, 22(11), 6005–6022. https://doi.org/10.5194/hess-22-6005-2018</w:t>
      </w:r>
    </w:p>
    <w:p>
      <w:pPr>
        <w:spacing w:before="40" w:after="80" w:line="276" w:lineRule="auto"/>
        <w:ind w:left="360" w:hanging="360"/>
        <w:jc w:val="left"/>
      </w:pPr>
      <w:r>
        <w:rPr>
          <w:rFonts w:ascii="Times New Roman" w:hAnsi="Times New Roman"/>
          <w:b w:val="0"/>
          <w:i w:val="0"/>
          <w:sz w:val="22"/>
        </w:rPr>
        <w:t>Kratzert, F., Klotz, D., Herrnegger, M., Sampson, A. K., Hochreiter, S., &amp; Nearing, G. S. (2019). Towards learning universal, regionalized rainfall-runoff representations. Hydrology and Earth System Sciences, 23(12), 5089–5110. https://doi.org/10.5194/hess-23-5089-2019</w:t>
      </w:r>
    </w:p>
    <w:p>
      <w:pPr>
        <w:spacing w:before="40" w:after="80" w:line="276" w:lineRule="auto"/>
        <w:ind w:left="360" w:hanging="360"/>
        <w:jc w:val="left"/>
      </w:pPr>
      <w:r>
        <w:rPr>
          <w:rFonts w:ascii="Times New Roman" w:hAnsi="Times New Roman"/>
          <w:b w:val="0"/>
          <w:i w:val="0"/>
          <w:sz w:val="22"/>
        </w:rPr>
        <w:t>Muñoz-Sabater, J., Dutra, E., Agustí-Panareda, A., Albergel, C., Arduini, G., Balsamo, G., Boussetta, S., Choulga, M., Harrigan, S., Hersbach, H., &amp; others. (2021). ERA5-Land: a state-of-the-art global reanalysis dataset for land applications. Earth System Science Data, 13(9), 4349–4383. https://doi.org/10.5194/essd-13-4349-2021</w:t>
      </w:r>
    </w:p>
    <w:p>
      <w:pPr>
        <w:spacing w:before="40" w:after="80" w:line="276" w:lineRule="auto"/>
        <w:ind w:left="360" w:hanging="360"/>
        <w:jc w:val="left"/>
      </w:pPr>
      <w:r>
        <w:rPr>
          <w:rFonts w:ascii="Times New Roman" w:hAnsi="Times New Roman"/>
          <w:b w:val="0"/>
          <w:i w:val="0"/>
          <w:sz w:val="22"/>
        </w:rPr>
        <w:t>Nanditha, J. S., Kushwaha, A., Singh, R., Malik, I., &amp; Mishra, V. (2023). The 2022 Pakistan floods: Was it a compound disaster? Environmental Research Letters, 18(4), 044005. https://doi.org/10.1088/1748-9326/acc5f4</w:t>
      </w:r>
    </w:p>
    <w:p>
      <w:pPr>
        <w:spacing w:before="40" w:after="80" w:line="276" w:lineRule="auto"/>
        <w:ind w:left="360" w:hanging="360"/>
        <w:jc w:val="left"/>
      </w:pPr>
      <w:r>
        <w:rPr>
          <w:rFonts w:ascii="Times New Roman" w:hAnsi="Times New Roman"/>
          <w:b w:val="0"/>
          <w:i w:val="0"/>
          <w:sz w:val="22"/>
        </w:rPr>
        <w:t>Nearing, G., Cohen, D., Doidge, V., &amp; others. (2024). Global prediction of extreme floods in ungauged watersheds. Nature, 627(8004), 559–563. https://doi.org/10.1038/s41586-024-07145-1</w:t>
      </w:r>
    </w:p>
    <w:p>
      <w:pPr>
        <w:spacing w:before="40" w:after="80" w:line="276" w:lineRule="auto"/>
        <w:ind w:left="360" w:hanging="360"/>
        <w:jc w:val="left"/>
      </w:pPr>
      <w:r>
        <w:rPr>
          <w:rFonts w:ascii="Times New Roman" w:hAnsi="Times New Roman"/>
          <w:b w:val="0"/>
          <w:i w:val="0"/>
          <w:sz w:val="22"/>
        </w:rPr>
        <w:t>Perrin, C., Michel, C., &amp; Andréassian, V. (2003). Improvement of a parsimonious model for rainfall-runoff modelling. Journal of Hydrology, 279(1-4), 275–289. https://doi.org/10.1016/S0022-1694(03)00225-7</w:t>
      </w:r>
    </w:p>
    <w:p>
      <w:pPr>
        <w:spacing w:before="40" w:after="80" w:line="276" w:lineRule="auto"/>
        <w:ind w:left="360" w:hanging="360"/>
        <w:jc w:val="left"/>
      </w:pPr>
      <w:r>
        <w:rPr>
          <w:rFonts w:ascii="Times New Roman" w:hAnsi="Times New Roman"/>
          <w:b w:val="0"/>
          <w:i w:val="0"/>
          <w:sz w:val="22"/>
        </w:rPr>
        <w:t>Read, J. S., Jia, X., Willard, J., &amp; others. (2019). Process-guided deep learning predictions of lake water temperature. Water Resources Research, 55(11), 9173–9190. https://doi.org/10.1029/2019WR024922</w:t>
      </w:r>
    </w:p>
    <w:p>
      <w:pPr>
        <w:spacing w:before="40" w:after="80" w:line="276" w:lineRule="auto"/>
        <w:ind w:left="360" w:hanging="360"/>
        <w:jc w:val="left"/>
      </w:pPr>
      <w:r>
        <w:rPr>
          <w:rFonts w:ascii="Times New Roman" w:hAnsi="Times New Roman"/>
          <w:b w:val="0"/>
          <w:i w:val="0"/>
          <w:sz w:val="22"/>
        </w:rPr>
        <w:t>Rodell, M., Famiglietti, J. S., Wiese, D. N., Reager, J. T., Beaudoing, H. K., Landerer, F. W., &amp; Lo, M. H. (2018). Emerging trends in global freshwater availability. Nature, 557(7707), 651–659. https://doi.org/10.1038/s41586-018-0123-1</w:t>
      </w:r>
    </w:p>
    <w:p>
      <w:pPr>
        <w:spacing w:before="40" w:after="80" w:line="276" w:lineRule="auto"/>
        <w:ind w:left="360" w:hanging="360"/>
        <w:jc w:val="left"/>
      </w:pPr>
      <w:r>
        <w:rPr>
          <w:rFonts w:ascii="Times New Roman" w:hAnsi="Times New Roman"/>
          <w:b w:val="0"/>
          <w:i w:val="0"/>
          <w:sz w:val="22"/>
        </w:rPr>
        <w:t>Syed, F. S., Mughal, V., &amp; Tariq, S. (2022). Analysis of historic 2022 monsoons and transboundary runoff dynamics in the Indus River Basin. International Journal of Climatology, 42(12), 6450–6468. https://doi.org/10.1002/joc.7654</w:t>
      </w:r>
    </w:p>
    <w:p>
      <w:pPr>
        <w:spacing w:before="40" w:after="80" w:line="276" w:lineRule="auto"/>
        <w:ind w:left="360" w:hanging="360"/>
        <w:jc w:val="left"/>
      </w:pPr>
      <w:r>
        <w:rPr>
          <w:rFonts w:ascii="Times New Roman" w:hAnsi="Times New Roman"/>
          <w:b w:val="0"/>
          <w:i w:val="0"/>
          <w:sz w:val="22"/>
        </w:rPr>
        <w:t>Tapley, B. D., Watkins, M. M., Flechtner, F., Reigber, C., Bettadpur, S., Rodell, M., Sasgen, I., Famiglietti, J. S., Landerer, F. W., Chambers, D. P., &amp; others. (2019). Contributions of GRACE to understanding climate change. Nature Climate Change, 9(5), 358–369. https://doi.org/10.1038/s41558-019-0456-2</w:t>
      </w:r>
    </w:p>
    <w:p>
      <w:pPr>
        <w:spacing w:before="40" w:after="80" w:line="276" w:lineRule="auto"/>
        <w:ind w:left="360" w:hanging="360"/>
        <w:jc w:val="left"/>
      </w:pPr>
      <w:r>
        <w:rPr>
          <w:rFonts w:ascii="Times New Roman" w:hAnsi="Times New Roman"/>
          <w:b w:val="0"/>
          <w:i w:val="0"/>
          <w:sz w:val="22"/>
        </w:rPr>
        <w:t>Tian, Y., Zhang, L., Liu, X., &amp; Wang, C. (2023). Satellite Synthetic Aperture Radar (SAR) mapping of the 2022 catastrophic Pakistan floods and inundation dynamics. IEEE Transactions on Geoscience and Remote Sensing, 61, 1–14. https://doi.org/10.1109/TGRS.2023.3289012</w:t>
      </w:r>
    </w:p>
    <w:p>
      <w:pPr>
        <w:spacing w:before="40" w:after="80" w:line="276" w:lineRule="auto"/>
        <w:ind w:left="360" w:hanging="360"/>
        <w:jc w:val="left"/>
      </w:pPr>
      <w:r>
        <w:rPr>
          <w:rFonts w:ascii="Times New Roman" w:hAnsi="Times New Roman"/>
          <w:b w:val="0"/>
          <w:i w:val="0"/>
          <w:sz w:val="22"/>
        </w:rPr>
        <w:t>Willard, J., Jia, X., Xu, S., Steinbach, M., &amp; Kumar, V. (2022). Integrating physics-based models with machine learning: A survey. ACM Computing Surveys, 55(1), 1–34. https://doi.org/10.1145/3514228</w:t>
      </w:r>
    </w:p>
    <w:p>
      <w:pPr>
        <w:spacing w:before="40" w:after="80" w:line="276" w:lineRule="auto"/>
        <w:ind w:left="360" w:hanging="360"/>
        <w:jc w:val="left"/>
      </w:pPr>
      <w:r>
        <w:rPr>
          <w:rFonts w:ascii="Times New Roman" w:hAnsi="Times New Roman"/>
          <w:b w:val="0"/>
          <w:i w:val="0"/>
          <w:sz w:val="22"/>
        </w:rPr>
        <w:t>World Weather Attribution. (2022). Climate Change Increased Extreme Monsoon Rainfall, Resulting in Devastating Floods in Pakistan (Scientific Rapid Assessment Report). World Weather Attribution. https://www.worldweatherattribution.org/climate-change-increased-extreme-monsoon-rainfall-flooding-highly-vulnerable-communities-in-pakistan/</w:t>
      </w:r>
    </w:p>
    <w:p>
      <w:pPr>
        <w:spacing w:before="40" w:after="80" w:line="276" w:lineRule="auto"/>
        <w:ind w:left="360" w:hanging="360"/>
        <w:jc w:val="left"/>
      </w:pPr>
      <w:r>
        <w:rPr>
          <w:rFonts w:ascii="Times New Roman" w:hAnsi="Times New Roman"/>
          <w:b w:val="0"/>
          <w:i w:val="0"/>
          <w:sz w:val="22"/>
        </w:rPr>
        <w:t>Young, W. J., Anwar, A., Bhatti, T., &amp; others. (2019). Pakistan: Getting More from Water. World Bank Group, Washington, DC. https://doi.org/10.1596/31160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