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Physics-anchored hybrid hydrological modeling using satellite Earth observation for monthly volumetric flood risk and extreme generalization in the Lower Indus Basin, Pakistan</w:t>
      </w:r>
    </w:p>
    <w:p>
      <w:pPr>
        <w:spacing w:after="160"/>
      </w:pPr>
      <w:r>
        <w:rPr>
          <w:b w:val="0"/>
        </w:rPr>
        <w:t>Mirza Muhammad Muzzamil</w:t>
      </w:r>
      <w:r>
        <w:rPr>
          <w:vertAlign w:val="superscript"/>
        </w:rPr>
        <w:t>1*</w:t>
      </w:r>
    </w:p>
    <w:p>
      <w:pPr>
        <w:spacing w:after="240"/>
      </w:pPr>
      <w:r>
        <w:rPr>
          <w:vertAlign w:val="superscript"/>
        </w:rPr>
        <w:t xml:space="preserve">1 </w:t>
      </w:r>
      <w:r>
        <w:t>Department of Computer and Information Systems Engineering (CISE), NED University of Engineering and Technology, University Road, Karachi 75270, Sindh, Pakistan</w:t>
      </w:r>
    </w:p>
    <w:p>
      <w:pPr>
        <w:spacing w:after="40"/>
      </w:pPr>
      <w:r>
        <w:rPr>
          <w:b/>
        </w:rPr>
        <w:t>*Corresponding author</w:t>
      </w:r>
    </w:p>
    <w:p>
      <w:pPr>
        <w:spacing w:after="20"/>
      </w:pPr>
      <w:r>
        <w:t xml:space="preserve">Corresponding author's name: </w:t>
      </w:r>
      <w:r>
        <w:t>Mirza Muhammad Muzzamil</w:t>
      </w:r>
    </w:p>
    <w:p>
      <w:pPr>
        <w:spacing w:after="20"/>
      </w:pPr>
      <w:r>
        <w:t xml:space="preserve">Corresponding author's job position: </w:t>
      </w:r>
      <w:r>
        <w:t>High Performance Computing Engineer</w:t>
      </w:r>
    </w:p>
    <w:p>
      <w:pPr>
        <w:spacing w:after="20"/>
      </w:pPr>
      <w:r>
        <w:t xml:space="preserve">Corresponding author's affiliation and full mailing address: </w:t>
      </w:r>
      <w:r>
        <w:t>Department of Computer and Information Systems Engineering (CISE), NED University of Engineering and Technology, University Road, Karachi 75270, Sindh, Pakistan</w:t>
      </w:r>
    </w:p>
    <w:p>
      <w:pPr>
        <w:spacing w:after="20"/>
      </w:pPr>
      <w:r>
        <w:t xml:space="preserve">E-mail address: </w:t>
      </w:r>
      <w:r>
        <w:t>mirzamuzzamil@neduet.edu.pk</w:t>
      </w:r>
    </w:p>
    <w:p>
      <w:pPr>
        <w:spacing w:after="20"/>
      </w:pPr>
      <w:r>
        <w:t xml:space="preserve">ORCID: </w:t>
      </w:r>
      <w:r>
        <w:t>0000-0001-5258-8959</w:t>
      </w:r>
    </w:p>
    <w:p>
      <w:pPr>
        <w:spacing w:after="20"/>
      </w:pPr>
      <w:r>
        <w:t xml:space="preserve">Telephone number: </w:t>
      </w:r>
      <w:r>
        <w:t>+923342976696</w:t>
      </w:r>
    </w:p>
    <w:p>
      <w:pPr>
        <w:spacing w:after="160"/>
      </w:pPr>
    </w:p>
    <w:p>
      <w:pPr>
        <w:spacing w:after="200"/>
      </w:pPr>
      <w:r>
        <w:rPr>
          <w:b/>
        </w:rPr>
        <w:t xml:space="preserve">Short title: </w:t>
      </w:r>
      <w:r>
        <w:t>Physics-anchored hybrid hydrological modeling in the Lower Indus Basin</w:t>
      </w:r>
    </w:p>
    <w:p>
      <w:pPr>
        <w:spacing w:after="80"/>
      </w:pPr>
      <w:r>
        <w:rPr>
          <w:b/>
        </w:rPr>
        <w:t>Abstract</w:t>
      </w:r>
    </w:p>
    <w:p>
      <w:pPr>
        <w:spacing w:after="200"/>
      </w:pPr>
      <w:r>
        <w:t>Accurate monthly streamflow forecasting in managed alluvial basins remains challenging due to hydro-climatic non-stationarity and observational scarcity. While machine learning captures non-linear hydrological processes, unconstrained models suffer from physical inconsistency and peak flow dampening under out-of-distribution extremes. We present a Physics-Anchored Water-Balance Hybrid Hydroinformatics Framework (PG-MCH) for the Lower Indus Basin within Sindh, Pakistan (140,914 km²). The model couples a non-negative, L2-regularized linear water-balance baseline with multi-sensor residual gradient boosted decision trees and dual physical mass bounds. The framework ingests 2000–2024 satellite Earth observations (CHIRPS, ERA5-Land, SMAP, GRACE) alongside upstream Guddu Barrage telemetry (N = 300 months). Antecedent memory is formulated strictly as lagged storage (APIt = γ Pt-1 + γ² Pt-2), eliminating precipitation double-counting within an upper mass envelope. Calibrated on a 20-year baseline (2000–2019) and evaluated on the unseen 2022 Pakistan Mega-Flood, PG-MCH achieved KGE = 0.812 and restricted peak underestimation bias (FHV) to -4.0%, whereas unconstrained GBDT collapsed (FHV = -13.3%). Across 2020–2024 out-of-sample testing (N = 60), PG-MCH maintained KGE = 0.895 [95% CI: 0.73, 0.93], NSE = 0.838, and RMSE = 11.78 mm/month. Physical baselines effectively prevent peak collapse during extreme hydrometeorological shocks.</w:t>
      </w:r>
    </w:p>
    <w:p>
      <w:pPr>
        <w:spacing w:after="280"/>
      </w:pPr>
      <w:r>
        <w:rPr>
          <w:b/>
        </w:rPr>
        <w:t xml:space="preserve">Keywords: </w:t>
      </w:r>
      <w:r>
        <w:t>Physics-guided machine learning, Google Earth Engine, Indus River Basin, Sindh Province, Flood generalization, Water balance</w:t>
      </w:r>
    </w:p>
    <w:p>
      <w:pPr>
        <w:spacing w:after="280"/>
        <w:jc w:val="center"/>
      </w:pPr>
      <w:r>
        <w:rPr>
          <w:i/>
        </w:rPr>
        <w:t>— End of title page —</w:t>
      </w:r>
    </w:p>
    <w:p>
      <w:r>
        <w:br w:type="page"/>
      </w:r>
    </w:p>
    <w:p>
      <w:pPr>
        <w:keepNext/>
        <w:spacing w:before="240" w:after="80"/>
      </w:pPr>
      <w:r>
        <w:rPr>
          <w:b/>
          <w:sz w:val="24"/>
        </w:rPr>
        <w:t>1 Introduction</w:t>
      </w:r>
    </w:p>
    <w:p>
      <w:pPr>
        <w:spacing w:after="80"/>
      </w:pPr>
      <w: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after="80"/>
        <w:ind w:firstLine="360"/>
      </w:pPr>
      <w: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keepNext/>
        <w:spacing w:before="160" w:after="60"/>
      </w:pPr>
      <w:r>
        <w:rPr>
          <w:b/>
          <w:sz w:val="22"/>
        </w:rPr>
        <w:t>1.1 Problem background and motivation</w:t>
      </w:r>
    </w:p>
    <w:p>
      <w:pPr>
        <w:spacing w:after="80"/>
      </w:pPr>
      <w:r>
        <w:t>Hydrological prediction in heavily managed alluvial basins faces two fundamental methodological limitations:</w:t>
      </w:r>
    </w:p>
    <w:p>
      <w:pPr>
        <w:spacing w:after="80"/>
        <w:ind w:firstLine="360"/>
      </w:pPr>
      <w: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after="80"/>
        <w:ind w:firstLine="360"/>
      </w:pPr>
      <w: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keepNext/>
        <w:spacing w:before="160" w:after="60"/>
      </w:pPr>
      <w:r>
        <w:rPr>
          <w:b/>
          <w:sz w:val="22"/>
        </w:rPr>
        <w:t>1.2 Core contributions and study objectives</w:t>
      </w:r>
    </w:p>
    <w:p>
      <w:pPr>
        <w:spacing w:after="80"/>
      </w:pPr>
      <w:r>
        <w:t>To bridge the gap between physical mass conservation and machine learning flexibility at monthly basin scales, this paper provides four primary contributions:</w:t>
      </w:r>
    </w:p>
    <w:p>
      <w:pPr>
        <w:spacing w:after="80"/>
        <w:ind w:firstLine="360"/>
      </w:pPr>
      <w: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after="80"/>
        <w:ind w:firstLine="360"/>
      </w:pPr>
      <w:r>
        <w:t>(2) Mass conservation without double-counting: We strictly formalize antecedent soil moisture memory (API) as a lagged-only state variable (APIt = γ Pt-1 + γ² Pt-2), preventing the artificial double-counting of current-step precipitation and ensuring rigorous mass-balance bounding (Wtotal = P(t) + Qinflow(t) + APIt).</w:t>
      </w:r>
    </w:p>
    <w:p>
      <w:pPr>
        <w:spacing w:after="80"/>
        <w:ind w:firstLine="360"/>
      </w:pPr>
      <w:r>
        <w:t>(3) Multi-decadal baseline and extreme holdout protocol: We calibrate the framework over a 20-year baseline record (2000–2019, N = 240 months) and stress-test on the unseen 2022 Pakistan Mega-Flood and 2023–2024 post-flood recovery (N = 60 out-of-sample months).</w:t>
      </w:r>
    </w:p>
    <w:p>
      <w:pPr>
        <w:spacing w:after="80"/>
        <w:ind w:firstLine="360"/>
      </w:pPr>
      <w:r>
        <w:t>(4) Systematic physical ablation analysis: We evaluate model component contributions across extreme monsoon flood and dry-season regimes, demonstrating consistent physical degradation when physical constraints or antecedent memory are ablated.</w:t>
      </w:r>
    </w:p>
    <w:p>
      <w:pPr>
        <w:keepNext/>
        <w:spacing w:before="240" w:after="80"/>
      </w:pPr>
      <w:r>
        <w:rPr>
          <w:b/>
          <w:sz w:val="24"/>
        </w:rPr>
        <w:t>2 Literature review and gap analysis</w:t>
      </w:r>
    </w:p>
    <w:p>
      <w:pPr>
        <w:keepNext/>
        <w:spacing w:before="160" w:after="60"/>
      </w:pPr>
      <w:r>
        <w:rPr>
          <w:b/>
          <w:sz w:val="22"/>
        </w:rPr>
        <w:t>2.1 Physical hydrology of the Lower Indus Basin</w:t>
      </w:r>
    </w:p>
    <w:p>
      <w:pPr>
        <w:spacing w:after="80"/>
      </w:pPr>
      <w: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keepNext/>
        <w:spacing w:before="160" w:after="60"/>
      </w:pPr>
      <w:r>
        <w:rPr>
          <w:b/>
          <w:sz w:val="22"/>
        </w:rPr>
        <w:t>2.2 Evolution from conceptual models to deep learning</w:t>
      </w:r>
    </w:p>
    <w:p>
      <w:pPr>
        <w:spacing w:after="80"/>
      </w:pPr>
      <w: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unconstrained models are susceptible to severe sample-variance overfitting unless physically constrained (Jia et al., 2021; Willard et al., 2022).</w:t>
      </w:r>
    </w:p>
    <w:p>
      <w:pPr>
        <w:keepNext/>
        <w:spacing w:before="160" w:after="60"/>
      </w:pPr>
      <w:r>
        <w:rPr>
          <w:b/>
          <w:sz w:val="22"/>
        </w:rPr>
        <w:t>2.3 Physics-guided and hybrid machine learning</w:t>
      </w:r>
    </w:p>
    <w:p>
      <w:pPr>
        <w:spacing w:after="80"/>
      </w:pPr>
      <w: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keepNext/>
        <w:spacing w:before="160" w:after="60"/>
      </w:pPr>
      <w:r>
        <w:rPr>
          <w:b/>
          <w:sz w:val="22"/>
        </w:rPr>
        <w:t>2.4 Cloud-native Earth observation</w:t>
      </w:r>
    </w:p>
    <w:p>
      <w:pPr>
        <w:spacing w:after="80"/>
      </w:pPr>
      <w: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keepNext/>
        <w:spacing w:before="240" w:after="80"/>
      </w:pPr>
      <w:r>
        <w:rPr>
          <w:b/>
          <w:sz w:val="24"/>
        </w:rPr>
        <w:t>3 Study area and geospatial datasets</w:t>
      </w:r>
    </w:p>
    <w:p>
      <w:pPr>
        <w:keepNext/>
        <w:spacing w:before="160" w:after="80"/>
        <w:jc w:val="center"/>
      </w:pPr>
      <w:r>
        <w:drawing>
          <wp:inline xmlns:a="http://schemas.openxmlformats.org/drawingml/2006/main" xmlns:pic="http://schemas.openxmlformats.org/drawingml/2006/picture">
            <wp:extent cx="5303520" cy="6080495"/>
            <wp:docPr id="1" name="Picture 1"/>
            <wp:cNvGraphicFramePr>
              <a:graphicFrameLocks noChangeAspect="1"/>
            </wp:cNvGraphicFramePr>
            <a:graphic>
              <a:graphicData uri="http://schemas.openxmlformats.org/drawingml/2006/picture">
                <pic:pic>
                  <pic:nvPicPr>
                    <pic:cNvPr id="0" name="Figure_Study_Area_Sindh_Indus.png"/>
                    <pic:cNvPicPr/>
                  </pic:nvPicPr>
                  <pic:blipFill>
                    <a:blip r:embed="rId9"/>
                    <a:stretch>
                      <a:fillRect/>
                    </a:stretch>
                  </pic:blipFill>
                  <pic:spPr>
                    <a:xfrm>
                      <a:off x="0" y="0"/>
                      <a:ext cx="5303520" cy="6080495"/>
                    </a:xfrm>
                    <a:prstGeom prst="rect"/>
                  </pic:spPr>
                </pic:pic>
              </a:graphicData>
            </a:graphic>
          </wp:inline>
        </w:drawing>
      </w:r>
    </w:p>
    <w:p>
      <w:pPr>
        <w:keepNext w:val="0"/>
        <w:spacing w:after="160"/>
      </w:pPr>
      <w:r>
        <w:rPr>
          <w:b/>
        </w:rPr>
        <w:t xml:space="preserve">Fig. 1 </w:t>
      </w:r>
      <w:r>
        <w:t>Study area map of the Lower Indus River Basin within Sindh Province, Pakistan, illustrating the Indus River mainstem, major barrages (Guddu, Sukkur, Kotri), Manchar Lake retention basin, digital elevation context, scale bar, and regional context inset map</w:t>
      </w:r>
    </w:p>
    <w:p>
      <w:pPr>
        <w:keepNext/>
        <w:spacing w:before="160" w:after="60"/>
      </w:pPr>
      <w:r>
        <w:rPr>
          <w:b/>
          <w:sz w:val="22"/>
        </w:rPr>
        <w:t>3.1 Study region: Lower Indus Basin in Sindh Province</w:t>
      </w:r>
    </w:p>
    <w:p>
      <w:pPr>
        <w:spacing w:after="80"/>
      </w:pPr>
      <w: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after="80"/>
        <w:ind w:firstLine="360"/>
      </w:pPr>
      <w:r>
        <w:t>Five strategic hydrological nodes were selected for spatial and hydraulic profiling:</w:t>
      </w:r>
    </w:p>
    <w:p>
      <w:pPr>
        <w:spacing w:after="80"/>
        <w:ind w:firstLine="360"/>
      </w:pPr>
      <w:r>
        <w:t>• Guddu Barrage (28.422°N, 69.711°E, Elev: 75.6 m): Primary entry point of Indus River mainstem into Sindh Province.</w:t>
      </w:r>
    </w:p>
    <w:p>
      <w:pPr>
        <w:spacing w:after="80"/>
        <w:ind w:firstLine="360"/>
      </w:pPr>
      <w:r>
        <w:t>• Sukkur Barrage (27.705°N, 68.858°E, Elev: 63.8 m): Feeds seven major irrigation canal commands.</w:t>
      </w:r>
    </w:p>
    <w:p>
      <w:pPr>
        <w:spacing w:after="80"/>
        <w:ind w:firstLine="360"/>
      </w:pPr>
      <w:r>
        <w:t>• Kotri Barrage (25.433°N, 68.324°E, Elev: 17.9 m): Lower Indus barrage regulating delta outflows to the Arabian Sea.</w:t>
      </w:r>
    </w:p>
    <w:p>
      <w:pPr>
        <w:spacing w:after="80"/>
        <w:ind w:firstLine="360"/>
      </w:pPr>
      <w:r>
        <w:t>• Manchar Lake (26.435°N, 67.665°E, Elev: 32.1 m): Major natural flood attenuation reservoir.</w:t>
      </w:r>
    </w:p>
    <w:p>
      <w:pPr>
        <w:spacing w:after="80"/>
        <w:ind w:firstLine="360"/>
      </w:pPr>
      <w:r>
        <w:t>• Indus Delta (24.747°N, 67.923°E, Elev: 11.9 m): Coastal estuarine outflow.</w:t>
      </w:r>
    </w:p>
    <w:p>
      <w:pPr>
        <w:keepNext/>
      </w:pPr>
      <w:r>
        <w:rPr>
          <w:b/>
        </w:rPr>
        <w:t xml:space="preserve">Table 1 </w:t>
      </w:r>
      <w:r>
        <w:t>Geospatial Earth Observation dataset inventory across 2000–2024 (N = 300 months) and operational variable roles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Dataset</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GEE Collection ID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Spatial Res.</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Extracted Variable</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Role in Proposed Architecture</w:t>
            </w:r>
          </w:p>
        </w:tc>
      </w:tr>
      <w:tr>
        <w:tc>
          <w:tcPr>
            <w:tcW w:type="dxa" w:w="1806"/>
            <w:tcBorders>
              <w:top w:val="none" w:sz="6" w:space="0" w:color="auto"/>
              <w:left w:val="none" w:sz="0" w:space="0" w:color="auto"/>
              <w:bottom w:val="none" w:sz="6" w:space="0" w:color="auto"/>
              <w:right w:val="none" w:sz="0" w:space="0" w:color="auto"/>
            </w:tcBorders>
          </w:tcPr>
          <w:p>
            <w:pPr>
              <w:spacing w:after="40"/>
            </w:pPr>
            <w:r>
              <w:t>CHIRPS v2.0</w:t>
            </w:r>
          </w:p>
        </w:tc>
        <w:tc>
          <w:tcPr>
            <w:tcW w:type="dxa" w:w="1806"/>
            <w:tcBorders>
              <w:top w:val="none" w:sz="6" w:space="0" w:color="auto"/>
              <w:left w:val="none" w:sz="0" w:space="0" w:color="auto"/>
              <w:bottom w:val="none" w:sz="6" w:space="0" w:color="auto"/>
              <w:right w:val="none" w:sz="0" w:space="0" w:color="auto"/>
            </w:tcBorders>
          </w:tcPr>
          <w:p>
            <w:pPr>
              <w:spacing w:after="40"/>
            </w:pPr>
            <w:r>
              <w:t>UCSB-CHG/CHIRPS/DAILY</w:t>
            </w:r>
          </w:p>
        </w:tc>
        <w:tc>
          <w:tcPr>
            <w:tcW w:type="dxa" w:w="1806"/>
            <w:tcBorders>
              <w:top w:val="none" w:sz="6" w:space="0" w:color="auto"/>
              <w:left w:val="none" w:sz="0" w:space="0" w:color="auto"/>
              <w:bottom w:val="none" w:sz="6" w:space="0" w:color="auto"/>
              <w:right w:val="none" w:sz="0" w:space="0" w:color="auto"/>
            </w:tcBorders>
          </w:tcPr>
          <w:p>
            <w:pPr>
              <w:spacing w:after="40"/>
            </w:pPr>
            <w:r>
              <w:t>0.05° (~5.5 km)</w:t>
            </w:r>
          </w:p>
        </w:tc>
        <w:tc>
          <w:tcPr>
            <w:tcW w:type="dxa" w:w="1806"/>
            <w:tcBorders>
              <w:top w:val="none" w:sz="6" w:space="0" w:color="auto"/>
              <w:left w:val="none" w:sz="0" w:space="0" w:color="auto"/>
              <w:bottom w:val="none" w:sz="6" w:space="0" w:color="auto"/>
              <w:right w:val="none" w:sz="0" w:space="0" w:color="auto"/>
            </w:tcBorders>
          </w:tcPr>
          <w:p>
            <w:pPr>
              <w:spacing w:after="40"/>
            </w:pPr>
            <w:r>
              <w:t>Monthly Precipitation P(t)</w:t>
            </w:r>
          </w:p>
        </w:tc>
        <w:tc>
          <w:tcPr>
            <w:tcW w:type="dxa" w:w="1806"/>
            <w:tcBorders>
              <w:top w:val="none" w:sz="6" w:space="0" w:color="auto"/>
              <w:left w:val="none" w:sz="0" w:space="0" w:color="auto"/>
              <w:bottom w:val="none" w:sz="6" w:space="0" w:color="auto"/>
              <w:right w:val="none" w:sz="0" w:space="0" w:color="auto"/>
            </w:tcBorders>
          </w:tcPr>
          <w:p>
            <w:pPr>
              <w:spacing w:after="40"/>
            </w:pPr>
            <w:r>
              <w:t>Active input to baseline and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ERA5-Land</w:t>
            </w:r>
          </w:p>
        </w:tc>
        <w:tc>
          <w:tcPr>
            <w:tcW w:type="dxa" w:w="1806"/>
            <w:tcBorders>
              <w:top w:val="none" w:sz="6" w:space="0" w:color="auto"/>
              <w:left w:val="none" w:sz="0" w:space="0" w:color="auto"/>
              <w:bottom w:val="none" w:sz="6" w:space="0" w:color="auto"/>
              <w:right w:val="none" w:sz="0" w:space="0" w:color="auto"/>
            </w:tcBorders>
          </w:tcPr>
          <w:p>
            <w:pPr>
              <w:spacing w:after="40"/>
            </w:pPr>
            <w:r>
              <w:t>ECMWF/ERA5_LAND/DAILY_AGGR</w:t>
            </w:r>
          </w:p>
        </w:tc>
        <w:tc>
          <w:tcPr>
            <w:tcW w:type="dxa" w:w="1806"/>
            <w:tcBorders>
              <w:top w:val="none" w:sz="6" w:space="0" w:color="auto"/>
              <w:left w:val="none" w:sz="0" w:space="0" w:color="auto"/>
              <w:bottom w:val="none" w:sz="6" w:space="0" w:color="auto"/>
              <w:right w:val="none" w:sz="0" w:space="0" w:color="auto"/>
            </w:tcBorders>
          </w:tcPr>
          <w:p>
            <w:pPr>
              <w:spacing w:after="40"/>
            </w:pPr>
            <w:r>
              <w:t>0.1° (~10 km)</w:t>
            </w:r>
          </w:p>
        </w:tc>
        <w:tc>
          <w:tcPr>
            <w:tcW w:type="dxa" w:w="1806"/>
            <w:tcBorders>
              <w:top w:val="none" w:sz="6" w:space="0" w:color="auto"/>
              <w:left w:val="none" w:sz="0" w:space="0" w:color="auto"/>
              <w:bottom w:val="none" w:sz="6" w:space="0" w:color="auto"/>
              <w:right w:val="none" w:sz="0" w:space="0" w:color="auto"/>
            </w:tcBorders>
          </w:tcPr>
          <w:p>
            <w:pPr>
              <w:spacing w:after="40"/>
            </w:pPr>
            <w:r>
              <w:t>2m Temp, Evaporation</w:t>
            </w:r>
          </w:p>
        </w:tc>
        <w:tc>
          <w:tcPr>
            <w:tcW w:type="dxa" w:w="1806"/>
            <w:tcBorders>
              <w:top w:val="none" w:sz="6" w:space="0" w:color="auto"/>
              <w:left w:val="none" w:sz="0" w:space="0" w:color="auto"/>
              <w:bottom w:val="none" w:sz="6" w:space="0" w:color="auto"/>
              <w:right w:val="none" w:sz="0" w:space="0" w:color="auto"/>
            </w:tcBorders>
          </w:tcPr>
          <w:p>
            <w:pPr>
              <w:spacing w:after="40"/>
            </w:pPr>
            <w:r>
              <w:t>Moisture deficit D = PET - P in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NASA SMAP / ERA5</w:t>
            </w:r>
          </w:p>
        </w:tc>
        <w:tc>
          <w:tcPr>
            <w:tcW w:type="dxa" w:w="1806"/>
            <w:tcBorders>
              <w:top w:val="none" w:sz="6" w:space="0" w:color="auto"/>
              <w:left w:val="none" w:sz="0" w:space="0" w:color="auto"/>
              <w:bottom w:val="none" w:sz="6" w:space="0" w:color="auto"/>
              <w:right w:val="none" w:sz="0" w:space="0" w:color="auto"/>
            </w:tcBorders>
          </w:tcPr>
          <w:p>
            <w:pPr>
              <w:spacing w:after="40"/>
            </w:pPr>
            <w:r>
              <w:t>NASA/SMAP/SPL4SMGP/008</w:t>
            </w:r>
          </w:p>
        </w:tc>
        <w:tc>
          <w:tcPr>
            <w:tcW w:type="dxa" w:w="1806"/>
            <w:tcBorders>
              <w:top w:val="none" w:sz="6" w:space="0" w:color="auto"/>
              <w:left w:val="none" w:sz="0" w:space="0" w:color="auto"/>
              <w:bottom w:val="none" w:sz="6" w:space="0" w:color="auto"/>
              <w:right w:val="none" w:sz="0" w:space="0" w:color="auto"/>
            </w:tcBorders>
          </w:tcPr>
          <w:p>
            <w:pPr>
              <w:spacing w:after="40"/>
            </w:pPr>
            <w:r>
              <w:t>9 km</w:t>
            </w:r>
          </w:p>
        </w:tc>
        <w:tc>
          <w:tcPr>
            <w:tcW w:type="dxa" w:w="1806"/>
            <w:tcBorders>
              <w:top w:val="none" w:sz="6" w:space="0" w:color="auto"/>
              <w:left w:val="none" w:sz="0" w:space="0" w:color="auto"/>
              <w:bottom w:val="none" w:sz="6" w:space="0" w:color="auto"/>
              <w:right w:val="none" w:sz="0" w:space="0" w:color="auto"/>
            </w:tcBorders>
          </w:tcPr>
          <w:p>
            <w:pPr>
              <w:spacing w:after="40"/>
            </w:pPr>
            <w:r>
              <w:t>Root-Zone Soil Moisture</w:t>
            </w:r>
          </w:p>
        </w:tc>
        <w:tc>
          <w:tcPr>
            <w:tcW w:type="dxa" w:w="1806"/>
            <w:tcBorders>
              <w:top w:val="none" w:sz="6" w:space="0" w:color="auto"/>
              <w:left w:val="none" w:sz="0" w:space="0" w:color="auto"/>
              <w:bottom w:val="none" w:sz="6" w:space="0" w:color="auto"/>
              <w:right w:val="none" w:sz="0" w:space="0" w:color="auto"/>
            </w:tcBorders>
          </w:tcPr>
          <w:p>
            <w:pPr>
              <w:spacing w:after="40"/>
            </w:pPr>
            <w:r>
              <w:t>Regional catchment saturation state diagnosis</w:t>
            </w:r>
          </w:p>
        </w:tc>
      </w:tr>
      <w:tr>
        <w:tc>
          <w:tcPr>
            <w:tcW w:type="dxa" w:w="1806"/>
            <w:tcBorders>
              <w:top w:val="none" w:sz="6" w:space="0" w:color="auto"/>
              <w:left w:val="none" w:sz="0" w:space="0" w:color="auto"/>
              <w:bottom w:val="none" w:sz="6" w:space="0" w:color="auto"/>
              <w:right w:val="none" w:sz="0" w:space="0" w:color="auto"/>
            </w:tcBorders>
          </w:tcPr>
          <w:p>
            <w:pPr>
              <w:spacing w:after="40"/>
            </w:pPr>
            <w:r>
              <w:t>SRTM DEM</w:t>
            </w:r>
          </w:p>
        </w:tc>
        <w:tc>
          <w:tcPr>
            <w:tcW w:type="dxa" w:w="1806"/>
            <w:tcBorders>
              <w:top w:val="none" w:sz="6" w:space="0" w:color="auto"/>
              <w:left w:val="none" w:sz="0" w:space="0" w:color="auto"/>
              <w:bottom w:val="none" w:sz="6" w:space="0" w:color="auto"/>
              <w:right w:val="none" w:sz="0" w:space="0" w:color="auto"/>
            </w:tcBorders>
          </w:tcPr>
          <w:p>
            <w:pPr>
              <w:spacing w:after="40"/>
            </w:pPr>
            <w:r>
              <w:t>USGS/SRTMGL1_003</w:t>
            </w:r>
          </w:p>
        </w:tc>
        <w:tc>
          <w:tcPr>
            <w:tcW w:type="dxa" w:w="1806"/>
            <w:tcBorders>
              <w:top w:val="none" w:sz="6" w:space="0" w:color="auto"/>
              <w:left w:val="none" w:sz="0" w:space="0" w:color="auto"/>
              <w:bottom w:val="none" w:sz="6" w:space="0" w:color="auto"/>
              <w:right w:val="none" w:sz="0" w:space="0" w:color="auto"/>
            </w:tcBorders>
          </w:tcPr>
          <w:p>
            <w:pPr>
              <w:spacing w:after="40"/>
            </w:pPr>
            <w:r>
              <w:t>30 m</w:t>
            </w:r>
          </w:p>
        </w:tc>
        <w:tc>
          <w:tcPr>
            <w:tcW w:type="dxa" w:w="1806"/>
            <w:tcBorders>
              <w:top w:val="none" w:sz="6" w:space="0" w:color="auto"/>
              <w:left w:val="none" w:sz="0" w:space="0" w:color="auto"/>
              <w:bottom w:val="none" w:sz="6" w:space="0" w:color="auto"/>
              <w:right w:val="none" w:sz="0" w:space="0" w:color="auto"/>
            </w:tcBorders>
          </w:tcPr>
          <w:p>
            <w:pPr>
              <w:spacing w:after="40"/>
            </w:pPr>
            <w:r>
              <w:t>Elevation, Slope</w:t>
            </w:r>
          </w:p>
        </w:tc>
        <w:tc>
          <w:tcPr>
            <w:tcW w:type="dxa" w:w="1806"/>
            <w:tcBorders>
              <w:top w:val="none" w:sz="6" w:space="0" w:color="auto"/>
              <w:left w:val="none" w:sz="0" w:space="0" w:color="auto"/>
              <w:bottom w:val="none" w:sz="6" w:space="0" w:color="auto"/>
              <w:right w:val="none" w:sz="0" w:space="0" w:color="auto"/>
            </w:tcBorders>
          </w:tcPr>
          <w:p>
            <w:pPr>
              <w:spacing w:after="40"/>
            </w:pPr>
            <w:r>
              <w:t>Floodplain delineation and node profiling</w:t>
            </w:r>
          </w:p>
        </w:tc>
      </w:tr>
      <w:tr>
        <w:tc>
          <w:tcPr>
            <w:tcW w:type="dxa" w:w="1806"/>
            <w:tcBorders>
              <w:top w:val="none" w:sz="6" w:space="0" w:color="auto"/>
              <w:left w:val="none" w:sz="0" w:space="0" w:color="auto"/>
              <w:bottom w:val="none" w:sz="6" w:space="0" w:color="auto"/>
              <w:right w:val="none" w:sz="0" w:space="0" w:color="auto"/>
            </w:tcBorders>
          </w:tcPr>
          <w:p>
            <w:pPr>
              <w:spacing w:after="40"/>
            </w:pPr>
            <w:r>
              <w:t>GRACE Mascons</w:t>
            </w:r>
          </w:p>
        </w:tc>
        <w:tc>
          <w:tcPr>
            <w:tcW w:type="dxa" w:w="1806"/>
            <w:tcBorders>
              <w:top w:val="none" w:sz="6" w:space="0" w:color="auto"/>
              <w:left w:val="none" w:sz="0" w:space="0" w:color="auto"/>
              <w:bottom w:val="none" w:sz="6" w:space="0" w:color="auto"/>
              <w:right w:val="none" w:sz="0" w:space="0" w:color="auto"/>
            </w:tcBorders>
          </w:tcPr>
          <w:p>
            <w:pPr>
              <w:spacing w:after="40"/>
            </w:pPr>
            <w:r>
              <w:t>NASA/GRACE/MASS_GRIDS_V04/LAND</w:t>
            </w:r>
          </w:p>
        </w:tc>
        <w:tc>
          <w:tcPr>
            <w:tcW w:type="dxa" w:w="1806"/>
            <w:tcBorders>
              <w:top w:val="none" w:sz="6" w:space="0" w:color="auto"/>
              <w:left w:val="none" w:sz="0" w:space="0" w:color="auto"/>
              <w:bottom w:val="none" w:sz="6" w:space="0" w:color="auto"/>
              <w:right w:val="none" w:sz="0" w:space="0" w:color="auto"/>
            </w:tcBorders>
          </w:tcPr>
          <w:p>
            <w:pPr>
              <w:spacing w:after="40"/>
            </w:pPr>
            <w:r>
              <w:t>0.5° (~50 km)</w:t>
            </w:r>
          </w:p>
        </w:tc>
        <w:tc>
          <w:tcPr>
            <w:tcW w:type="dxa" w:w="1806"/>
            <w:tcBorders>
              <w:top w:val="none" w:sz="6" w:space="0" w:color="auto"/>
              <w:left w:val="none" w:sz="0" w:space="0" w:color="auto"/>
              <w:bottom w:val="none" w:sz="6" w:space="0" w:color="auto"/>
              <w:right w:val="none" w:sz="0" w:space="0" w:color="auto"/>
            </w:tcBorders>
          </w:tcPr>
          <w:p>
            <w:pPr>
              <w:spacing w:after="40"/>
            </w:pPr>
            <w:r>
              <w:t>Terrestrial Water Storage (TWSA)</w:t>
            </w:r>
          </w:p>
        </w:tc>
        <w:tc>
          <w:tcPr>
            <w:tcW w:type="dxa" w:w="1806"/>
            <w:tcBorders>
              <w:top w:val="none" w:sz="6" w:space="0" w:color="auto"/>
              <w:left w:val="none" w:sz="0" w:space="0" w:color="auto"/>
              <w:bottom w:val="none" w:sz="6" w:space="0" w:color="auto"/>
              <w:right w:val="none" w:sz="0" w:space="0" w:color="auto"/>
            </w:tcBorders>
          </w:tcPr>
          <w:p>
            <w:pPr>
              <w:spacing w:after="40"/>
            </w:pPr>
            <w:r>
              <w:t>Regional macro-scale storage state diagnosis</w:t>
            </w:r>
          </w:p>
        </w:tc>
      </w:tr>
      <w:tr>
        <w:tc>
          <w:tcPr>
            <w:tcW w:type="dxa" w:w="1806"/>
            <w:tcBorders>
              <w:top w:val="none" w:sz="6" w:space="0" w:color="auto"/>
              <w:left w:val="none" w:sz="0" w:space="0" w:color="auto"/>
              <w:bottom w:val="single" w:sz="6" w:space="0" w:color="auto"/>
              <w:right w:val="none" w:sz="0" w:space="0" w:color="auto"/>
            </w:tcBorders>
          </w:tcPr>
          <w:p>
            <w:pPr>
              <w:spacing w:after="40"/>
            </w:pPr>
            <w:r>
              <w:t>Barrage Telemetry</w:t>
            </w:r>
          </w:p>
        </w:tc>
        <w:tc>
          <w:tcPr>
            <w:tcW w:type="dxa" w:w="1806"/>
            <w:tcBorders>
              <w:top w:val="none" w:sz="6" w:space="0" w:color="auto"/>
              <w:left w:val="none" w:sz="0" w:space="0" w:color="auto"/>
              <w:bottom w:val="single" w:sz="6" w:space="0" w:color="auto"/>
              <w:right w:val="none" w:sz="0" w:space="0" w:color="auto"/>
            </w:tcBorders>
          </w:tcPr>
          <w:p>
            <w:pPr>
              <w:spacing w:after="40"/>
            </w:pPr>
            <w:r>
              <w:t>Sindh Irrigation Dept / FFC</w:t>
            </w:r>
          </w:p>
        </w:tc>
        <w:tc>
          <w:tcPr>
            <w:tcW w:type="dxa" w:w="1806"/>
            <w:tcBorders>
              <w:top w:val="none" w:sz="6" w:space="0" w:color="auto"/>
              <w:left w:val="none" w:sz="0" w:space="0" w:color="auto"/>
              <w:bottom w:val="single" w:sz="6" w:space="0" w:color="auto"/>
              <w:right w:val="none" w:sz="0" w:space="0" w:color="auto"/>
            </w:tcBorders>
          </w:tcPr>
          <w:p>
            <w:pPr>
              <w:spacing w:after="40"/>
            </w:pPr>
            <w:r>
              <w:t>Gauged Nodes</w:t>
            </w:r>
          </w:p>
        </w:tc>
        <w:tc>
          <w:tcPr>
            <w:tcW w:type="dxa" w:w="1806"/>
            <w:tcBorders>
              <w:top w:val="none" w:sz="6" w:space="0" w:color="auto"/>
              <w:left w:val="none" w:sz="0" w:space="0" w:color="auto"/>
              <w:bottom w:val="single" w:sz="6" w:space="0" w:color="auto"/>
              <w:right w:val="none" w:sz="0" w:space="0" w:color="auto"/>
            </w:tcBorders>
          </w:tcPr>
          <w:p>
            <w:pPr>
              <w:spacing w:after="40"/>
            </w:pPr>
            <w:r>
              <w:t>Upstream Inflow Qinflow(t)</w:t>
            </w:r>
          </w:p>
        </w:tc>
        <w:tc>
          <w:tcPr>
            <w:tcW w:type="dxa" w:w="1806"/>
            <w:tcBorders>
              <w:top w:val="none" w:sz="6" w:space="0" w:color="auto"/>
              <w:left w:val="none" w:sz="0" w:space="0" w:color="auto"/>
              <w:bottom w:val="single" w:sz="6" w:space="0" w:color="auto"/>
              <w:right w:val="none" w:sz="0" w:space="0" w:color="auto"/>
            </w:tcBorders>
          </w:tcPr>
          <w:p>
            <w:pPr>
              <w:spacing w:after="40"/>
            </w:pPr>
            <w:r>
              <w:t>Boundary condition input to physical baseline</w:t>
            </w:r>
          </w:p>
        </w:tc>
      </w:tr>
    </w:tbl>
    <w:p>
      <w:pPr>
        <w:spacing w:after="120"/>
      </w:pPr>
    </w:p>
    <w:p>
      <w:pPr>
        <w:keepNext/>
        <w:spacing w:before="160" w:after="60"/>
      </w:pPr>
      <w:r>
        <w:rPr>
          <w:b/>
          <w:sz w:val="22"/>
        </w:rPr>
        <w:t>3.2 Observed catchment runoff variable and boundary conditions</w:t>
      </w:r>
    </w:p>
    <w:p>
      <w:pPr>
        <w:spacing w:after="80"/>
      </w:pPr>
      <w:r>
        <w:t>Observed streamflow discharge (Q, m³/s) recorded by the Sindh Irrigation Department and Federal Flood Commission (FFC) barrage telemetry was converted to monthly catchment runoff depth (Qdepth, mm/month) via:</w:t>
      </w:r>
    </w:p>
    <w:p>
      <w:pPr>
        <w:spacing w:after="80"/>
        <w:ind w:left="720"/>
      </w:pPr>
      <w:r>
        <w:t>Qdepth = (Q_m³/s · Δt) / (Abasin · 10³),                                (1)</w:t>
      </w:r>
    </w:p>
    <w:p>
      <w:pPr>
        <w:spacing w:after="80"/>
      </w:pPr>
      <w:r>
        <w:t>where Abasin = 140,914 km², Δt is the monthly duration in seconds, and 10³ represents the volumetric conversion factor (1 mm × 1 km² = 1,000 m³). To account for transboundary river flow entering Sindh, mainstem inflow recorded at Guddu Barrage is explicitly ingested as an upstream boundary condition variable (Qinflow, mm/month).</w:t>
      </w:r>
    </w:p>
    <w:p>
      <w:pPr>
        <w:keepNext/>
        <w:spacing w:before="240" w:after="80"/>
      </w:pPr>
      <w:r>
        <w:rPr>
          <w:b/>
          <w:sz w:val="24"/>
        </w:rPr>
        <w:t>4 Methodology</w:t>
      </w:r>
    </w:p>
    <w:p>
      <w:pPr>
        <w:keepNext/>
        <w:spacing w:before="160" w:after="80"/>
        <w:jc w:val="center"/>
      </w:pPr>
      <w:r>
        <w:drawing>
          <wp:inline xmlns:a="http://schemas.openxmlformats.org/drawingml/2006/main" xmlns:pic="http://schemas.openxmlformats.org/drawingml/2006/picture">
            <wp:extent cx="5486400" cy="2936240"/>
            <wp:docPr id="2" name="Picture 2"/>
            <wp:cNvGraphicFramePr>
              <a:graphicFrameLocks noChangeAspect="1"/>
            </wp:cNvGraphicFramePr>
            <a:graphic>
              <a:graphicData uri="http://schemas.openxmlformats.org/drawingml/2006/picture">
                <pic:pic>
                  <pic:nvPicPr>
                    <pic:cNvPr id="0" name="Figure_Methodology_Hierarchical_Framework.png"/>
                    <pic:cNvPicPr/>
                  </pic:nvPicPr>
                  <pic:blipFill>
                    <a:blip r:embed="rId10"/>
                    <a:stretch>
                      <a:fillRect/>
                    </a:stretch>
                  </pic:blipFill>
                  <pic:spPr>
                    <a:xfrm>
                      <a:off x="0" y="0"/>
                      <a:ext cx="5486400" cy="2936240"/>
                    </a:xfrm>
                    <a:prstGeom prst="rect"/>
                  </pic:spPr>
                </pic:pic>
              </a:graphicData>
            </a:graphic>
          </wp:inline>
        </w:drawing>
      </w:r>
    </w:p>
    <w:p>
      <w:pPr>
        <w:keepNext w:val="0"/>
        <w:spacing w:after="160"/>
      </w:pPr>
      <w:r>
        <w:rPr>
          <w:b/>
        </w:rPr>
        <w:t xml:space="preserve">Fig. 2 </w:t>
      </w:r>
      <w:r>
        <w:t>Hierarchical methodology and system architecture flowchart for the Lower Indus Basin physics-anchored Earth observation framework</w:t>
      </w:r>
    </w:p>
    <w:p>
      <w:pPr>
        <w:keepNext/>
        <w:spacing w:before="160" w:after="60"/>
      </w:pPr>
      <w:r>
        <w:rPr>
          <w:b/>
          <w:sz w:val="22"/>
        </w:rPr>
        <w:t>4.1 Hierarchical system framework</w:t>
      </w:r>
    </w:p>
    <w:p>
      <w:pPr>
        <w:spacing w:after="80"/>
      </w:pPr>
      <w:r>
        <w:t>As illustrated in Fig. 2, the modeling framework is structured into five sequential tiers:</w:t>
      </w:r>
    </w:p>
    <w:p>
      <w:pPr>
        <w:spacing w:after="80"/>
        <w:ind w:firstLine="360"/>
      </w:pPr>
      <w:r>
        <w:t>(1) Tier 1 (Data ingestion): Cloud-native multi-decadal ingestion of multi-sensor Earth observation grids (2000–2024) via GEE and verified barrage telemetry (Table 1).</w:t>
      </w:r>
    </w:p>
    <w:p>
      <w:pPr>
        <w:spacing w:after="80"/>
        <w:ind w:firstLine="360"/>
      </w:pPr>
      <w:r>
        <w:t>(2) Tier 2 (Harmonization and feature engineering): Spatial boundary clipping, monthly aggregation, strictly lagged Antecedent Precipitation Index (API) derivation, and atmospheric moisture deficit modeling.</w:t>
      </w:r>
    </w:p>
    <w:p>
      <w:pPr>
        <w:spacing w:after="80"/>
        <w:ind w:firstLine="360"/>
      </w:pPr>
      <w:r>
        <w:t>(3) Tier 3 (Physics-anchored core): Dual-stage modeling coupling a non-negative, water-balance-informed baseline with non-linear residual tree ensembles.</w:t>
      </w:r>
    </w:p>
    <w:p>
      <w:pPr>
        <w:spacing w:after="80"/>
        <w:ind w:firstLine="360"/>
      </w:pPr>
      <w:r>
        <w:t>(4) Tier 4 (Multi-criteria evaluation): Performance benchmarking across KGE, NSE, RMSE, and peak flow bias (FHV).</w:t>
      </w:r>
    </w:p>
    <w:p>
      <w:pPr>
        <w:spacing w:after="80"/>
        <w:ind w:firstLine="360"/>
      </w:pPr>
      <w:r>
        <w:t>(5) Tier 5 (Decision support applications): Monthly flood volume analysis and inflow estimation for Guddu, Sukkur, Kotri, and Manchar Lake.</w:t>
      </w:r>
    </w:p>
    <w:p>
      <w:pPr>
        <w:keepNext/>
        <w:spacing w:before="160" w:after="60"/>
      </w:pPr>
      <w:r>
        <w:rPr>
          <w:b/>
          <w:sz w:val="22"/>
        </w:rPr>
        <w:t>4.2 Mathematical water balance formulation</w:t>
      </w:r>
    </w:p>
    <w:p>
      <w:pPr>
        <w:spacing w:after="80"/>
      </w:pPr>
      <w:r>
        <w:t>The regional catchment water balance in the managed Lower Indus is governed by the continuous differential equation:</w:t>
      </w:r>
    </w:p>
    <w:p>
      <w:pPr>
        <w:spacing w:after="80"/>
        <w:ind w:left="720"/>
      </w:pPr>
      <w:r>
        <w:t>dS(t)/dt = P(t) + Qinflow(t) - ET(t) - Q(t) - G(t) - D(t),                (2)</w:t>
      </w:r>
    </w:p>
    <w:p>
      <w:pPr>
        <w:spacing w:after="80"/>
      </w:pPr>
      <w:r>
        <w:t>where P(t) is regional precipitation, Qinflow(t) is upstream mainstem boundary inflow at Guddu, ET(t) is evapotranspiration, Q(t) is total catchment outflow, G(t) is net groundwater exchange, and D(t) represents canal irrigation diversions. To strictly eliminate double-counting of current-month precipitation, antecedent soil moisture memory is modeled exclusively on lagged precipitation:</w:t>
      </w:r>
    </w:p>
    <w:p>
      <w:pPr>
        <w:spacing w:after="80"/>
        <w:ind w:left="720"/>
      </w:pPr>
      <w:r>
        <w:t>APIt = Σ γ^k P_{t-k} = γ P_{t-1} + γ² P_{t-2},                               (3)</w:t>
      </w:r>
    </w:p>
    <w:p>
      <w:pPr>
        <w:spacing w:after="80"/>
      </w:pPr>
      <w:r>
        <w:t>where the memory decay factor is set to γ = 0.60 based on 5-fold cross-validation on the 2000–2019 calibration record.</w:t>
      </w:r>
    </w:p>
    <w:p>
      <w:pPr>
        <w:keepNext/>
        <w:spacing w:before="160" w:after="60"/>
      </w:pPr>
      <w:r>
        <w:rPr>
          <w:b/>
          <w:sz w:val="22"/>
        </w:rPr>
        <w:t>4.3 Physics-anchored hybrid architecture (PG-MCH)</w:t>
      </w:r>
    </w:p>
    <w:p>
      <w:pPr>
        <w:spacing w:after="80"/>
      </w:pPr>
      <w:r>
        <w:t>The framework operates in two coupled stages:</w:t>
      </w:r>
    </w:p>
    <w:p>
      <w:pPr>
        <w:spacing w:after="80"/>
        <w:ind w:firstLine="360"/>
      </w:pPr>
      <w:r>
        <w:t>(1) Physics-anchored runoff baseline (Qbase):</w:t>
        <w:br/>
        <w:t>Qbase(t) = β0 + β1 P(t) + β2 APIt + β3 Qinflow(t),                       (4)</w:t>
        <w:br/>
        <w:t>where parameters β = [β1, β2, β3]^T are estimated using Non-Negative Least Squares (NNLS) with L2 regularization penalty (λ = 2.0) on the 2000–2019 calibration set to enforce physical monotonicity (β1 ≥ 0, β2 ≥ 0, β3 ≥ 0). This guarantees that Qbase scales proportionally with unprecedented rainfall and upstream inflow without gradient collapse.</w:t>
      </w:r>
    </w:p>
    <w:p>
      <w:pPr>
        <w:spacing w:after="80"/>
        <w:ind w:firstLine="360"/>
      </w:pPr>
      <w:r>
        <w:t>(2) Non-linear residual tree ensemble (ε̂):</w:t>
        <w:br/>
        <w:t>ε(t) = Qobs(t) - Qbase(t),                                                 (5)</w:t>
        <w:br/>
        <w:t>ε̂(t) = Ftrees(P(t), Qinflow(t), ET(t), T2m(t), SM(t), Ddeficit(t), Month).  (6)</w:t>
      </w:r>
    </w:p>
    <w:p>
      <w:pPr>
        <w:spacing w:after="80"/>
        <w:ind w:firstLine="360"/>
      </w:pPr>
      <w:r>
        <w:t>(3) Composite output and dual mass bounds:</w:t>
        <w:br/>
        <w:t>To guarantee strict conservation of mass and eliminate unphysical runoff generation during non-stationary climate extremes, the composite output is bounded by both zero non-negativity and total available terrestrial water volume (P(t) + Qinflow(t) + APIt):</w:t>
        <w:br/>
        <w:t>Q̂(t) = min(P(t) + Qinflow(t) + APIt, max(0, Qbase(t) + ε̂(t))).          (7)</w:t>
      </w:r>
    </w:p>
    <w:p>
      <w:pPr>
        <w:keepNext/>
        <w:spacing w:before="160" w:after="60"/>
      </w:pPr>
      <w:r>
        <w:rPr>
          <w:b/>
          <w:sz w:val="22"/>
        </w:rPr>
        <w:t>4.4 Experimental design and multi-decadal holdout protocol</w:t>
      </w:r>
    </w:p>
    <w:p>
      <w:pPr>
        <w:spacing w:after="80"/>
      </w:pPr>
      <w:r>
        <w:t>To evaluate genuine out-of-distribution extreme generalization over multi-decadal observational records:</w:t>
      </w:r>
    </w:p>
    <w:p>
      <w:pPr>
        <w:spacing w:after="80"/>
        <w:ind w:firstLine="360"/>
      </w:pPr>
      <w:r>
        <w:t>• Model calibration (2000–2019): 240 months (20 years) of multi-decadal hydrometeorology, capturing diverse wet, normal, and drought regimes.</w:t>
      </w:r>
    </w:p>
    <w:p>
      <w:pPr>
        <w:spacing w:after="80"/>
        <w:ind w:firstLine="360"/>
      </w:pPr>
      <w:r>
        <w:t>• Unseen extreme holdout (2020–2022): 36 months containing the 2020 torrential monsoon and the historic 2022 Pakistan Mega-Flood (+350% precipitation), withheld completely from model calibration.</w:t>
      </w:r>
    </w:p>
    <w:p>
      <w:pPr>
        <w:spacing w:after="80"/>
        <w:ind w:firstLine="360"/>
      </w:pPr>
      <w:r>
        <w:t>• Future testing period (2023–2024): 24 months of non-stationary post-flood recovery.</w:t>
      </w:r>
    </w:p>
    <w:p>
      <w:pPr>
        <w:spacing w:after="80"/>
        <w:ind w:firstLine="360"/>
      </w:pPr>
      <w:r>
        <w:t>• Moving Block Bootstrap (MBB): 1,000 resamplings with block size b = 3 months (representing seasonal persistence) to evaluate 95% confidence intervals while respecting time-series autocorrelation.</w:t>
      </w:r>
    </w:p>
    <w:p>
      <w:pPr>
        <w:spacing w:after="80"/>
        <w:ind w:firstLine="360"/>
      </w:pPr>
      <w:r>
        <w:t>• Hyperparameter tuning: Hyperparameters (max_depth = 2, n_estimators = 80, learning_rate = 0.04) and L2 baseline penalty (λ = 2.0) were tuned strictly via 5-fold time-series cross-validation on the 2000–2019 period; no information from 2020–2024 was used during model selection.</w:t>
      </w:r>
    </w:p>
    <w:p>
      <w:pPr>
        <w:keepNext/>
        <w:spacing w:before="160" w:after="60"/>
      </w:pPr>
      <w:r>
        <w:rPr>
          <w:b/>
          <w:sz w:val="22"/>
        </w:rPr>
        <w:t>4.5 Conceptual model specification (GR4J benchmark)</w:t>
      </w:r>
    </w:p>
    <w:p>
      <w:pPr>
        <w:spacing w:after="80"/>
      </w:pPr>
      <w:r>
        <w:t>To provide a rigorous baseline comparison, the GR4J conceptual model (Perrin et al., 2003) was calibrated on the 2000–2019 monthly rainfall-runoff record using Nelder-Mead optimization targeting maximum KGE. The calibrated parameters were fixed during the 2020–2024 out-of-sample evaluation.</w:t>
      </w:r>
    </w:p>
    <w:p>
      <w:pPr>
        <w:keepNext/>
        <w:spacing w:before="240" w:after="80"/>
      </w:pPr>
      <w:r>
        <w:rPr>
          <w:b/>
          <w:sz w:val="24"/>
        </w:rPr>
        <w:t>5 Results and discussion</w:t>
      </w:r>
    </w:p>
    <w:p>
      <w:pPr>
        <w:keepNext/>
      </w:pPr>
      <w:r>
        <w:rPr>
          <w:b/>
        </w:rPr>
        <w:t xml:space="preserve">Table 2 </w:t>
      </w:r>
      <w:r>
        <w:t>Quantitative hydrological model benchmarking results across unseen 2022 Mega-Flood and 2020–2024 out-of-sample testing periods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val="single" w:sz="6" w:space="0" w:color="auto"/>
              <w:left w:val="none" w:sz="0" w:space="0" w:color="auto"/>
              <w:bottom w:val="single" w:sz="6" w:space="0" w:color="auto"/>
              <w:right w:val="none" w:sz="0" w:space="0" w:color="auto"/>
            </w:tcBorders>
          </w:tcPr>
          <w:p>
            <w:pPr>
              <w:spacing w:after="40"/>
            </w:pPr>
            <w:r>
              <w:rPr>
                <w:b/>
              </w:rPr>
              <w:t>Model Architecture</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FHV (2022 Flood)(a)</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(2023–2024)</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Combined [95% CI]</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NSE Combined</w:t>
            </w:r>
          </w:p>
        </w:tc>
      </w:tr>
      <w:tr>
        <w:tc>
          <w:tcPr>
            <w:tcW w:type="dxa" w:w="1505"/>
            <w:tcBorders>
              <w:top w:val="none" w:sz="6" w:space="0" w:color="auto"/>
              <w:left w:val="none" w:sz="0" w:space="0" w:color="auto"/>
              <w:bottom w:val="none" w:sz="6" w:space="0" w:color="auto"/>
              <w:right w:val="none" w:sz="0" w:space="0" w:color="auto"/>
            </w:tcBorders>
          </w:tcPr>
          <w:p>
            <w:pPr>
              <w:spacing w:after="40"/>
            </w:pPr>
            <w:r>
              <w:rPr>
                <w:b/>
              </w:rPr>
              <w:t>PG-MCH (Proposed)</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505"/>
            <w:tcBorders>
              <w:top w:val="none" w:sz="6" w:space="0" w:color="auto"/>
              <w:left w:val="none" w:sz="0" w:space="0" w:color="auto"/>
              <w:bottom w:val="none" w:sz="6" w:space="0" w:color="auto"/>
              <w:right w:val="none" w:sz="0" w:space="0" w:color="auto"/>
            </w:tcBorders>
          </w:tcPr>
          <w:p>
            <w:pPr>
              <w:spacing w:after="40"/>
            </w:pPr>
            <w:r>
              <w:rPr>
                <w:b/>
              </w:rPr>
              <w:t>-4.0%</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0.871</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0.895 [0.73, 0.93]</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0.838</w:t>
            </w:r>
          </w:p>
        </w:tc>
      </w:tr>
      <w:tr>
        <w:tc>
          <w:tcPr>
            <w:tcW w:type="dxa" w:w="1505"/>
            <w:tcBorders>
              <w:top w:val="none" w:sz="6" w:space="0" w:color="auto"/>
              <w:left w:val="none" w:sz="0" w:space="0" w:color="auto"/>
              <w:bottom w:val="none" w:sz="6" w:space="0" w:color="auto"/>
              <w:right w:val="none" w:sz="0" w:space="0" w:color="auto"/>
            </w:tcBorders>
          </w:tcPr>
          <w:p>
            <w:pPr>
              <w:spacing w:after="40"/>
            </w:pPr>
            <w:r>
              <w:t>TGB-Hydro (GBDT)</w:t>
            </w:r>
          </w:p>
        </w:tc>
        <w:tc>
          <w:tcPr>
            <w:tcW w:type="dxa" w:w="1505"/>
            <w:tcBorders>
              <w:top w:val="none" w:sz="6" w:space="0" w:color="auto"/>
              <w:left w:val="none" w:sz="0" w:space="0" w:color="auto"/>
              <w:bottom w:val="none" w:sz="6" w:space="0" w:color="auto"/>
              <w:right w:val="none" w:sz="0" w:space="0" w:color="auto"/>
            </w:tcBorders>
          </w:tcPr>
          <w:p>
            <w:pPr>
              <w:spacing w:after="40"/>
            </w:pPr>
            <w:r>
              <w:t>0.750</w:t>
            </w:r>
          </w:p>
        </w:tc>
        <w:tc>
          <w:tcPr>
            <w:tcW w:type="dxa" w:w="1505"/>
            <w:tcBorders>
              <w:top w:val="none" w:sz="6" w:space="0" w:color="auto"/>
              <w:left w:val="none" w:sz="0" w:space="0" w:color="auto"/>
              <w:bottom w:val="none" w:sz="6" w:space="0" w:color="auto"/>
              <w:right w:val="none" w:sz="0" w:space="0" w:color="auto"/>
            </w:tcBorders>
          </w:tcPr>
          <w:p>
            <w:pPr>
              <w:spacing w:after="40"/>
            </w:pPr>
            <w:r>
              <w:t>-13.3%</w:t>
            </w:r>
          </w:p>
        </w:tc>
        <w:tc>
          <w:tcPr>
            <w:tcW w:type="dxa" w:w="1505"/>
            <w:tcBorders>
              <w:top w:val="none" w:sz="6" w:space="0" w:color="auto"/>
              <w:left w:val="none" w:sz="0" w:space="0" w:color="auto"/>
              <w:bottom w:val="none" w:sz="6" w:space="0" w:color="auto"/>
              <w:right w:val="none" w:sz="0" w:space="0" w:color="auto"/>
            </w:tcBorders>
          </w:tcPr>
          <w:p>
            <w:pPr>
              <w:spacing w:after="40"/>
            </w:pPr>
            <w:r>
              <w:t>0.895</w:t>
            </w:r>
          </w:p>
        </w:tc>
        <w:tc>
          <w:tcPr>
            <w:tcW w:type="dxa" w:w="1505"/>
            <w:tcBorders>
              <w:top w:val="none" w:sz="6" w:space="0" w:color="auto"/>
              <w:left w:val="none" w:sz="0" w:space="0" w:color="auto"/>
              <w:bottom w:val="none" w:sz="6" w:space="0" w:color="auto"/>
              <w:right w:val="none" w:sz="0" w:space="0" w:color="auto"/>
            </w:tcBorders>
          </w:tcPr>
          <w:p>
            <w:pPr>
              <w:spacing w:after="40"/>
            </w:pPr>
            <w:r>
              <w:t>0.857 [0.70, 0.93]</w:t>
            </w:r>
          </w:p>
        </w:tc>
        <w:tc>
          <w:tcPr>
            <w:tcW w:type="dxa" w:w="1505"/>
            <w:tcBorders>
              <w:top w:val="none" w:sz="6" w:space="0" w:color="auto"/>
              <w:left w:val="none" w:sz="0" w:space="0" w:color="auto"/>
              <w:bottom w:val="none" w:sz="6" w:space="0" w:color="auto"/>
              <w:right w:val="none" w:sz="0" w:space="0" w:color="auto"/>
            </w:tcBorders>
          </w:tcPr>
          <w:p>
            <w:pPr>
              <w:spacing w:after="40"/>
            </w:pPr>
            <w:r>
              <w:t>0.818</w:t>
            </w:r>
          </w:p>
        </w:tc>
      </w:tr>
      <w:tr>
        <w:tc>
          <w:tcPr>
            <w:tcW w:type="dxa" w:w="1505"/>
            <w:tcBorders>
              <w:top w:val="none" w:sz="6" w:space="0" w:color="auto"/>
              <w:left w:val="none" w:sz="0" w:space="0" w:color="auto"/>
              <w:bottom w:val="none" w:sz="6" w:space="0" w:color="auto"/>
              <w:right w:val="none" w:sz="0" w:space="0" w:color="auto"/>
            </w:tcBorders>
          </w:tcPr>
          <w:p>
            <w:pPr>
              <w:spacing w:after="40"/>
            </w:pPr>
            <w:r>
              <w:t>RF-Baseline</w:t>
            </w:r>
          </w:p>
        </w:tc>
        <w:tc>
          <w:tcPr>
            <w:tcW w:type="dxa" w:w="1505"/>
            <w:tcBorders>
              <w:top w:val="none" w:sz="6" w:space="0" w:color="auto"/>
              <w:left w:val="none" w:sz="0" w:space="0" w:color="auto"/>
              <w:bottom w:val="none" w:sz="6" w:space="0" w:color="auto"/>
              <w:right w:val="none" w:sz="0" w:space="0" w:color="auto"/>
            </w:tcBorders>
          </w:tcPr>
          <w:p>
            <w:pPr>
              <w:spacing w:after="40"/>
            </w:pPr>
            <w:r>
              <w:t>0.721</w:t>
            </w:r>
          </w:p>
        </w:tc>
        <w:tc>
          <w:tcPr>
            <w:tcW w:type="dxa" w:w="1505"/>
            <w:tcBorders>
              <w:top w:val="none" w:sz="6" w:space="0" w:color="auto"/>
              <w:left w:val="none" w:sz="0" w:space="0" w:color="auto"/>
              <w:bottom w:val="none" w:sz="6" w:space="0" w:color="auto"/>
              <w:right w:val="none" w:sz="0" w:space="0" w:color="auto"/>
            </w:tcBorders>
          </w:tcPr>
          <w:p>
            <w:pPr>
              <w:spacing w:after="40"/>
            </w:pPr>
            <w:r>
              <w:t>-7.0%</w:t>
            </w:r>
          </w:p>
        </w:tc>
        <w:tc>
          <w:tcPr>
            <w:tcW w:type="dxa" w:w="1505"/>
            <w:tcBorders>
              <w:top w:val="none" w:sz="6" w:space="0" w:color="auto"/>
              <w:left w:val="none" w:sz="0" w:space="0" w:color="auto"/>
              <w:bottom w:val="none" w:sz="6" w:space="0" w:color="auto"/>
              <w:right w:val="none" w:sz="0" w:space="0" w:color="auto"/>
            </w:tcBorders>
          </w:tcPr>
          <w:p>
            <w:pPr>
              <w:spacing w:after="40"/>
            </w:pPr>
            <w:r>
              <w:t>0.853</w:t>
            </w:r>
          </w:p>
        </w:tc>
        <w:tc>
          <w:tcPr>
            <w:tcW w:type="dxa" w:w="1505"/>
            <w:tcBorders>
              <w:top w:val="none" w:sz="6" w:space="0" w:color="auto"/>
              <w:left w:val="none" w:sz="0" w:space="0" w:color="auto"/>
              <w:bottom w:val="none" w:sz="6" w:space="0" w:color="auto"/>
              <w:right w:val="none" w:sz="0" w:space="0" w:color="auto"/>
            </w:tcBorders>
          </w:tcPr>
          <w:p>
            <w:pPr>
              <w:spacing w:after="40"/>
            </w:pPr>
            <w:r>
              <w:t>0.841 [0.67, 0.91]</w:t>
            </w:r>
          </w:p>
        </w:tc>
        <w:tc>
          <w:tcPr>
            <w:tcW w:type="dxa" w:w="1505"/>
            <w:tcBorders>
              <w:top w:val="none" w:sz="6" w:space="0" w:color="auto"/>
              <w:left w:val="none" w:sz="0" w:space="0" w:color="auto"/>
              <w:bottom w:val="none" w:sz="6" w:space="0" w:color="auto"/>
              <w:right w:val="none" w:sz="0" w:space="0" w:color="auto"/>
            </w:tcBorders>
          </w:tcPr>
          <w:p>
            <w:pPr>
              <w:spacing w:after="40"/>
            </w:pPr>
            <w:r>
              <w:t>0.783</w:t>
            </w:r>
          </w:p>
        </w:tc>
      </w:tr>
      <w:tr>
        <w:tc>
          <w:tcPr>
            <w:tcW w:type="dxa" w:w="1505"/>
            <w:tcBorders>
              <w:top w:val="none" w:sz="6" w:space="0" w:color="auto"/>
              <w:left w:val="none" w:sz="0" w:space="0" w:color="auto"/>
              <w:bottom w:val="single" w:sz="6" w:space="0" w:color="auto"/>
              <w:right w:val="none" w:sz="0" w:space="0" w:color="auto"/>
            </w:tcBorders>
          </w:tcPr>
          <w:p>
            <w:pPr>
              <w:spacing w:after="40"/>
            </w:pPr>
            <w:r>
              <w:t>Conceptual GR4J</w:t>
            </w:r>
          </w:p>
        </w:tc>
        <w:tc>
          <w:tcPr>
            <w:tcW w:type="dxa" w:w="1505"/>
            <w:tcBorders>
              <w:top w:val="none" w:sz="6" w:space="0" w:color="auto"/>
              <w:left w:val="none" w:sz="0" w:space="0" w:color="auto"/>
              <w:bottom w:val="single" w:sz="6" w:space="0" w:color="auto"/>
              <w:right w:val="none" w:sz="0" w:space="0" w:color="auto"/>
            </w:tcBorders>
          </w:tcPr>
          <w:p>
            <w:pPr>
              <w:spacing w:after="40"/>
            </w:pPr>
            <w:r>
              <w:t>0.744</w:t>
            </w:r>
          </w:p>
        </w:tc>
        <w:tc>
          <w:tcPr>
            <w:tcW w:type="dxa" w:w="1505"/>
            <w:tcBorders>
              <w:top w:val="none" w:sz="6" w:space="0" w:color="auto"/>
              <w:left w:val="none" w:sz="0" w:space="0" w:color="auto"/>
              <w:bottom w:val="single" w:sz="6" w:space="0" w:color="auto"/>
              <w:right w:val="none" w:sz="0" w:space="0" w:color="auto"/>
            </w:tcBorders>
          </w:tcPr>
          <w:p>
            <w:pPr>
              <w:spacing w:after="40"/>
            </w:pPr>
            <w:r>
              <w:t>+6.6%</w:t>
            </w:r>
          </w:p>
        </w:tc>
        <w:tc>
          <w:tcPr>
            <w:tcW w:type="dxa" w:w="1505"/>
            <w:tcBorders>
              <w:top w:val="none" w:sz="6" w:space="0" w:color="auto"/>
              <w:left w:val="none" w:sz="0" w:space="0" w:color="auto"/>
              <w:bottom w:val="single" w:sz="6" w:space="0" w:color="auto"/>
              <w:right w:val="none" w:sz="0" w:space="0" w:color="auto"/>
            </w:tcBorders>
          </w:tcPr>
          <w:p>
            <w:pPr>
              <w:spacing w:after="40"/>
            </w:pPr>
            <w:r>
              <w:t>0.821</w:t>
            </w:r>
          </w:p>
        </w:tc>
        <w:tc>
          <w:tcPr>
            <w:tcW w:type="dxa" w:w="1505"/>
            <w:tcBorders>
              <w:top w:val="none" w:sz="6" w:space="0" w:color="auto"/>
              <w:left w:val="none" w:sz="0" w:space="0" w:color="auto"/>
              <w:bottom w:val="single" w:sz="6" w:space="0" w:color="auto"/>
              <w:right w:val="none" w:sz="0" w:space="0" w:color="auto"/>
            </w:tcBorders>
          </w:tcPr>
          <w:p>
            <w:pPr>
              <w:spacing w:after="40"/>
            </w:pPr>
            <w:r>
              <w:t>0.797 [0.67, 0.87]</w:t>
            </w:r>
          </w:p>
        </w:tc>
        <w:tc>
          <w:tcPr>
            <w:tcW w:type="dxa" w:w="1505"/>
            <w:tcBorders>
              <w:top w:val="none" w:sz="6" w:space="0" w:color="auto"/>
              <w:left w:val="none" w:sz="0" w:space="0" w:color="auto"/>
              <w:bottom w:val="single" w:sz="6" w:space="0" w:color="auto"/>
              <w:right w:val="none" w:sz="0" w:space="0" w:color="auto"/>
            </w:tcBorders>
          </w:tcPr>
          <w:p>
            <w:pPr>
              <w:spacing w:after="40"/>
            </w:pPr>
            <w:r>
              <w:t>0.922</w:t>
            </w:r>
          </w:p>
        </w:tc>
      </w:tr>
    </w:tbl>
    <w:p>
      <w:pPr>
        <w:spacing w:after="160"/>
      </w:pPr>
      <w:r>
        <w:t>(a)FHV: Peak flow bias over top 20% high-flow events (ideal = 0%). Combined period covers 2020–2024 (60 out-of-sample months).</w:t>
      </w:r>
    </w:p>
    <w:p>
      <w:pPr>
        <w:keepNext/>
      </w:pPr>
      <w:r>
        <w:rPr>
          <w:b/>
        </w:rPr>
        <w:t xml:space="preserve">Table 3 </w:t>
      </w:r>
      <w:r>
        <w:t>Systematic multi-regime ablation study on model components over 2000–2024</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Ablation Configuration</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(2020–2024 Combined)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(2020–2024 Combined)</w:t>
            </w:r>
          </w:p>
        </w:tc>
      </w:tr>
      <w:tr>
        <w:tc>
          <w:tcPr>
            <w:tcW w:type="dxa" w:w="1806"/>
            <w:tcBorders>
              <w:top w:val="none" w:sz="6" w:space="0" w:color="auto"/>
              <w:left w:val="none" w:sz="0" w:space="0" w:color="auto"/>
              <w:bottom w:val="none" w:sz="6" w:space="0" w:color="auto"/>
              <w:right w:val="none" w:sz="0" w:space="0" w:color="auto"/>
            </w:tcBorders>
          </w:tcPr>
          <w:p>
            <w:pPr>
              <w:spacing w:after="40"/>
            </w:pPr>
            <w:r>
              <w:rPr>
                <w:b/>
              </w:rPr>
              <w:t>Full PG-MCH (Proposed)</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806"/>
            <w:tcBorders>
              <w:top w:val="none" w:sz="6" w:space="0" w:color="auto"/>
              <w:left w:val="none" w:sz="0" w:space="0" w:color="auto"/>
              <w:bottom w:val="none" w:sz="6" w:space="0" w:color="auto"/>
              <w:right w:val="none" w:sz="0" w:space="0" w:color="auto"/>
            </w:tcBorders>
          </w:tcPr>
          <w:p>
            <w:pPr>
              <w:spacing w:after="40"/>
            </w:pPr>
            <w:r>
              <w:rPr>
                <w:b/>
              </w:rPr>
              <w:t>-4.0%</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0.895</w:t>
            </w:r>
          </w:p>
        </w:tc>
        <w:tc>
          <w:tcPr>
            <w:tcW w:type="dxa" w:w="1806"/>
            <w:tcBorders>
              <w:top w:val="none" w:sz="6" w:space="0" w:color="auto"/>
              <w:left w:val="none" w:sz="0" w:space="0" w:color="auto"/>
              <w:bottom w:val="none" w:sz="6" w:space="0" w:color="auto"/>
              <w:right w:val="none" w:sz="0" w:space="0" w:color="auto"/>
            </w:tcBorders>
          </w:tcPr>
          <w:p>
            <w:pPr>
              <w:spacing w:after="40"/>
            </w:pPr>
            <w:r>
              <w:rPr>
                <w:b/>
              </w:rPr>
              <w:t>-3.1%</w:t>
            </w:r>
          </w:p>
        </w:tc>
      </w:tr>
      <w:tr>
        <w:tc>
          <w:tcPr>
            <w:tcW w:type="dxa" w:w="1806"/>
            <w:tcBorders>
              <w:top w:val="none" w:sz="6" w:space="0" w:color="auto"/>
              <w:left w:val="none" w:sz="0" w:space="0" w:color="auto"/>
              <w:bottom w:val="none" w:sz="6" w:space="0" w:color="auto"/>
              <w:right w:val="none" w:sz="0" w:space="0" w:color="auto"/>
            </w:tcBorders>
          </w:tcPr>
          <w:p>
            <w:pPr>
              <w:spacing w:after="40"/>
            </w:pPr>
            <w:r>
              <w:t>w/o Physical Backbone (Pure ML)</w:t>
            </w:r>
          </w:p>
        </w:tc>
        <w:tc>
          <w:tcPr>
            <w:tcW w:type="dxa" w:w="1806"/>
            <w:tcBorders>
              <w:top w:val="none" w:sz="6" w:space="0" w:color="auto"/>
              <w:left w:val="none" w:sz="0" w:space="0" w:color="auto"/>
              <w:bottom w:val="none" w:sz="6" w:space="0" w:color="auto"/>
              <w:right w:val="none" w:sz="0" w:space="0" w:color="auto"/>
            </w:tcBorders>
          </w:tcPr>
          <w:p>
            <w:pPr>
              <w:spacing w:after="40"/>
            </w:pPr>
            <w:r>
              <w:t>0.750</w:t>
            </w:r>
          </w:p>
        </w:tc>
        <w:tc>
          <w:tcPr>
            <w:tcW w:type="dxa" w:w="1806"/>
            <w:tcBorders>
              <w:top w:val="none" w:sz="6" w:space="0" w:color="auto"/>
              <w:left w:val="none" w:sz="0" w:space="0" w:color="auto"/>
              <w:bottom w:val="none" w:sz="6" w:space="0" w:color="auto"/>
              <w:right w:val="none" w:sz="0" w:space="0" w:color="auto"/>
            </w:tcBorders>
          </w:tcPr>
          <w:p>
            <w:pPr>
              <w:spacing w:after="40"/>
            </w:pPr>
            <w:r>
              <w:t>-13.3%</w:t>
            </w:r>
          </w:p>
        </w:tc>
        <w:tc>
          <w:tcPr>
            <w:tcW w:type="dxa" w:w="1806"/>
            <w:tcBorders>
              <w:top w:val="none" w:sz="6" w:space="0" w:color="auto"/>
              <w:left w:val="none" w:sz="0" w:space="0" w:color="auto"/>
              <w:bottom w:val="none" w:sz="6" w:space="0" w:color="auto"/>
              <w:right w:val="none" w:sz="0" w:space="0" w:color="auto"/>
            </w:tcBorders>
          </w:tcPr>
          <w:p>
            <w:pPr>
              <w:spacing w:after="40"/>
            </w:pPr>
            <w:r>
              <w:t>0.857</w:t>
            </w:r>
          </w:p>
        </w:tc>
        <w:tc>
          <w:tcPr>
            <w:tcW w:type="dxa" w:w="1806"/>
            <w:tcBorders>
              <w:top w:val="none" w:sz="6" w:space="0" w:color="auto"/>
              <w:left w:val="none" w:sz="0" w:space="0" w:color="auto"/>
              <w:bottom w:val="none" w:sz="6" w:space="0" w:color="auto"/>
              <w:right w:val="none" w:sz="0" w:space="0" w:color="auto"/>
            </w:tcBorders>
          </w:tcPr>
          <w:p>
            <w:pPr>
              <w:spacing w:after="40"/>
            </w:pPr>
            <w:r>
              <w:t>-7.3%</w:t>
            </w:r>
          </w:p>
        </w:tc>
      </w:tr>
      <w:tr>
        <w:tc>
          <w:tcPr>
            <w:tcW w:type="dxa" w:w="1806"/>
            <w:tcBorders>
              <w:top w:val="none" w:sz="6" w:space="0" w:color="auto"/>
              <w:left w:val="none" w:sz="0" w:space="0" w:color="auto"/>
              <w:bottom w:val="none" w:sz="6" w:space="0" w:color="auto"/>
              <w:right w:val="none" w:sz="0" w:space="0" w:color="auto"/>
            </w:tcBorders>
          </w:tcPr>
          <w:p>
            <w:pPr>
              <w:spacing w:after="40"/>
            </w:pPr>
            <w:r>
              <w:t>w/o Upstream Inflow (Qinflow Telemetry)</w:t>
            </w:r>
          </w:p>
        </w:tc>
        <w:tc>
          <w:tcPr>
            <w:tcW w:type="dxa" w:w="1806"/>
            <w:tcBorders>
              <w:top w:val="none" w:sz="6" w:space="0" w:color="auto"/>
              <w:left w:val="none" w:sz="0" w:space="0" w:color="auto"/>
              <w:bottom w:val="none" w:sz="6" w:space="0" w:color="auto"/>
              <w:right w:val="none" w:sz="0" w:space="0" w:color="auto"/>
            </w:tcBorders>
          </w:tcPr>
          <w:p>
            <w:pPr>
              <w:spacing w:after="40"/>
            </w:pPr>
            <w:r>
              <w:t>0.717</w:t>
            </w:r>
          </w:p>
        </w:tc>
        <w:tc>
          <w:tcPr>
            <w:tcW w:type="dxa" w:w="1806"/>
            <w:tcBorders>
              <w:top w:val="none" w:sz="6" w:space="0" w:color="auto"/>
              <w:left w:val="none" w:sz="0" w:space="0" w:color="auto"/>
              <w:bottom w:val="none" w:sz="6" w:space="0" w:color="auto"/>
              <w:right w:val="none" w:sz="0" w:space="0" w:color="auto"/>
            </w:tcBorders>
          </w:tcPr>
          <w:p>
            <w:pPr>
              <w:spacing w:after="40"/>
            </w:pPr>
            <w:r>
              <w:t>-16.9%</w:t>
            </w:r>
          </w:p>
        </w:tc>
        <w:tc>
          <w:tcPr>
            <w:tcW w:type="dxa" w:w="1806"/>
            <w:tcBorders>
              <w:top w:val="none" w:sz="6" w:space="0" w:color="auto"/>
              <w:left w:val="none" w:sz="0" w:space="0" w:color="auto"/>
              <w:bottom w:val="none" w:sz="6" w:space="0" w:color="auto"/>
              <w:right w:val="none" w:sz="0" w:space="0" w:color="auto"/>
            </w:tcBorders>
          </w:tcPr>
          <w:p>
            <w:pPr>
              <w:spacing w:after="40"/>
            </w:pPr>
            <w:r>
              <w:t>0.845</w:t>
            </w:r>
          </w:p>
        </w:tc>
        <w:tc>
          <w:tcPr>
            <w:tcW w:type="dxa" w:w="1806"/>
            <w:tcBorders>
              <w:top w:val="none" w:sz="6" w:space="0" w:color="auto"/>
              <w:left w:val="none" w:sz="0" w:space="0" w:color="auto"/>
              <w:bottom w:val="none" w:sz="6" w:space="0" w:color="auto"/>
              <w:right w:val="none" w:sz="0" w:space="0" w:color="auto"/>
            </w:tcBorders>
          </w:tcPr>
          <w:p>
            <w:pPr>
              <w:spacing w:after="40"/>
            </w:pPr>
            <w:r>
              <w:t>-6.1%</w:t>
            </w:r>
          </w:p>
        </w:tc>
      </w:tr>
      <w:tr>
        <w:tc>
          <w:tcPr>
            <w:tcW w:type="dxa" w:w="1806"/>
            <w:tcBorders>
              <w:top w:val="none" w:sz="6" w:space="0" w:color="auto"/>
              <w:left w:val="none" w:sz="0" w:space="0" w:color="auto"/>
              <w:bottom w:val="none" w:sz="6" w:space="0" w:color="auto"/>
              <w:right w:val="none" w:sz="0" w:space="0" w:color="auto"/>
            </w:tcBorders>
          </w:tcPr>
          <w:p>
            <w:pPr>
              <w:spacing w:after="40"/>
            </w:pPr>
            <w:r>
              <w:t>w/o Antecedent Memory (No API)</w:t>
            </w:r>
          </w:p>
        </w:tc>
        <w:tc>
          <w:tcPr>
            <w:tcW w:type="dxa" w:w="1806"/>
            <w:tcBorders>
              <w:top w:val="none" w:sz="6" w:space="0" w:color="auto"/>
              <w:left w:val="none" w:sz="0" w:space="0" w:color="auto"/>
              <w:bottom w:val="none" w:sz="6" w:space="0" w:color="auto"/>
              <w:right w:val="none" w:sz="0" w:space="0" w:color="auto"/>
            </w:tcBorders>
          </w:tcPr>
          <w:p>
            <w:pPr>
              <w:spacing w:after="40"/>
            </w:pPr>
            <w:r>
              <w:t>0.811</w:t>
            </w:r>
          </w:p>
        </w:tc>
        <w:tc>
          <w:tcPr>
            <w:tcW w:type="dxa" w:w="1806"/>
            <w:tcBorders>
              <w:top w:val="none" w:sz="6" w:space="0" w:color="auto"/>
              <w:left w:val="none" w:sz="0" w:space="0" w:color="auto"/>
              <w:bottom w:val="none" w:sz="6" w:space="0" w:color="auto"/>
              <w:right w:val="none" w:sz="0" w:space="0" w:color="auto"/>
            </w:tcBorders>
          </w:tcPr>
          <w:p>
            <w:pPr>
              <w:spacing w:after="40"/>
            </w:pPr>
            <w:r>
              <w:t>-6.0%</w:t>
            </w:r>
          </w:p>
        </w:tc>
        <w:tc>
          <w:tcPr>
            <w:tcW w:type="dxa" w:w="1806"/>
            <w:tcBorders>
              <w:top w:val="none" w:sz="6" w:space="0" w:color="auto"/>
              <w:left w:val="none" w:sz="0" w:space="0" w:color="auto"/>
              <w:bottom w:val="none" w:sz="6" w:space="0" w:color="auto"/>
              <w:right w:val="none" w:sz="0" w:space="0" w:color="auto"/>
            </w:tcBorders>
          </w:tcPr>
          <w:p>
            <w:pPr>
              <w:spacing w:after="40"/>
            </w:pPr>
            <w:r>
              <w:t>0.901</w:t>
            </w:r>
          </w:p>
        </w:tc>
        <w:tc>
          <w:tcPr>
            <w:tcW w:type="dxa" w:w="1806"/>
            <w:tcBorders>
              <w:top w:val="none" w:sz="6" w:space="0" w:color="auto"/>
              <w:left w:val="none" w:sz="0" w:space="0" w:color="auto"/>
              <w:bottom w:val="none" w:sz="6" w:space="0" w:color="auto"/>
              <w:right w:val="none" w:sz="0" w:space="0" w:color="auto"/>
            </w:tcBorders>
          </w:tcPr>
          <w:p>
            <w:pPr>
              <w:spacing w:after="40"/>
            </w:pPr>
            <w:r>
              <w:t>-5.3%</w:t>
            </w:r>
          </w:p>
        </w:tc>
      </w:tr>
      <w:tr>
        <w:tc>
          <w:tcPr>
            <w:tcW w:type="dxa" w:w="1806"/>
            <w:tcBorders>
              <w:top w:val="none" w:sz="6" w:space="0" w:color="auto"/>
              <w:left w:val="none" w:sz="0" w:space="0" w:color="auto"/>
              <w:bottom w:val="single" w:sz="6" w:space="0" w:color="auto"/>
              <w:right w:val="none" w:sz="0" w:space="0" w:color="auto"/>
            </w:tcBorders>
          </w:tcPr>
          <w:p>
            <w:pPr>
              <w:spacing w:after="40"/>
            </w:pPr>
            <w:r>
              <w:t>w/o Thermal/Evaporative Forcing</w:t>
            </w:r>
          </w:p>
        </w:tc>
        <w:tc>
          <w:tcPr>
            <w:tcW w:type="dxa" w:w="1806"/>
            <w:tcBorders>
              <w:top w:val="none" w:sz="6" w:space="0" w:color="auto"/>
              <w:left w:val="none" w:sz="0" w:space="0" w:color="auto"/>
              <w:bottom w:val="single" w:sz="6" w:space="0" w:color="auto"/>
              <w:right w:val="none" w:sz="0" w:space="0" w:color="auto"/>
            </w:tcBorders>
          </w:tcPr>
          <w:p>
            <w:pPr>
              <w:spacing w:after="40"/>
            </w:pPr>
            <w:r>
              <w:t>0.814</w:t>
            </w:r>
          </w:p>
        </w:tc>
        <w:tc>
          <w:tcPr>
            <w:tcW w:type="dxa" w:w="1806"/>
            <w:tcBorders>
              <w:top w:val="none" w:sz="6" w:space="0" w:color="auto"/>
              <w:left w:val="none" w:sz="0" w:space="0" w:color="auto"/>
              <w:bottom w:val="single" w:sz="6" w:space="0" w:color="auto"/>
              <w:right w:val="none" w:sz="0" w:space="0" w:color="auto"/>
            </w:tcBorders>
          </w:tcPr>
          <w:p>
            <w:pPr>
              <w:spacing w:after="40"/>
            </w:pPr>
            <w:r>
              <w:t>-3.1%</w:t>
            </w:r>
          </w:p>
        </w:tc>
        <w:tc>
          <w:tcPr>
            <w:tcW w:type="dxa" w:w="1806"/>
            <w:tcBorders>
              <w:top w:val="none" w:sz="6" w:space="0" w:color="auto"/>
              <w:left w:val="none" w:sz="0" w:space="0" w:color="auto"/>
              <w:bottom w:val="single" w:sz="6" w:space="0" w:color="auto"/>
              <w:right w:val="none" w:sz="0" w:space="0" w:color="auto"/>
            </w:tcBorders>
          </w:tcPr>
          <w:p>
            <w:pPr>
              <w:spacing w:after="40"/>
            </w:pPr>
            <w:r>
              <w:t>0.898</w:t>
            </w:r>
          </w:p>
        </w:tc>
        <w:tc>
          <w:tcPr>
            <w:tcW w:type="dxa" w:w="1806"/>
            <w:tcBorders>
              <w:top w:val="none" w:sz="6" w:space="0" w:color="auto"/>
              <w:left w:val="none" w:sz="0" w:space="0" w:color="auto"/>
              <w:bottom w:val="single" w:sz="6" w:space="0" w:color="auto"/>
              <w:right w:val="none" w:sz="0" w:space="0" w:color="auto"/>
            </w:tcBorders>
          </w:tcPr>
          <w:p>
            <w:pPr>
              <w:spacing w:after="40"/>
            </w:pPr>
            <w:r>
              <w:t>-5.1%</w:t>
            </w:r>
          </w:p>
        </w:tc>
      </w:tr>
    </w:tbl>
    <w:p>
      <w:pPr>
        <w:spacing w:after="160"/>
      </w:pPr>
    </w:p>
    <w:p>
      <w:pPr>
        <w:keepNext/>
        <w:spacing w:before="16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Figure_1_Hydrograph_Comparison_and_Residuals.png"/>
                    <pic:cNvPicPr/>
                  </pic:nvPicPr>
                  <pic:blipFill>
                    <a:blip r:embed="rId11"/>
                    <a:stretch>
                      <a:fillRect/>
                    </a:stretch>
                  </pic:blipFill>
                  <pic:spPr>
                    <a:xfrm>
                      <a:off x="0" y="0"/>
                      <a:ext cx="5486400" cy="3429000"/>
                    </a:xfrm>
                    <a:prstGeom prst="rect"/>
                  </pic:spPr>
                </pic:pic>
              </a:graphicData>
            </a:graphic>
          </wp:inline>
        </w:drawing>
      </w:r>
    </w:p>
    <w:p>
      <w:pPr>
        <w:keepNext w:val="0"/>
        <w:spacing w:after="160"/>
      </w:pPr>
      <w:r>
        <w:rPr>
          <w:b/>
        </w:rPr>
        <w:t xml:space="preserve">Fig. 3 </w:t>
      </w:r>
      <w:r>
        <w:t>Multi-model streamflow simulation across the Lower Indus Basin (2000–2024, N = 300). Panel (a) compares observed hydrographs with model predictions across Calibration (2000–2019), Extreme Holdout (2020–2022), and Future Period (2023–2024), featuring 95% Moving Block Bootstrap confidence intervals (shaded band). Panel (b) displays residual errors</w:t>
      </w:r>
    </w:p>
    <w:p>
      <w:pPr>
        <w:keepNext/>
        <w:spacing w:before="160" w:after="80"/>
        <w:jc w:val="center"/>
      </w:pPr>
      <w:r>
        <w:drawing>
          <wp:inline xmlns:a="http://schemas.openxmlformats.org/drawingml/2006/main" xmlns:pic="http://schemas.openxmlformats.org/drawingml/2006/picture">
            <wp:extent cx="4572000" cy="4220308"/>
            <wp:docPr id="4" name="Picture 4"/>
            <wp:cNvGraphicFramePr>
              <a:graphicFrameLocks noChangeAspect="1"/>
            </wp:cNvGraphicFramePr>
            <a:graphic>
              <a:graphicData uri="http://schemas.openxmlformats.org/drawingml/2006/picture">
                <pic:pic>
                  <pic:nvPicPr>
                    <pic:cNvPr id="0" name="Figure_2_Model_Benchmarking_Scatter.png"/>
                    <pic:cNvPicPr/>
                  </pic:nvPicPr>
                  <pic:blipFill>
                    <a:blip r:embed="rId12"/>
                    <a:stretch>
                      <a:fillRect/>
                    </a:stretch>
                  </pic:blipFill>
                  <pic:spPr>
                    <a:xfrm>
                      <a:off x="0" y="0"/>
                      <a:ext cx="4572000" cy="4220308"/>
                    </a:xfrm>
                    <a:prstGeom prst="rect"/>
                  </pic:spPr>
                </pic:pic>
              </a:graphicData>
            </a:graphic>
          </wp:inline>
        </w:drawing>
      </w:r>
    </w:p>
    <w:p>
      <w:pPr>
        <w:keepNext w:val="0"/>
        <w:spacing w:after="160"/>
      </w:pPr>
      <w:r>
        <w:rPr>
          <w:b/>
        </w:rPr>
        <w:t xml:space="preserve">Fig. 4 </w:t>
      </w:r>
      <w:r>
        <w:t>Goodness-of-fit scatter plot and 1:1 regression fit during the 2020–2024 out-of-sample testing period (N = 60 months)</w:t>
      </w:r>
    </w:p>
    <w:p>
      <w:pPr>
        <w:keepNext/>
        <w:spacing w:before="160" w:after="80"/>
        <w:jc w:val="center"/>
      </w:pPr>
      <w:r>
        <w:drawing>
          <wp:inline xmlns:a="http://schemas.openxmlformats.org/drawingml/2006/main" xmlns:pic="http://schemas.openxmlformats.org/drawingml/2006/picture">
            <wp:extent cx="4572000" cy="2689412"/>
            <wp:docPr id="5" name="Picture 5"/>
            <wp:cNvGraphicFramePr>
              <a:graphicFrameLocks noChangeAspect="1"/>
            </wp:cNvGraphicFramePr>
            <a:graphic>
              <a:graphicData uri="http://schemas.openxmlformats.org/drawingml/2006/picture">
                <pic:pic>
                  <pic:nvPicPr>
                    <pic:cNvPr id="0" name="Figure_3_2022_Extreme_Flood_Hydrograph_Zoom.png"/>
                    <pic:cNvPicPr/>
                  </pic:nvPicPr>
                  <pic:blipFill>
                    <a:blip r:embed="rId13"/>
                    <a:stretch>
                      <a:fillRect/>
                    </a:stretch>
                  </pic:blipFill>
                  <pic:spPr>
                    <a:xfrm>
                      <a:off x="0" y="0"/>
                      <a:ext cx="4572000" cy="2689412"/>
                    </a:xfrm>
                    <a:prstGeom prst="rect"/>
                  </pic:spPr>
                </pic:pic>
              </a:graphicData>
            </a:graphic>
          </wp:inline>
        </w:drawing>
      </w:r>
    </w:p>
    <w:p>
      <w:pPr>
        <w:keepNext w:val="0"/>
        <w:spacing w:after="160"/>
      </w:pPr>
      <w:r>
        <w:rPr>
          <w:b/>
        </w:rPr>
        <w:t xml:space="preserve">Fig. 5 </w:t>
      </w:r>
      <w:r>
        <w:t>Reconstruction of the unseen 2022 Indus Mega-Flood event in Sindh Province under extreme monsoon forcing</w:t>
      </w:r>
    </w:p>
    <w:p>
      <w:pPr>
        <w:keepNext/>
        <w:spacing w:before="160" w:after="80"/>
        <w:jc w:val="center"/>
      </w:pPr>
      <w:r>
        <w:drawing>
          <wp:inline xmlns:a="http://schemas.openxmlformats.org/drawingml/2006/main" xmlns:pic="http://schemas.openxmlformats.org/drawingml/2006/picture">
            <wp:extent cx="4572000" cy="1995055"/>
            <wp:docPr id="6" name="Picture 6"/>
            <wp:cNvGraphicFramePr>
              <a:graphicFrameLocks noChangeAspect="1"/>
            </wp:cNvGraphicFramePr>
            <a:graphic>
              <a:graphicData uri="http://schemas.openxmlformats.org/drawingml/2006/picture">
                <pic:pic>
                  <pic:nvPicPr>
                    <pic:cNvPr id="0" name="Figure_4_Ablation_Study_Comparison.png"/>
                    <pic:cNvPicPr/>
                  </pic:nvPicPr>
                  <pic:blipFill>
                    <a:blip r:embed="rId14"/>
                    <a:stretch>
                      <a:fillRect/>
                    </a:stretch>
                  </pic:blipFill>
                  <pic:spPr>
                    <a:xfrm>
                      <a:off x="0" y="0"/>
                      <a:ext cx="4572000" cy="1995055"/>
                    </a:xfrm>
                    <a:prstGeom prst="rect"/>
                  </pic:spPr>
                </pic:pic>
              </a:graphicData>
            </a:graphic>
          </wp:inline>
        </w:drawing>
      </w:r>
    </w:p>
    <w:p>
      <w:pPr>
        <w:keepNext w:val="0"/>
        <w:spacing w:after="160"/>
      </w:pPr>
      <w:r>
        <w:rPr>
          <w:b/>
        </w:rPr>
        <w:t xml:space="preserve">Fig. 6 </w:t>
      </w:r>
      <w:r>
        <w:t>Systematic ablation comparison showing (a) extreme-event KGE during the unseen 2022 flood and (b) peak flow underestimation magnitude (|FHV|) across model variants</w:t>
      </w:r>
    </w:p>
    <w:p>
      <w:pPr>
        <w:keepNext/>
        <w:spacing w:before="160" w:after="60"/>
      </w:pPr>
      <w:r>
        <w:rPr>
          <w:b/>
          <w:sz w:val="22"/>
        </w:rPr>
        <w:t>5.1 Unseen extreme flood generalization</w:t>
      </w:r>
    </w:p>
    <w:p>
      <w:pPr>
        <w:spacing w:after="80"/>
      </w:pPr>
      <w:r>
        <w:t>As shown in Fig. 3, Fig. 4, and Fig. 5, when evaluated on the unseen 2022 Pakistan Mega-Flood, PG-MCH achieved KGE = 0.812 with a minimal peak underestimation bias of FHV = -4.0% (Table 2). In contrast, unconstrained gradient boosting collapsed to FHV = -13.3%, while Random Forest achieved FHV = -7.0% with overall KGE = 0.721. Over the combined 2020–2024 out-of-sample period (N = 60), PG-MCH maintained superior overall efficiency (KGE = 0.895 [0.73, 0.93], NSE = 0.838, RMSE = 11.78 mm), confirming that physical baseline anchoring prevents peak flow shrinkage under extreme out-of-distribution meteorological shocks.</w:t>
      </w:r>
    </w:p>
    <w:p>
      <w:pPr>
        <w:keepNext/>
        <w:spacing w:before="160" w:after="60"/>
      </w:pPr>
      <w:r>
        <w:rPr>
          <w:b/>
          <w:sz w:val="22"/>
        </w:rPr>
        <w:t>5.2 Ablation study and physical interpretation of features</w:t>
      </w:r>
    </w:p>
    <w:p>
      <w:pPr>
        <w:spacing w:after="80"/>
      </w:pPr>
      <w:r>
        <w:t>Table 3 and Fig. 6 summarize the systematic ablation experiments:</w:t>
      </w:r>
    </w:p>
    <w:p>
      <w:pPr>
        <w:spacing w:after="80"/>
        <w:ind w:firstLine="360"/>
      </w:pPr>
      <w:r>
        <w:t>• Physical Backbone: Removing the NNLS water-balance backbone degrades 2022 flood KGE from 0.812 to 0.750 and worsens peak underestimation from -4.0% to -13.3%, proving that linear water-balance constraints anchor tree ensembles during unprecedented extremes.</w:t>
      </w:r>
    </w:p>
    <w:p>
      <w:pPr>
        <w:spacing w:after="80"/>
        <w:ind w:firstLine="360"/>
      </w:pPr>
      <w:r>
        <w:t>• Upstream Boundary Telemetry (Qinflow): Removing Guddu Barrage inflow causes severe degradation (KGE = 0.717, FHV = -16.9%), reflecting the dominant role of transboundary river routing through the alluvial corridor.</w:t>
      </w:r>
    </w:p>
    <w:p>
      <w:pPr>
        <w:spacing w:after="80"/>
        <w:ind w:firstLine="360"/>
      </w:pPr>
      <w:r>
        <w:t>• Antecedent Memory (API): Removing lagged antecedent precipitation memory increases peak flow underestimation bias by 50% (from -4.0% to -6.0% during the 2022 flood, and from -3.1% to -5.3% across the combined out-of-sample test), demonstrating that lagged precipitation accumulation is essential for capturing antecedent catchment saturation without violating single-count mass conservation.</w:t>
      </w:r>
    </w:p>
    <w:p>
      <w:pPr>
        <w:spacing w:after="80"/>
        <w:ind w:firstLine="360"/>
      </w:pPr>
      <w:r>
        <w:t>• Thermal/Evaporative Forcing: Excluding ERA5-Land evaporation and temperature increases out-of-sample peak bias to -5.1%, showing the necessity of evaporative deficit modeling during pre-monsoon and post-flood transitions.</w:t>
      </w:r>
    </w:p>
    <w:p>
      <w:pPr>
        <w:keepNext/>
        <w:spacing w:before="240" w:after="80"/>
      </w:pPr>
      <w:r>
        <w:rPr>
          <w:b/>
          <w:sz w:val="24"/>
        </w:rPr>
        <w:t>6 Practical implications for water management</w:t>
      </w:r>
    </w:p>
    <w:p>
      <w:pPr>
        <w:keepNext/>
        <w:spacing w:before="160" w:after="60"/>
      </w:pPr>
      <w:r>
        <w:rPr>
          <w:b/>
          <w:sz w:val="22"/>
        </w:rPr>
        <w:t>6.1 Decision support utility</w:t>
      </w:r>
    </w:p>
    <w:p>
      <w:pPr>
        <w:spacing w:after="80"/>
      </w:pPr>
      <w:r>
        <w:t>The monthly PG-MCH framework provides practical utility for regional water authorities by delivering 1-to-3 month volumetric forecasts for Guddu, Sukkur, and Kotri Barrages and assisting in storage pressure assessment at Manchar Lake.</w:t>
      </w:r>
    </w:p>
    <w:p>
      <w:pPr>
        <w:keepNext/>
        <w:spacing w:before="160" w:after="60"/>
      </w:pPr>
      <w:r>
        <w:rPr>
          <w:b/>
          <w:sz w:val="22"/>
        </w:rPr>
        <w:t>6.2 Operational barrage allocation</w:t>
      </w:r>
    </w:p>
    <w:p>
      <w:pPr>
        <w:spacing w:after="80"/>
      </w:pPr>
      <w:r>
        <w:t>By ingesting real-time upstream barrage telemetry alongside satellite soil moisture and precipitation anomalies, water managers can anticipate volumetric influx surges weeks in advance, optimizing flood discharge routing across downstream canal barrages.</w:t>
      </w:r>
    </w:p>
    <w:p>
      <w:pPr>
        <w:keepNext/>
        <w:spacing w:before="240" w:after="80"/>
      </w:pPr>
      <w:r>
        <w:rPr>
          <w:b/>
          <w:sz w:val="24"/>
        </w:rPr>
        <w:t>7 Limitations and future work</w:t>
      </w:r>
    </w:p>
    <w:p>
      <w:pPr>
        <w:keepNext/>
        <w:spacing w:before="160" w:after="60"/>
      </w:pPr>
      <w:r>
        <w:rPr>
          <w:b/>
          <w:sz w:val="22"/>
        </w:rPr>
        <w:t>7.1 Temporal and spatial resolution constraints</w:t>
      </w:r>
    </w:p>
    <w:p>
      <w:pPr>
        <w:spacing w:after="80"/>
      </w:pPr>
      <w:r>
        <w:t>The monthly time step does not resolve daily/sub-daily flash flood hydrographs in Kirthar hill torrents. Furthermore, 0.05° CHIRPS and 0.1° ERA5-Land grids do not resolve micro-embankments or localized urban drainage networks.</w:t>
      </w:r>
    </w:p>
    <w:p>
      <w:pPr>
        <w:keepNext/>
        <w:spacing w:before="160" w:after="60"/>
      </w:pPr>
      <w:r>
        <w:rPr>
          <w:b/>
          <w:sz w:val="22"/>
        </w:rPr>
        <w:t>7.2 Methodological extensions</w:t>
      </w:r>
    </w:p>
    <w:p>
      <w:pPr>
        <w:spacing w:after="80"/>
      </w:pPr>
      <w:r>
        <w:t>Future work will explore ingesting daily Sentinel-1 SAR inundation maps (Tian et al., 2023) and coupling the hybrid water-balance framework with 2D hydrodynamic inundation models (e.g., HEC-RAS 2D).</w:t>
      </w:r>
    </w:p>
    <w:p>
      <w:pPr>
        <w:keepNext/>
        <w:spacing w:before="240" w:after="80"/>
      </w:pPr>
      <w:r>
        <w:rPr>
          <w:b/>
          <w:sz w:val="24"/>
        </w:rPr>
        <w:t>8 Conclusion</w:t>
      </w:r>
    </w:p>
    <w:p>
      <w:pPr>
        <w:spacing w:after="80"/>
      </w:pPr>
      <w:r>
        <w:t>This study demonstrates that anchoring residual decision tree ensembles to a non-negative, regularized water-balance baseline substantially improves extreme flood generalization in the Lower Indus Basin over multi-decadal timescales (2000–2024). Formulating antecedent memory as strictly lagged storage eliminates precipitation double-counting while preserving critical soil saturation dynamics. When tested on the unseen 2022 Mega-Flood, PG-MCH restricted peak volumetric bias to -4.0% while unconstrained machine learning suffered severe peak dampening.</w:t>
      </w:r>
    </w:p>
    <w:p>
      <w:pPr>
        <w:keepNext/>
        <w:spacing w:before="240" w:after="80"/>
      </w:pPr>
      <w:r>
        <w:rPr>
          <w:b/>
          <w:sz w:val="24"/>
        </w:rPr>
        <w:t>Acknowledgements</w:t>
      </w:r>
    </w:p>
    <w:p>
      <w:pPr>
        <w:spacing w:after="80"/>
      </w:pPr>
      <w:r>
        <w:t>The author expresses gratitude to the Sindh Irrigation Department and Federal Flood Commission (FFC) for providing barrage telemetry data.</w:t>
      </w:r>
    </w:p>
    <w:p>
      <w:pPr>
        <w:keepNext/>
        <w:spacing w:before="240" w:after="80"/>
      </w:pPr>
      <w:r>
        <w:rPr>
          <w:b/>
          <w:sz w:val="24"/>
        </w:rPr>
        <w:t>Statements and declarations</w:t>
      </w:r>
    </w:p>
    <w:p>
      <w:pPr>
        <w:keepNext/>
        <w:spacing w:before="160" w:after="60"/>
      </w:pPr>
      <w:r>
        <w:rPr>
          <w:b/>
          <w:sz w:val="22"/>
        </w:rPr>
        <w:t>Funding</w:t>
      </w:r>
    </w:p>
    <w:p>
      <w:pPr>
        <w:spacing w:after="80"/>
      </w:pPr>
      <w:r>
        <w:t>No specific research grant funding was received for conducting this study.</w:t>
      </w:r>
    </w:p>
    <w:p>
      <w:pPr>
        <w:keepNext/>
        <w:spacing w:before="160" w:after="60"/>
      </w:pPr>
      <w:r>
        <w:rPr>
          <w:b/>
          <w:sz w:val="22"/>
        </w:rPr>
        <w:t>Competing interests</w:t>
      </w:r>
    </w:p>
    <w:p>
      <w:pPr>
        <w:spacing w:after="80"/>
      </w:pPr>
      <w:r>
        <w:t>The author has no relevant financial or non-financial interests to disclose.</w:t>
      </w:r>
    </w:p>
    <w:p>
      <w:pPr>
        <w:keepNext/>
        <w:spacing w:before="160" w:after="60"/>
      </w:pPr>
      <w:r>
        <w:rPr>
          <w:b/>
          <w:sz w:val="22"/>
        </w:rPr>
        <w:t>Author contributions</w:t>
      </w:r>
    </w:p>
    <w:p>
      <w:pPr>
        <w:spacing w:after="80"/>
      </w:pPr>
      <w: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keepNext/>
        <w:spacing w:before="240" w:after="80"/>
      </w:pPr>
      <w:r>
        <w:rPr>
          <w:b/>
          <w:sz w:val="24"/>
        </w:rPr>
        <w:t>Data availability statements</w:t>
      </w:r>
    </w:p>
    <w:p>
      <w:pPr>
        <w:spacing w:after="80"/>
      </w:pPr>
      <w: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keepNext/>
        <w:spacing w:before="240" w:after="80"/>
      </w:pPr>
      <w:r>
        <w:rPr>
          <w:b/>
          <w:sz w:val="24"/>
        </w:rPr>
        <w:t>References</w:t>
      </w:r>
    </w:p>
    <w:p>
      <w:pPr>
        <w:spacing w:after="80"/>
        <w:ind w:hanging="360" w:left="360"/>
      </w:pPr>
      <w:r>
        <w:t xml:space="preserve">Biemans, H., Siderius, C., Mishra, V., and Ahmad, B. (2016) Future water resources for food production in Five South Asian River Basins and potential for adaptation. </w:t>
      </w:r>
      <w:r>
        <w:rPr>
          <w:i/>
        </w:rPr>
        <w:t>Hydrology and Earth System Sciences</w:t>
      </w:r>
      <w:r>
        <w:t xml:space="preserve">, </w:t>
      </w:r>
      <w:r>
        <w:rPr>
          <w:i/>
        </w:rPr>
        <w:t>20</w:t>
      </w:r>
      <w:r>
        <w:t>(9)</w:t>
      </w:r>
      <w:r>
        <w:t>: 3711–3731.</w:t>
      </w:r>
      <w:r>
        <w:t xml:space="preserve"> https://doi.org/10.5194/hess-20-3711-2016</w:t>
      </w:r>
    </w:p>
    <w:p>
      <w:pPr>
        <w:spacing w:after="80"/>
        <w:ind w:hanging="360" w:left="360"/>
      </w:pPr>
      <w:r>
        <w:t xml:space="preserve">Entekhabi, D., Njoku, E.G., O'Neill, P.E., Kellogg, K.H., Crow, W.T., Edelstein, W.N., Entin, J.K., Goodman, S.D., Jackson, T.J., Johnson, J., et al. (2010) The Soil Moisture Active Passive (SMAP) mission. </w:t>
      </w:r>
      <w:r>
        <w:rPr>
          <w:i/>
        </w:rPr>
        <w:t>Proceedings of the IEEE</w:t>
      </w:r>
      <w:r>
        <w:t xml:space="preserve">, </w:t>
      </w:r>
      <w:r>
        <w:rPr>
          <w:i/>
        </w:rPr>
        <w:t>98</w:t>
      </w:r>
      <w:r>
        <w:t>(5)</w:t>
      </w:r>
      <w:r>
        <w:t>: 704–716.</w:t>
      </w:r>
      <w:r>
        <w:t xml:space="preserve"> https://doi.org/10.1109/JPROC.2010.2043918</w:t>
      </w:r>
    </w:p>
    <w:p>
      <w:pPr>
        <w:spacing w:after="80"/>
        <w:ind w:hanging="360" w:left="360"/>
      </w:pPr>
      <w:r>
        <w:t xml:space="preserve">Farr, T.G., Rosen, P.A., Caro, E., Crippen, R., Duren, R., Hensley, S., Kobrick, M., Paller, M., Rodriguez, E., Roth, L., et al. (2007) The Shuttle Radar Topography Mission. </w:t>
      </w:r>
      <w:r>
        <w:rPr>
          <w:i/>
        </w:rPr>
        <w:t>Reviews of Geophysics</w:t>
      </w:r>
      <w:r>
        <w:t xml:space="preserve">, </w:t>
      </w:r>
      <w:r>
        <w:rPr>
          <w:i/>
        </w:rPr>
        <w:t>45</w:t>
      </w:r>
      <w:r>
        <w:t>(2)</w:t>
      </w:r>
      <w:r>
        <w:t>: RG2004.</w:t>
      </w:r>
      <w:r>
        <w:t xml:space="preserve"> https://doi.org/10.1029/2005RG000183</w:t>
      </w:r>
    </w:p>
    <w:p>
      <w:pPr>
        <w:spacing w:after="80"/>
        <w:ind w:hanging="360" w:left="360"/>
      </w:pPr>
      <w:r>
        <w:t xml:space="preserve">Frame, J.M., Kratzert, F., Raney, A., Rahman, M., Salas, F.R., and Nearing, G.S. (2022) Post-processing the US National Water Model with a process-guided deep learning approach. </w:t>
      </w:r>
      <w:r>
        <w:rPr>
          <w:i/>
        </w:rPr>
        <w:t>Hydrology and Earth System Sciences</w:t>
      </w:r>
      <w:r>
        <w:t xml:space="preserve">, </w:t>
      </w:r>
      <w:r>
        <w:rPr>
          <w:i/>
        </w:rPr>
        <w:t>26</w:t>
      </w:r>
      <w:r>
        <w:t>(13)</w:t>
      </w:r>
      <w:r>
        <w:t>: 3645–3662.</w:t>
      </w:r>
      <w:r>
        <w:t xml:space="preserve"> https://doi.org/10.5194/hess-26-3645-2022</w:t>
      </w:r>
    </w:p>
    <w:p>
      <w:pPr>
        <w:spacing w:after="80"/>
        <w:ind w:hanging="360" w:left="360"/>
      </w:pPr>
      <w:r>
        <w:t xml:space="preserve">Funk, C., Peterson, P., Landsfeld, M., Pedreros, D., Verdin, J., Shukla, S., Husak, G., Rowland, J., Harrison, L., Hoell, A., et al. (2015) The climate hazards group infrared precipitation with stations—a new environmental record for monitoring extremes. </w:t>
      </w:r>
      <w:r>
        <w:rPr>
          <w:i/>
        </w:rPr>
        <w:t>Scientific Data</w:t>
      </w:r>
      <w:r>
        <w:t xml:space="preserve">, </w:t>
      </w:r>
      <w:r>
        <w:rPr>
          <w:i/>
        </w:rPr>
        <w:t>2</w:t>
      </w:r>
      <w:r>
        <w:t>(1)</w:t>
      </w:r>
      <w:r>
        <w:t>: 150066.</w:t>
      </w:r>
      <w:r>
        <w:t xml:space="preserve"> https://doi.org/10.1038/sdata.2015.66</w:t>
      </w:r>
    </w:p>
    <w:p>
      <w:pPr>
        <w:spacing w:after="80"/>
        <w:ind w:hanging="360" w:left="360"/>
      </w:pPr>
      <w:r>
        <w:t xml:space="preserve">Gorelick, N., Hancher, M., Dixon, M., Ilyushchenko, S., Thau, D., and Moore, R. (2017) Google Earth Engine: Planetary-scale geospatial analysis for everyone. </w:t>
      </w:r>
      <w:r>
        <w:rPr>
          <w:i/>
        </w:rPr>
        <w:t>Remote Sensing of Environment</w:t>
      </w:r>
      <w:r>
        <w:t xml:space="preserve">, </w:t>
      </w:r>
      <w:r>
        <w:rPr>
          <w:i/>
        </w:rPr>
        <w:t>202</w:t>
      </w:r>
      <w:r>
        <w:t>: 18–27.</w:t>
      </w:r>
      <w:r>
        <w:t xml:space="preserve"> https://doi.org/10.1016/j.rse.2017.06.031</w:t>
      </w:r>
    </w:p>
    <w:p>
      <w:pPr>
        <w:spacing w:after="80"/>
        <w:ind w:hanging="360" w:left="360"/>
      </w:pPr>
      <w:r>
        <w:t xml:space="preserve">Gupta, H.V., Kling, H., Yilmaz, K.K., and Martinez, G.F. (2009) Decomposition of the mean squared error and NSE performance criteria: Implications for improving hydrological modelling. </w:t>
      </w:r>
      <w:r>
        <w:rPr>
          <w:i/>
        </w:rPr>
        <w:t>Journal of Hydrology</w:t>
      </w:r>
      <w:r>
        <w:t xml:space="preserve">, </w:t>
      </w:r>
      <w:r>
        <w:rPr>
          <w:i/>
        </w:rPr>
        <w:t>377</w:t>
      </w:r>
      <w:r>
        <w:t>(1-2)</w:t>
      </w:r>
      <w:r>
        <w:t>: 80–91.</w:t>
      </w:r>
      <w:r>
        <w:t xml:space="preserve"> https://doi.org/10.1016/j.jhydrol.2009.08.003</w:t>
      </w:r>
    </w:p>
    <w:p>
      <w:pPr>
        <w:spacing w:after="80"/>
        <w:ind w:hanging="360" w:left="360"/>
      </w:pPr>
      <w:r>
        <w:t xml:space="preserve">Hashmi, H.N., Qureshi, M.A., and Shakir, A.S. (2022) Hydrodynamic modeling and flood hazard mapping of the Lower Indus River using 1D/2D coupled HEC-RAS. </w:t>
      </w:r>
      <w:r>
        <w:rPr>
          <w:i/>
        </w:rPr>
        <w:t>Water</w:t>
      </w:r>
      <w:r>
        <w:t xml:space="preserve">, </w:t>
      </w:r>
      <w:r>
        <w:rPr>
          <w:i/>
        </w:rPr>
        <w:t>14</w:t>
      </w:r>
      <w:r>
        <w:t>(4)</w:t>
      </w:r>
      <w:r>
        <w:t>: 589.</w:t>
      </w:r>
      <w:r>
        <w:t xml:space="preserve"> https://doi.org/10.3390/w14040589</w:t>
      </w:r>
    </w:p>
    <w:p>
      <w:pPr>
        <w:spacing w:after="80"/>
        <w:ind w:hanging="360" w:left="360"/>
      </w:pPr>
      <w:r>
        <w:t xml:space="preserve">Immerzeel, W.W., Lutz, A.F., Andrade, M., Bahl, A., Biemans, H., Bolch, T., Carpentier, S., de Jong, E., Gascoin, S., Hegdahl, P., et al. (2020) Importance and vulnerability of the world's water towers. </w:t>
      </w:r>
      <w:r>
        <w:rPr>
          <w:i/>
        </w:rPr>
        <w:t>Nature</w:t>
      </w:r>
      <w:r>
        <w:t xml:space="preserve">, </w:t>
      </w:r>
      <w:r>
        <w:rPr>
          <w:i/>
        </w:rPr>
        <w:t>577</w:t>
      </w:r>
      <w:r>
        <w:t>(7790)</w:t>
      </w:r>
      <w:r>
        <w:t>: 364–369.</w:t>
      </w:r>
      <w:r>
        <w:t xml:space="preserve"> https://doi.org/10.1038/s41586-019-1822-y</w:t>
      </w:r>
    </w:p>
    <w:p>
      <w:pPr>
        <w:spacing w:after="80"/>
        <w:ind w:hanging="360" w:left="360"/>
      </w:pPr>
      <w:r>
        <w:t xml:space="preserve">Inam, A., Clift, P.D., Giosan, L., Tabrez, A.R., Tahir, M., Rabbani, M.M., and Danish, M. (2007) The Geographic, Geological and Oceanographic Setting of the Indus River. </w:t>
      </w:r>
      <w:r>
        <w:rPr>
          <w:i/>
        </w:rPr>
        <w:t>Large Asian Rivers: Impacts of Climate Change and Water Resource Management</w:t>
      </w:r>
      <w:r>
        <w:t xml:space="preserve">, </w:t>
      </w:r>
      <w:r>
        <w:rPr>
          <w:i/>
        </w:rPr>
        <w:t>Special Publication</w:t>
      </w:r>
      <w:r>
        <w:t>: 333–346.</w:t>
      </w:r>
      <w:r>
        <w:t xml:space="preserve"> https://doi.org/10.1002/9780470723722.ch16</w:t>
      </w:r>
    </w:p>
    <w:p>
      <w:pPr>
        <w:spacing w:after="80"/>
        <w:ind w:hanging="360" w:left="360"/>
      </w:pPr>
      <w:r>
        <w:t xml:space="preserve">Jia, X., Willard, J., Karpatne, A., Read, J.S., Zwart, J.A., Steinbach, M., and Kumar, V. (2021) Physics-guided machine learning for scientific discovery: An application in simulating lake water temperature. </w:t>
      </w:r>
      <w:r>
        <w:rPr>
          <w:i/>
        </w:rPr>
        <w:t>ACM Transactions on Data Science</w:t>
      </w:r>
      <w:r>
        <w:t xml:space="preserve">, </w:t>
      </w:r>
      <w:r>
        <w:rPr>
          <w:i/>
        </w:rPr>
        <w:t>2</w:t>
      </w:r>
      <w:r>
        <w:t>(3)</w:t>
      </w:r>
      <w:r>
        <w:t>: 1–26.</w:t>
      </w:r>
      <w:r>
        <w:t xml:space="preserve"> https://doi.org/10.1145/3447814</w:t>
      </w:r>
    </w:p>
    <w:p>
      <w:pPr>
        <w:spacing w:after="80"/>
        <w:ind w:hanging="360" w:left="360"/>
      </w:pPr>
      <w:r>
        <w:t xml:space="preserve">Karpatne, A., Atluri, G., Faghmous, J.H., Steinbach, M., Banerjee, A., Ganguly, A., Shekhar, S., Samatova, N., and Kumar, V. (2017) Theory-guided data science: A new paradigm for scientific discovery from data. </w:t>
      </w:r>
      <w:r>
        <w:rPr>
          <w:i/>
        </w:rPr>
        <w:t>IEEE Transactions on Knowledge and Data Engineering</w:t>
      </w:r>
      <w:r>
        <w:t xml:space="preserve">, </w:t>
      </w:r>
      <w:r>
        <w:rPr>
          <w:i/>
        </w:rPr>
        <w:t>29</w:t>
      </w:r>
      <w:r>
        <w:t>(10)</w:t>
      </w:r>
      <w:r>
        <w:t>: 2318–2331.</w:t>
      </w:r>
      <w:r>
        <w:t xml:space="preserve"> https://doi.org/10.1109/TKDE.2017.2720168</w:t>
      </w:r>
    </w:p>
    <w:p>
      <w:pPr>
        <w:spacing w:after="80"/>
        <w:ind w:hanging="360" w:left="360"/>
      </w:pPr>
      <w:r>
        <w:t xml:space="preserve">Kratzert, F., Klotz, D., Brenner, C., Schulz, K., and Herrnegger, M. (2018) Rainfall–runoff modelling using Long Short-Term Memory (LSTM) networks. </w:t>
      </w:r>
      <w:r>
        <w:rPr>
          <w:i/>
        </w:rPr>
        <w:t>Hydrology and Earth System Sciences</w:t>
      </w:r>
      <w:r>
        <w:t xml:space="preserve">, </w:t>
      </w:r>
      <w:r>
        <w:rPr>
          <w:i/>
        </w:rPr>
        <w:t>22</w:t>
      </w:r>
      <w:r>
        <w:t>(11)</w:t>
      </w:r>
      <w:r>
        <w:t>: 6005–6022.</w:t>
      </w:r>
      <w:r>
        <w:t xml:space="preserve"> https://doi.org/10.5194/hess-22-6005-2018</w:t>
      </w:r>
    </w:p>
    <w:p>
      <w:pPr>
        <w:spacing w:after="80"/>
        <w:ind w:hanging="360" w:left="360"/>
      </w:pPr>
      <w:r>
        <w:t xml:space="preserve">Kratzert, F., Klotz, D., Herrnegger, M., Sampson, A.K., Hochreiter, S., and Nearing, G.S. (2019) Toward improved predictions in ungauged basins: Exploiting the power of machine learning. </w:t>
      </w:r>
      <w:r>
        <w:rPr>
          <w:i/>
        </w:rPr>
        <w:t>Water Resources Research</w:t>
      </w:r>
      <w:r>
        <w:t xml:space="preserve">, </w:t>
      </w:r>
      <w:r>
        <w:rPr>
          <w:i/>
        </w:rPr>
        <w:t>55</w:t>
      </w:r>
      <w:r>
        <w:t>(12)</w:t>
      </w:r>
      <w:r>
        <w:t>: 11344–11354.</w:t>
      </w:r>
      <w:r>
        <w:t xml:space="preserve"> https://doi.org/10.1029/2019WR026065</w:t>
      </w:r>
    </w:p>
    <w:p>
      <w:pPr>
        <w:spacing w:after="80"/>
        <w:ind w:hanging="360" w:left="360"/>
      </w:pPr>
      <w:r>
        <w:t xml:space="preserve">Muñoz-Sabater, J., Dutra, E., Agustí-Panareda, A., Albergel, C., Arduini, G., Balsamo, G., Boussetta, S., Choulga, M., Harrigan, S., Hersbach, H., et al. (2021) ERA5-Land: A state-of-the-art global reanalysis dataset for land applications. </w:t>
      </w:r>
      <w:r>
        <w:rPr>
          <w:i/>
        </w:rPr>
        <w:t>Earth System Science Data</w:t>
      </w:r>
      <w:r>
        <w:t xml:space="preserve">, </w:t>
      </w:r>
      <w:r>
        <w:rPr>
          <w:i/>
        </w:rPr>
        <w:t>13</w:t>
      </w:r>
      <w:r>
        <w:t>(9)</w:t>
      </w:r>
      <w:r>
        <w:t>: 4349–4383.</w:t>
      </w:r>
      <w:r>
        <w:t xml:space="preserve"> https://doi.org/10.5194/essd-13-4349-2021</w:t>
      </w:r>
    </w:p>
    <w:p>
      <w:pPr>
        <w:spacing w:after="80"/>
        <w:ind w:hanging="360" w:left="360"/>
      </w:pPr>
      <w:r>
        <w:t xml:space="preserve">Nanditha, J.S., Kushwaha, A.P., Singh, R., Malik, I., Solanki, P., Chuphal, D.S., Dangar, S., Mahto, S.S., Vegad, U., and Mishra, V. (2023) The Pakistan flood of August 2022: causes and implications. </w:t>
      </w:r>
      <w:r>
        <w:rPr>
          <w:i/>
        </w:rPr>
        <w:t>Earth's Future</w:t>
      </w:r>
      <w:r>
        <w:t xml:space="preserve">, </w:t>
      </w:r>
      <w:r>
        <w:rPr>
          <w:i/>
        </w:rPr>
        <w:t>11</w:t>
      </w:r>
      <w:r>
        <w:t>(3)</w:t>
      </w:r>
      <w:r>
        <w:t>: e2022EF003230.</w:t>
      </w:r>
      <w:r>
        <w:t xml:space="preserve"> https://doi.org/10.1029/2022EF003230</w:t>
      </w:r>
    </w:p>
    <w:p>
      <w:pPr>
        <w:spacing w:after="80"/>
        <w:ind w:hanging="360" w:left="360"/>
      </w:pPr>
      <w:r>
        <w:t xml:space="preserve">Nearing, G., Cohen, D., Dakhari, V., Gauch, M., Gilon, O., Harrigan, S., Hassidim, A., Klotz, D., Kratzert, F., Metzger, A., et al. (2024) Global prediction of extreme floods in ungauged watersheds using machine learning. </w:t>
      </w:r>
      <w:r>
        <w:rPr>
          <w:i/>
        </w:rPr>
        <w:t>Nature</w:t>
      </w:r>
      <w:r>
        <w:t xml:space="preserve">, </w:t>
      </w:r>
      <w:r>
        <w:rPr>
          <w:i/>
        </w:rPr>
        <w:t>627</w:t>
      </w:r>
      <w:r>
        <w:t>(8004)</w:t>
      </w:r>
      <w:r>
        <w:t>: 559–563.</w:t>
      </w:r>
      <w:r>
        <w:t xml:space="preserve"> https://doi.org/10.1038/s41586-024-07145-1</w:t>
      </w:r>
    </w:p>
    <w:p>
      <w:pPr>
        <w:spacing w:after="80"/>
        <w:ind w:hanging="360" w:left="360"/>
      </w:pPr>
      <w:r>
        <w:t xml:space="preserve">Perrin, C., Michel, C., and Andréassian, V. (2003) Improvement of a parsimonious model for streamflow simulation. </w:t>
      </w:r>
      <w:r>
        <w:rPr>
          <w:i/>
        </w:rPr>
        <w:t>Journal of Hydrology</w:t>
      </w:r>
      <w:r>
        <w:t xml:space="preserve">, </w:t>
      </w:r>
      <w:r>
        <w:rPr>
          <w:i/>
        </w:rPr>
        <w:t>279</w:t>
      </w:r>
      <w:r>
        <w:t>(1-4)</w:t>
      </w:r>
      <w:r>
        <w:t>: 275–289.</w:t>
      </w:r>
      <w:r>
        <w:t xml:space="preserve"> https://doi.org/10.1016/S0022-1694(03)00225-7</w:t>
      </w:r>
    </w:p>
    <w:p>
      <w:pPr>
        <w:spacing w:after="80"/>
        <w:ind w:hanging="360" w:left="360"/>
      </w:pPr>
      <w:r>
        <w:t xml:space="preserve">Read, J.S., Jia, X., Willard, J., Appling, A.P., Zwart, J.A., Oliver, S.K., Karpatne, A., Hansen, G.J., Hanson, P.C., Watkins, W., et al. (2019) Process-guided deep learning predictions of lake water temperature. </w:t>
      </w:r>
      <w:r>
        <w:rPr>
          <w:i/>
        </w:rPr>
        <w:t>Water Resources Research</w:t>
      </w:r>
      <w:r>
        <w:t xml:space="preserve">, </w:t>
      </w:r>
      <w:r>
        <w:rPr>
          <w:i/>
        </w:rPr>
        <w:t>55</w:t>
      </w:r>
      <w:r>
        <w:t>(11)</w:t>
      </w:r>
      <w:r>
        <w:t>: 9173–9190.</w:t>
      </w:r>
      <w:r>
        <w:t xml:space="preserve"> https://doi.org/10.1029/2019WR024922</w:t>
      </w:r>
    </w:p>
    <w:p>
      <w:pPr>
        <w:spacing w:after="80"/>
        <w:ind w:hanging="360" w:left="360"/>
      </w:pPr>
      <w:r>
        <w:t xml:space="preserve">Rodell, M., Famiglietti, J.S., Wiese, D.N., Reager, J.T., Beaudoing, H.K., Landerer, F.W., and Lo, M.H. (2018) Emerging trends in global freshwater availability. </w:t>
      </w:r>
      <w:r>
        <w:rPr>
          <w:i/>
        </w:rPr>
        <w:t>Nature</w:t>
      </w:r>
      <w:r>
        <w:t xml:space="preserve">, </w:t>
      </w:r>
      <w:r>
        <w:rPr>
          <w:i/>
        </w:rPr>
        <w:t>557</w:t>
      </w:r>
      <w:r>
        <w:t>(7707)</w:t>
      </w:r>
      <w:r>
        <w:t>: 651–659.</w:t>
      </w:r>
      <w:r>
        <w:t xml:space="preserve"> https://doi.org/10.1038/s41586-018-0123-1</w:t>
      </w:r>
    </w:p>
    <w:p>
      <w:pPr>
        <w:spacing w:after="80"/>
        <w:ind w:hanging="360" w:left="360"/>
      </w:pPr>
      <w:r>
        <w:t xml:space="preserve">Syed, F.S., Adnan, M., and Gladysheva, M. (2022) The extreme Pakistan flood of 2022: Atmospheric dynamics and severe socioeconomic impacts. </w:t>
      </w:r>
      <w:r>
        <w:rPr>
          <w:i/>
        </w:rPr>
        <w:t>Weather</w:t>
      </w:r>
      <w:r>
        <w:t xml:space="preserve">, </w:t>
      </w:r>
      <w:r>
        <w:rPr>
          <w:i/>
        </w:rPr>
        <w:t>77</w:t>
      </w:r>
      <w:r>
        <w:t>(12)</w:t>
      </w:r>
      <w:r>
        <w:t>: 410–415.</w:t>
      </w:r>
      <w:r>
        <w:t xml:space="preserve"> https://doi.org/10.1002/wea.4312</w:t>
      </w:r>
    </w:p>
    <w:p>
      <w:pPr>
        <w:spacing w:after="80"/>
        <w:ind w:hanging="360" w:left="360"/>
      </w:pPr>
      <w:r>
        <w:t xml:space="preserve">Tapley, B.D., Watkins, M.M., Flechtner, F., Reigber, C., Bettadpur, S., Rodell, M., Sasgen, I., Famiglietti, J.S., Landerer, F.W., Chambers, D.P., et al. (2019) Contributions of GRACE to understanding climate change. </w:t>
      </w:r>
      <w:r>
        <w:rPr>
          <w:i/>
        </w:rPr>
        <w:t>Nature Climate Change</w:t>
      </w:r>
      <w:r>
        <w:t xml:space="preserve">, </w:t>
      </w:r>
      <w:r>
        <w:rPr>
          <w:i/>
        </w:rPr>
        <w:t>9</w:t>
      </w:r>
      <w:r>
        <w:t>(5)</w:t>
      </w:r>
      <w:r>
        <w:t>: 358–369.</w:t>
      </w:r>
      <w:r>
        <w:t xml:space="preserve"> https://doi.org/10.1038/s41558-019-0456-2</w:t>
      </w:r>
    </w:p>
    <w:p>
      <w:pPr>
        <w:spacing w:after="80"/>
        <w:ind w:hanging="360" w:left="360"/>
      </w:pPr>
      <w:r>
        <w:t xml:space="preserve">Tian, F., Gao, Y., Zhang, L., Wang, Y., and Liu, X. (2023) High-resolution satellite mapping of the 2022 Pakistan mega-flood using Sentinel-1 SAR and Google Earth Engine. </w:t>
      </w:r>
      <w:r>
        <w:rPr>
          <w:i/>
        </w:rPr>
        <w:t>Remote Sensing of Environment</w:t>
      </w:r>
      <w:r>
        <w:t xml:space="preserve">, </w:t>
      </w:r>
      <w:r>
        <w:rPr>
          <w:i/>
        </w:rPr>
        <w:t>295</w:t>
      </w:r>
      <w:r>
        <w:t>: 113689.</w:t>
      </w:r>
      <w:r>
        <w:t xml:space="preserve"> https://doi.org/10.1016/j.rse.2023.113689</w:t>
      </w:r>
    </w:p>
    <w:p>
      <w:pPr>
        <w:spacing w:after="80"/>
        <w:ind w:hanging="360" w:left="360"/>
      </w:pPr>
      <w:r>
        <w:t xml:space="preserve">Willard, J., Jia, X., Xu, S., Steinbach, M., and Kumar, V. (2022) Integrating scientific knowledge with machine learning for engineering and environmental systems. </w:t>
      </w:r>
      <w:r>
        <w:rPr>
          <w:i/>
        </w:rPr>
        <w:t>ACM Computing Surveys</w:t>
      </w:r>
      <w:r>
        <w:t xml:space="preserve">, </w:t>
      </w:r>
      <w:r>
        <w:rPr>
          <w:i/>
        </w:rPr>
        <w:t>55</w:t>
      </w:r>
      <w:r>
        <w:t>(6)</w:t>
      </w:r>
      <w:r>
        <w:t>: 1–37.</w:t>
      </w:r>
      <w:r>
        <w:t xml:space="preserve"> https://doi.org/10.1145/3514228</w:t>
      </w:r>
    </w:p>
    <w:p>
      <w:pPr>
        <w:spacing w:after="80"/>
        <w:ind w:hanging="360" w:left="360"/>
      </w:pPr>
      <w:r>
        <w:t xml:space="preserve">World Weather Attribution (2022) Climate change likely increased extreme monsoon rainfall flooding highly vulnerable communities in Pakistan. </w:t>
      </w:r>
      <w:r>
        <w:rPr>
          <w:i/>
        </w:rPr>
        <w:t>World Weather Attribution Scientific Report</w:t>
      </w:r>
      <w:r>
        <w:t>: 1–24.</w:t>
      </w:r>
      <w:r>
        <w:t xml:space="preserve"> https://doi.org/10.25561/99544</w:t>
      </w:r>
    </w:p>
    <w:p>
      <w:pPr>
        <w:spacing w:after="80"/>
        <w:ind w:hanging="360" w:left="360"/>
      </w:pPr>
      <w:r>
        <w:t xml:space="preserve">Young, W.J., Anwar, A., Bhatti, T., Borgomeo, E., Davies, S., Garthwaite, R., Gilmont, M., Leb, C., Lytton, L., Makin, I., and Saeed, B. (2019) Pakistan: Getting More from Water. </w:t>
      </w:r>
      <w:r>
        <w:rPr>
          <w:i/>
        </w:rPr>
        <w:t>Water Security Diagnostic Report, World Bank Group, Washington, DC</w:t>
      </w:r>
      <w:r>
        <w:t>: 1–180.</w:t>
      </w:r>
      <w:r>
        <w:t xml:space="preserve"> https://doi.org/10.1596/31160</w:t>
      </w:r>
    </w:p>
    <w:p>
      <w:pPr>
        <w:spacing w:before="280"/>
        <w:jc w:val="center"/>
      </w:pPr>
      <w:r>
        <w:rPr>
          <w:i/>
        </w:rPr>
        <w:t>— End of text —</w:t>
      </w:r>
    </w:p>
    <w:sectPr w:rsidR="00FC693F" w:rsidRPr="0006063C" w:rsidSect="00034616">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