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3A86C8"/>
          <w:sz w:val="28"/>
        </w:rPr>
        <w:t>━━━━━━━━━━━━━━━━━━━━━━━━━━━━━━━━━━━━━━━━</w:t>
      </w:r>
    </w:p>
    <w:p>
      <w:pPr>
        <w:spacing w:before="240" w:after="240"/>
        <w:jc w:val="center"/>
      </w:pPr>
      <w:r>
        <w:rPr>
          <w:rFonts w:ascii="Calibri" w:hAnsi="Calibri"/>
          <w:b/>
          <w:color w:val="1B2A4A"/>
          <w:sz w:val="56"/>
        </w:rPr>
        <w:t>RailVision – Current Revenue Snapshot and 12–18 Month Strategy</w:t>
      </w:r>
    </w:p>
    <w:p>
      <w:pPr>
        <w:jc w:val="center"/>
      </w:pPr>
      <w:r>
        <w:rPr>
          <w:color w:val="3A86C8"/>
          <w:sz w:val="28"/>
        </w:rPr>
        <w:t>━━━━━━━━━━━━━━━━━━━━━━━━━━━━━━━━━━━━━━━━</w:t>
      </w:r>
    </w:p>
    <w:p>
      <w:pPr>
        <w:spacing w:before="480"/>
        <w:jc w:val="center"/>
      </w:pPr>
      <w:r>
        <w:rPr>
          <w:rFonts w:ascii="Calibri" w:hAnsi="Calibri"/>
          <w:color w:val="6B707B"/>
          <w:sz w:val="24"/>
        </w:rPr>
        <w:t>March 24, 2026</w:t>
      </w:r>
    </w:p>
    <w:p>
      <w:pPr>
        <w:spacing w:before="960"/>
        <w:jc w:val="center"/>
      </w:pPr>
      <w:r>
        <w:rPr>
          <w:rFonts w:ascii="Calibri" w:hAnsi="Calibri"/>
          <w:i/>
          <w:color w:val="6B707B"/>
          <w:sz w:val="18"/>
        </w:rPr>
        <w:t>CONFIDENTIAL</w:t>
      </w:r>
    </w:p>
    <w:p>
      <w:r>
        <w:br w:type="page"/>
      </w:r>
    </w:p>
    <w:p>
      <w:pPr>
        <w:pStyle w:val="Heading1"/>
      </w:pPr>
      <w:r>
        <w:t>Table of Contents</w:t>
      </w:r>
    </w:p>
    <w:p/>
    <w:p>
      <w:pPr>
        <w:spacing w:after="80" w:before="40"/>
      </w:pPr>
      <w:r>
        <w:rPr>
          <w:rFonts w:ascii="Calibri" w:hAnsi="Calibri"/>
          <w:b/>
          <w:color w:val="3A86C8"/>
          <w:sz w:val="22"/>
        </w:rPr>
        <w:t xml:space="preserve">1.  </w:t>
      </w:r>
      <w:r>
        <w:rPr>
          <w:rFonts w:ascii="Calibri" w:hAnsi="Calibri"/>
          <w:color w:val="2D2D2D"/>
          <w:sz w:val="22"/>
        </w:rPr>
        <w:t>Executive Summary</w:t>
      </w:r>
    </w:p>
    <w:p>
      <w:pPr>
        <w:spacing w:after="80" w:before="40"/>
      </w:pPr>
      <w:r>
        <w:rPr>
          <w:rFonts w:ascii="Calibri" w:hAnsi="Calibri"/>
          <w:b/>
          <w:color w:val="3A86C8"/>
          <w:sz w:val="22"/>
        </w:rPr>
        <w:t xml:space="preserve">2.  </w:t>
      </w:r>
      <w:r>
        <w:rPr>
          <w:rFonts w:ascii="Calibri" w:hAnsi="Calibri"/>
          <w:color w:val="2D2D2D"/>
          <w:sz w:val="22"/>
        </w:rPr>
        <w:t>Current Financial Snapshot (from CFO Perspective)</w:t>
      </w:r>
    </w:p>
    <w:p>
      <w:pPr>
        <w:spacing w:after="80" w:before="40"/>
      </w:pPr>
      <w:r>
        <w:rPr>
          <w:rFonts w:ascii="Calibri" w:hAnsi="Calibri"/>
          <w:b/>
          <w:color w:val="3A86C8"/>
          <w:sz w:val="22"/>
        </w:rPr>
        <w:t xml:space="preserve">3.  </w:t>
      </w:r>
      <w:r>
        <w:rPr>
          <w:rFonts w:ascii="Calibri" w:hAnsi="Calibri"/>
          <w:color w:val="2D2D2D"/>
          <w:sz w:val="22"/>
        </w:rPr>
        <w:t>12–18 Month Strategy &amp; Priorities</w:t>
      </w:r>
    </w:p>
    <w:p>
      <w:pPr>
        <w:spacing w:after="80" w:before="40"/>
      </w:pPr>
      <w:r>
        <w:rPr>
          <w:rFonts w:ascii="Calibri" w:hAnsi="Calibri"/>
          <w:b/>
          <w:color w:val="3A86C8"/>
          <w:sz w:val="22"/>
        </w:rPr>
        <w:t xml:space="preserve">4.  </w:t>
      </w:r>
      <w:r>
        <w:rPr>
          <w:rFonts w:ascii="Calibri" w:hAnsi="Calibri"/>
          <w:color w:val="2D2D2D"/>
          <w:sz w:val="22"/>
        </w:rPr>
        <w:t>Key Risks &amp; Asymmetric Failure Modes</w:t>
      </w:r>
    </w:p>
    <w:p>
      <w:pPr>
        <w:spacing w:after="80" w:before="40"/>
      </w:pPr>
      <w:r>
        <w:rPr>
          <w:rFonts w:ascii="Calibri" w:hAnsi="Calibri"/>
          <w:b/>
          <w:color w:val="3A86C8"/>
          <w:sz w:val="22"/>
        </w:rPr>
        <w:t xml:space="preserve">5.  </w:t>
      </w:r>
      <w:r>
        <w:rPr>
          <w:rFonts w:ascii="Calibri" w:hAnsi="Calibri"/>
          <w:color w:val="2D2D2D"/>
          <w:sz w:val="22"/>
        </w:rPr>
        <w:t>Conclusion – One-Line Summary for Leadership</w:t>
      </w:r>
    </w:p>
    <w:p>
      <w:pPr>
        <w:spacing w:after="80" w:before="40"/>
      </w:pPr>
      <w:r>
        <w:rPr>
          <w:rFonts w:ascii="Calibri" w:hAnsi="Calibri"/>
          <w:b/>
          <w:color w:val="3A86C8"/>
          <w:sz w:val="22"/>
        </w:rPr>
        <w:t xml:space="preserve">6.  </w:t>
      </w:r>
      <w:r>
        <w:rPr>
          <w:rFonts w:ascii="Calibri" w:hAnsi="Calibri"/>
          <w:color w:val="2D2D2D"/>
          <w:sz w:val="22"/>
        </w:rPr>
        <w:t>Appendix – Assumptions, Definitions, and Document Control</w:t>
      </w:r>
    </w:p>
    <w:p/>
    <w:p>
      <w:r>
        <w:br w:type="page"/>
      </w:r>
    </w:p>
    <w:p>
      <w:pPr>
        <w:pStyle w:val="Heading1"/>
      </w:pPr>
      <w:r>
        <w:t>Executive Summary</w:t>
      </w:r>
    </w:p>
    <w:p>
      <w:pPr>
        <w:spacing w:after="120" w:before="40" w:line="276" w:lineRule="auto"/>
        <w:jc w:val="both"/>
      </w:pPr>
      <w:r>
        <w:rPr>
          <w:rFonts w:ascii="Calibri" w:hAnsi="Calibri"/>
          <w:b/>
          <w:color w:val="2D2D2D"/>
          <w:sz w:val="22"/>
        </w:rPr>
        <w:t>RailVision is currently in an early-commercial, pilot-heavy stage with revenue primarily driven by a small number of strategic pilots rather than broad, recurring ARR.</w:t>
      </w:r>
      <w:r>
        <w:rPr>
          <w:rFonts w:ascii="Calibri" w:hAnsi="Calibri"/>
          <w:color w:val="2D2D2D"/>
          <w:sz w:val="22"/>
        </w:rPr>
        <w:t xml:space="preserve"> The business is anchored today around live and emerging relationships with </w:t>
      </w:r>
      <w:r>
        <w:rPr>
          <w:rFonts w:ascii="Calibri" w:hAnsi="Calibri"/>
          <w:b/>
          <w:color w:val="2D2D2D"/>
          <w:sz w:val="22"/>
        </w:rPr>
        <w:t>Genesee &amp; Wyoming (GWRR)</w:t>
      </w:r>
      <w:r>
        <w:rPr>
          <w:rFonts w:ascii="Calibri" w:hAnsi="Calibri"/>
          <w:color w:val="2D2D2D"/>
          <w:sz w:val="22"/>
        </w:rPr>
        <w:t xml:space="preserve"> and </w:t>
      </w:r>
      <w:r>
        <w:rPr>
          <w:rFonts w:ascii="Calibri" w:hAnsi="Calibri"/>
          <w:b/>
          <w:color w:val="2D2D2D"/>
          <w:sz w:val="22"/>
        </w:rPr>
        <w:t>OmniTrax</w:t>
      </w:r>
      <w:r>
        <w:rPr>
          <w:rFonts w:ascii="Calibri" w:hAnsi="Calibri"/>
          <w:color w:val="2D2D2D"/>
          <w:sz w:val="22"/>
        </w:rPr>
        <w:t>, where commercial activity is focused on proving product value through corridor-level deployments rather than full-fleet rollouts. This means that while there is genuine commercial motion and customer engagement, the company is still in the process of converting pilots into durable, finance-grade recurring revenue streams.</w:t>
      </w:r>
    </w:p>
    <w:p>
      <w:pPr>
        <w:spacing w:after="120" w:before="40" w:line="276" w:lineRule="auto"/>
        <w:jc w:val="both"/>
      </w:pPr>
      <w:r>
        <w:rPr>
          <w:rFonts w:ascii="Calibri" w:hAnsi="Calibri"/>
          <w:color w:val="2D2D2D"/>
          <w:sz w:val="22"/>
        </w:rPr>
        <w:t xml:space="preserve">Equally important, </w:t>
      </w:r>
      <w:r>
        <w:rPr>
          <w:rFonts w:ascii="Calibri" w:hAnsi="Calibri"/>
          <w:b/>
          <w:color w:val="2D2D2D"/>
          <w:sz w:val="22"/>
        </w:rPr>
        <w:t>there is no Finance-verified, board-approved current ARR figure available in the materials underpinning this document</w:t>
      </w:r>
      <w:r>
        <w:rPr>
          <w:rFonts w:ascii="Calibri" w:hAnsi="Calibri"/>
          <w:color w:val="2D2D2D"/>
          <w:sz w:val="22"/>
        </w:rPr>
        <w:t xml:space="preserve">. All revenue numbers referenced here should therefore be treated as </w:t>
      </w:r>
      <w:r>
        <w:rPr>
          <w:rFonts w:ascii="Calibri" w:hAnsi="Calibri"/>
          <w:i/>
          <w:color w:val="2D2D2D"/>
          <w:sz w:val="22"/>
        </w:rPr>
        <w:t>management estimates, modeled potential, or explicit forward-looking targets</w:t>
      </w:r>
      <w:r>
        <w:rPr>
          <w:rFonts w:ascii="Calibri" w:hAnsi="Calibri"/>
          <w:color w:val="2D2D2D"/>
          <w:sz w:val="22"/>
        </w:rPr>
        <w:t xml:space="preserve">, not as auditable financial statements. The central forward-looking objective articulated by management is to reach </w:t>
      </w:r>
      <w:r>
        <w:rPr>
          <w:rFonts w:ascii="Calibri" w:hAnsi="Calibri"/>
          <w:b/>
          <w:color w:val="2D2D2D"/>
          <w:sz w:val="22"/>
        </w:rPr>
        <w:t>$2.5M+ ARR within the next 12–18 months</w:t>
      </w:r>
      <w:r>
        <w:rPr>
          <w:rFonts w:ascii="Calibri" w:hAnsi="Calibri"/>
          <w:color w:val="2D2D2D"/>
          <w:sz w:val="22"/>
        </w:rPr>
        <w:t xml:space="preserve">, with that outcome heavily dependent on successful conversion and scaling of </w:t>
      </w:r>
      <w:r>
        <w:rPr>
          <w:rFonts w:ascii="Calibri" w:hAnsi="Calibri"/>
          <w:b/>
          <w:color w:val="2D2D2D"/>
          <w:sz w:val="22"/>
        </w:rPr>
        <w:t>GWRR</w:t>
      </w:r>
      <w:r>
        <w:rPr>
          <w:rFonts w:ascii="Calibri" w:hAnsi="Calibri"/>
          <w:color w:val="2D2D2D"/>
          <w:sz w:val="22"/>
        </w:rPr>
        <w:t xml:space="preserve"> and a second holding company (ideally </w:t>
      </w:r>
      <w:r>
        <w:rPr>
          <w:rFonts w:ascii="Calibri" w:hAnsi="Calibri"/>
          <w:b/>
          <w:color w:val="2D2D2D"/>
          <w:sz w:val="22"/>
        </w:rPr>
        <w:t>OmniTrax</w:t>
      </w:r>
      <w:r>
        <w:rPr>
          <w:rFonts w:ascii="Calibri" w:hAnsi="Calibri"/>
          <w:color w:val="2D2D2D"/>
          <w:sz w:val="22"/>
        </w:rPr>
        <w:t>) from pilot to contracted rollouts.</w:t>
      </w:r>
    </w:p>
    <w:p>
      <w:pPr>
        <w:spacing w:before="120" w:after="120"/>
        <w:ind w:left="720"/>
        <w:pBdr>
          <w:left w:val="single" w:sz="12" w:space="8" w:color="3A86C8"/>
        </w:pBdr>
      </w:pPr>
      <w:r>
        <w:rPr>
          <w:rFonts w:ascii="Calibri" w:hAnsi="Calibri"/>
          <w:i/>
          <w:color w:val="4A5A6A"/>
          <w:sz w:val="22"/>
        </w:rPr>
        <w:t>This document is designed as a **CFO/CSO joint view**: candid on what is known, explicit on what is target or modeled, and clear on what is currently unknown and must not be fabricated in internal or external narratives.</w:t>
      </w:r>
    </w:p>
    <w:p>
      <w:pPr>
        <w:pStyle w:val="Heading2"/>
      </w:pPr>
      <w:r>
        <w:t>Key Highlights</w:t>
      </w:r>
    </w:p>
    <w:p>
      <w:pPr>
        <w:pStyle w:val="ListBullet"/>
        <w:spacing w:after="40" w:before="20"/>
      </w:pPr>
      <w:r>
        <w:rPr>
          <w:rFonts w:ascii="Calibri" w:hAnsi="Calibri"/>
          <w:b/>
          <w:color w:val="2D2D2D"/>
          <w:sz w:val="22"/>
        </w:rPr>
        <w:t>Early-commercial, pilot-driven revenue</w:t>
      </w:r>
      <w:r>
        <w:rPr>
          <w:rFonts w:ascii="Calibri" w:hAnsi="Calibri"/>
          <w:color w:val="2D2D2D"/>
          <w:sz w:val="22"/>
        </w:rPr>
        <w:t xml:space="preserve"> concentrated around </w:t>
      </w:r>
      <w:r>
        <w:rPr>
          <w:rFonts w:ascii="Calibri" w:hAnsi="Calibri"/>
          <w:b/>
          <w:color w:val="2D2D2D"/>
          <w:sz w:val="22"/>
        </w:rPr>
        <w:t>GWRR and OmniTrax</w:t>
      </w:r>
      <w:r>
        <w:rPr>
          <w:rFonts w:ascii="Calibri" w:hAnsi="Calibri"/>
          <w:color w:val="2D2D2D"/>
          <w:sz w:val="22"/>
        </w:rPr>
        <w:t>, with the majority of current activity structured as pilots and limited-scope deployments rather than full-network SaaS contracts.</w:t>
      </w:r>
    </w:p>
    <w:p>
      <w:pPr>
        <w:pStyle w:val="ListBullet"/>
        <w:spacing w:after="40" w:before="20"/>
      </w:pPr>
      <w:r>
        <w:rPr>
          <w:rFonts w:ascii="Calibri" w:hAnsi="Calibri"/>
          <w:b/>
          <w:color w:val="2D2D2D"/>
          <w:sz w:val="22"/>
        </w:rPr>
        <w:t>No Finance-verified current ARR</w:t>
      </w:r>
      <w:r>
        <w:rPr>
          <w:rFonts w:ascii="Calibri" w:hAnsi="Calibri"/>
          <w:color w:val="2D2D2D"/>
          <w:sz w:val="22"/>
        </w:rPr>
        <w:t xml:space="preserve"> is presented in this document; </w:t>
      </w:r>
      <w:r>
        <w:rPr>
          <w:rFonts w:ascii="Calibri" w:hAnsi="Calibri"/>
          <w:i/>
          <w:color w:val="2D2D2D"/>
          <w:sz w:val="22"/>
        </w:rPr>
        <w:t>all hard numbers are either explicit targets, modeled potential based on pilot scope, or management estimates pending Finance validation</w:t>
      </w:r>
      <w:r>
        <w:rPr>
          <w:rFonts w:ascii="Calibri" w:hAnsi="Calibri"/>
          <w:color w:val="2D2D2D"/>
          <w:sz w:val="22"/>
        </w:rPr>
        <w:t>.</w:t>
      </w:r>
    </w:p>
    <w:p>
      <w:pPr>
        <w:pStyle w:val="ListBullet"/>
        <w:spacing w:after="40" w:before="20"/>
      </w:pPr>
      <w:r>
        <w:rPr>
          <w:rFonts w:ascii="Calibri" w:hAnsi="Calibri"/>
          <w:b/>
          <w:color w:val="2D2D2D"/>
          <w:sz w:val="22"/>
        </w:rPr>
        <w:t>12–18 month objective:</w:t>
      </w:r>
      <w:r>
        <w:rPr>
          <w:rFonts w:ascii="Calibri" w:hAnsi="Calibri"/>
          <w:color w:val="2D2D2D"/>
          <w:sz w:val="22"/>
        </w:rPr>
        <w:t xml:space="preserve"> reach </w:t>
      </w:r>
      <w:r>
        <w:rPr>
          <w:rFonts w:ascii="Calibri" w:hAnsi="Calibri"/>
          <w:b/>
          <w:color w:val="2D2D2D"/>
          <w:sz w:val="22"/>
        </w:rPr>
        <w:t>$2.5M+ ARR</w:t>
      </w:r>
      <w:r>
        <w:rPr>
          <w:rFonts w:ascii="Calibri" w:hAnsi="Calibri"/>
          <w:color w:val="2D2D2D"/>
          <w:sz w:val="22"/>
        </w:rPr>
        <w:t xml:space="preserve"> </w:t>
      </w:r>
      <w:r>
        <w:rPr>
          <w:rFonts w:ascii="Calibri" w:hAnsi="Calibri"/>
          <w:i/>
          <w:color w:val="2D2D2D"/>
          <w:sz w:val="22"/>
        </w:rPr>
        <w:t>while diversifying revenue away from dependence on any single customer or holding company</w:t>
      </w:r>
      <w:r>
        <w:rPr>
          <w:rFonts w:ascii="Calibri" w:hAnsi="Calibri"/>
          <w:color w:val="2D2D2D"/>
          <w:sz w:val="22"/>
        </w:rPr>
        <w:t>.</w:t>
      </w:r>
    </w:p>
    <w:p>
      <w:pPr>
        <w:pStyle w:val="ListBullet"/>
        <w:spacing w:after="40" w:before="20"/>
      </w:pPr>
      <w:r>
        <w:rPr>
          <w:rFonts w:ascii="Calibri" w:hAnsi="Calibri"/>
          <w:b/>
          <w:color w:val="2D2D2D"/>
          <w:sz w:val="22"/>
        </w:rPr>
        <w:t>Dominant operational and commercial constraint:</w:t>
      </w:r>
      <w:r>
        <w:rPr>
          <w:rFonts w:ascii="Calibri" w:hAnsi="Calibri"/>
          <w:color w:val="2D2D2D"/>
          <w:sz w:val="22"/>
        </w:rPr>
        <w:t xml:space="preserve"> the </w:t>
      </w:r>
      <w:r>
        <w:rPr>
          <w:rFonts w:ascii="Calibri" w:hAnsi="Calibri"/>
          <w:b/>
          <w:color w:val="2D2D2D"/>
          <w:sz w:val="22"/>
        </w:rPr>
        <w:t>GWRR pilot → rollout conversion</w:t>
      </w:r>
      <w:r>
        <w:rPr>
          <w:rFonts w:ascii="Calibri" w:hAnsi="Calibri"/>
          <w:color w:val="2D2D2D"/>
          <w:sz w:val="22"/>
        </w:rPr>
        <w:t xml:space="preserve"> over the next </w:t>
      </w:r>
      <w:r>
        <w:rPr>
          <w:rFonts w:ascii="Calibri" w:hAnsi="Calibri"/>
          <w:b/>
          <w:color w:val="2D2D2D"/>
          <w:sz w:val="22"/>
        </w:rPr>
        <w:t>6–9 months</w:t>
      </w:r>
      <w:r>
        <w:rPr>
          <w:rFonts w:ascii="Calibri" w:hAnsi="Calibri"/>
          <w:color w:val="2D2D2D"/>
          <w:sz w:val="22"/>
        </w:rPr>
        <w:t>, which will largely determine whether the $2.5M+ ARR target is achievable on the current timeline.</w:t>
      </w:r>
    </w:p>
    <w:p>
      <w:pPr>
        <w:pStyle w:val="ListBullet"/>
        <w:spacing w:after="40" w:before="20"/>
      </w:pPr>
      <w:r>
        <w:rPr>
          <w:rFonts w:ascii="Calibri" w:hAnsi="Calibri"/>
          <w:b/>
          <w:color w:val="2D2D2D"/>
          <w:sz w:val="22"/>
        </w:rPr>
        <w:t>Strategy is organized around four revenue priorities:</w:t>
      </w:r>
      <w:r>
        <w:rPr>
          <w:rFonts w:ascii="Calibri" w:hAnsi="Calibri"/>
          <w:color w:val="2D2D2D"/>
          <w:sz w:val="22"/>
        </w:rPr>
        <w:t xml:space="preserve"> (1) </w:t>
      </w:r>
      <w:r>
        <w:rPr>
          <w:rFonts w:ascii="Calibri" w:hAnsi="Calibri"/>
          <w:b/>
          <w:color w:val="2D2D2D"/>
          <w:sz w:val="22"/>
        </w:rPr>
        <w:t>GWRR conversion and scale</w:t>
      </w:r>
      <w:r>
        <w:rPr>
          <w:rFonts w:ascii="Calibri" w:hAnsi="Calibri"/>
          <w:color w:val="2D2D2D"/>
          <w:sz w:val="22"/>
        </w:rPr>
        <w:t xml:space="preserve">, (2) </w:t>
      </w:r>
      <w:r>
        <w:rPr>
          <w:rFonts w:ascii="Calibri" w:hAnsi="Calibri"/>
          <w:b/>
          <w:color w:val="2D2D2D"/>
          <w:sz w:val="22"/>
        </w:rPr>
        <w:t>a second holding company front</w:t>
      </w:r>
      <w:r>
        <w:rPr>
          <w:rFonts w:ascii="Calibri" w:hAnsi="Calibri"/>
          <w:color w:val="2D2D2D"/>
          <w:sz w:val="22"/>
        </w:rPr>
        <w:t xml:space="preserve"> (e.g., OmniTrax or equivalent), (3) </w:t>
      </w:r>
      <w:r>
        <w:rPr>
          <w:rFonts w:ascii="Calibri" w:hAnsi="Calibri"/>
          <w:b/>
          <w:color w:val="2D2D2D"/>
          <w:sz w:val="22"/>
        </w:rPr>
        <w:t>a repeatable independent shortline motion</w:t>
      </w:r>
      <w:r>
        <w:rPr>
          <w:rFonts w:ascii="Calibri" w:hAnsi="Calibri"/>
          <w:color w:val="2D2D2D"/>
          <w:sz w:val="22"/>
        </w:rPr>
        <w:t xml:space="preserve">, and (4) </w:t>
      </w:r>
      <w:r>
        <w:rPr>
          <w:rFonts w:ascii="Calibri" w:hAnsi="Calibri"/>
          <w:b/>
          <w:color w:val="2D2D2D"/>
          <w:sz w:val="22"/>
        </w:rPr>
        <w:t>one focused, high-leverage strategic partnership</w:t>
      </w:r>
      <w:r>
        <w:rPr>
          <w:rFonts w:ascii="Calibri" w:hAnsi="Calibri"/>
          <w:color w:val="2D2D2D"/>
          <w:sz w:val="22"/>
        </w:rPr>
        <w:t xml:space="preserve"> that adds pipeline but does not become a dependency.</w:t>
      </w:r>
    </w:p>
    <w:p>
      <w:pPr>
        <w:pStyle w:val="Heading2"/>
      </w:pPr>
      <w:r>
        <w:t>How to Read This Document</w:t>
      </w:r>
    </w:p>
    <w:p>
      <w:pPr>
        <w:spacing w:after="120" w:before="40" w:line="276" w:lineRule="auto"/>
        <w:jc w:val="both"/>
      </w:pPr>
      <w:r>
        <w:rPr>
          <w:rFonts w:ascii="Calibri" w:hAnsi="Calibri"/>
          <w:color w:val="2D2D2D"/>
          <w:sz w:val="22"/>
        </w:rPr>
        <w:t xml:space="preserve">This document is structured to separate </w:t>
      </w:r>
      <w:r>
        <w:rPr>
          <w:rFonts w:ascii="Calibri" w:hAnsi="Calibri"/>
          <w:b/>
          <w:color w:val="2D2D2D"/>
          <w:sz w:val="22"/>
        </w:rPr>
        <w:t>confirmed facts</w:t>
      </w:r>
      <w:r>
        <w:rPr>
          <w:rFonts w:ascii="Calibri" w:hAnsi="Calibri"/>
          <w:color w:val="2D2D2D"/>
          <w:sz w:val="22"/>
        </w:rPr>
        <w:t xml:space="preserve">, </w:t>
      </w:r>
      <w:r>
        <w:rPr>
          <w:rFonts w:ascii="Calibri" w:hAnsi="Calibri"/>
          <w:b/>
          <w:color w:val="2D2D2D"/>
          <w:sz w:val="22"/>
        </w:rPr>
        <w:t>explicit targets</w:t>
      </w:r>
      <w:r>
        <w:rPr>
          <w:rFonts w:ascii="Calibri" w:hAnsi="Calibri"/>
          <w:color w:val="2D2D2D"/>
          <w:sz w:val="22"/>
        </w:rPr>
        <w:t xml:space="preserve">, and </w:t>
      </w:r>
      <w:r>
        <w:rPr>
          <w:rFonts w:ascii="Calibri" w:hAnsi="Calibri"/>
          <w:b/>
          <w:color w:val="2D2D2D"/>
          <w:sz w:val="22"/>
        </w:rPr>
        <w:t>unknowns</w:t>
      </w:r>
      <w:r>
        <w:rPr>
          <w:rFonts w:ascii="Calibri" w:hAnsi="Calibri"/>
          <w:color w:val="2D2D2D"/>
          <w:sz w:val="22"/>
        </w:rPr>
        <w:t>:</w:t>
      </w:r>
    </w:p>
    <w:p>
      <w:pPr>
        <w:pStyle w:val="ListBullet"/>
        <w:spacing w:after="40" w:before="20"/>
      </w:pPr>
      <w:r>
        <w:rPr>
          <w:rFonts w:ascii="Calibri" w:hAnsi="Calibri"/>
          <w:b/>
          <w:color w:val="2D2D2D"/>
          <w:sz w:val="22"/>
        </w:rPr>
        <w:t>Confirmed / Structurally Defined ("What We Know")</w:t>
      </w:r>
      <w:r>
        <w:rPr>
          <w:rFonts w:ascii="Calibri" w:hAnsi="Calibri"/>
          <w:color w:val="2D2D2D"/>
          <w:sz w:val="22"/>
        </w:rPr>
        <w:t xml:space="preserve"> – Items where contracts, pilots, or structures are in place, even if exact dollar values are still being refined.</w:t>
      </w:r>
    </w:p>
    <w:p>
      <w:pPr>
        <w:pStyle w:val="ListBullet"/>
        <w:spacing w:after="40" w:before="20"/>
      </w:pPr>
      <w:r>
        <w:rPr>
          <w:rFonts w:ascii="Calibri" w:hAnsi="Calibri"/>
          <w:b/>
          <w:color w:val="2D2D2D"/>
          <w:sz w:val="22"/>
        </w:rPr>
        <w:t>Target / Aspirational ("What Is Target")</w:t>
      </w:r>
      <w:r>
        <w:rPr>
          <w:rFonts w:ascii="Calibri" w:hAnsi="Calibri"/>
          <w:color w:val="2D2D2D"/>
          <w:sz w:val="22"/>
        </w:rPr>
        <w:t xml:space="preserve"> – Board- or management-level goals, scenarios, and modeled ranges for revenue and ARR.</w:t>
      </w:r>
    </w:p>
    <w:p>
      <w:pPr>
        <w:pStyle w:val="ListBullet"/>
        <w:spacing w:after="40" w:before="20"/>
      </w:pPr>
      <w:r>
        <w:rPr>
          <w:rFonts w:ascii="Calibri" w:hAnsi="Calibri"/>
          <w:b/>
          <w:color w:val="2D2D2D"/>
          <w:sz w:val="22"/>
        </w:rPr>
        <w:t>Unknown / Must Not Be Fabricated ("What We Do Not Know")</w:t>
      </w:r>
      <w:r>
        <w:rPr>
          <w:rFonts w:ascii="Calibri" w:hAnsi="Calibri"/>
          <w:color w:val="2D2D2D"/>
          <w:sz w:val="22"/>
        </w:rPr>
        <w:t xml:space="preserve"> – Areas where assumptions exist but no reliable data supports a specific number or probability.</w:t>
      </w:r>
    </w:p>
    <w:p>
      <w:pPr>
        <w:spacing w:after="120" w:before="40" w:line="276" w:lineRule="auto"/>
        <w:jc w:val="both"/>
      </w:pPr>
      <w:r>
        <w:rPr>
          <w:rFonts w:ascii="Calibri" w:hAnsi="Calibri"/>
          <w:color w:val="2D2D2D"/>
          <w:sz w:val="22"/>
        </w:rPr>
        <w:t xml:space="preserve">Throughout the document, any metric that is not </w:t>
      </w:r>
      <w:r>
        <w:rPr>
          <w:rFonts w:ascii="Calibri" w:hAnsi="Calibri"/>
          <w:b/>
          <w:color w:val="2D2D2D"/>
          <w:sz w:val="22"/>
        </w:rPr>
        <w:t>Finance-verified</w:t>
      </w:r>
      <w:r>
        <w:rPr>
          <w:rFonts w:ascii="Calibri" w:hAnsi="Calibri"/>
          <w:color w:val="2D2D2D"/>
          <w:sz w:val="22"/>
        </w:rPr>
        <w:t xml:space="preserve"> should be interpreted as </w:t>
      </w:r>
      <w:r>
        <w:rPr>
          <w:rFonts w:ascii="Calibri" w:hAnsi="Calibri"/>
          <w:b/>
          <w:color w:val="2D2D2D"/>
          <w:sz w:val="22"/>
        </w:rPr>
        <w:t>directional</w:t>
      </w:r>
      <w:r>
        <w:rPr>
          <w:rFonts w:ascii="Calibri" w:hAnsi="Calibri"/>
          <w:color w:val="2D2D2D"/>
          <w:sz w:val="22"/>
        </w:rPr>
        <w:t xml:space="preserve"> and </w:t>
      </w:r>
      <w:r>
        <w:rPr>
          <w:rFonts w:ascii="Calibri" w:hAnsi="Calibri"/>
          <w:b/>
          <w:color w:val="2D2D2D"/>
          <w:sz w:val="22"/>
        </w:rPr>
        <w:t>subject to refinement</w:t>
      </w:r>
      <w:r>
        <w:rPr>
          <w:rFonts w:ascii="Calibri" w:hAnsi="Calibri"/>
          <w:color w:val="2D2D2D"/>
          <w:sz w:val="22"/>
        </w:rPr>
        <w:t xml:space="preserve"> as more data becomes available and as pilots convert (or fail to convert) into long-term commercial contracts.</w:t>
      </w:r>
    </w:p>
    <w:p>
      <w:pPr>
        <w:spacing w:before="160" w:after="160"/>
        <w:jc w:val="center"/>
      </w:pPr>
      <w:r>
        <w:rPr>
          <w:color w:val="D0D5DD"/>
          <w:sz w:val="16"/>
        </w:rPr>
        <w:t>────────────────────────────────────────────────────────────</w:t>
      </w:r>
    </w:p>
    <w:p>
      <w:pPr>
        <w:pStyle w:val="Heading1"/>
      </w:pPr>
      <w:r>
        <w:t>Current Financial Snapshot (from CFO Perspective)</w:t>
      </w:r>
    </w:p>
    <w:p>
      <w:pPr>
        <w:spacing w:after="120" w:before="40" w:line="276" w:lineRule="auto"/>
        <w:jc w:val="both"/>
      </w:pPr>
      <w:r>
        <w:rPr>
          <w:rFonts w:ascii="Calibri" w:hAnsi="Calibri"/>
          <w:color w:val="2D2D2D"/>
          <w:sz w:val="22"/>
        </w:rPr>
        <w:t xml:space="preserve">This section provides a </w:t>
      </w:r>
      <w:r>
        <w:rPr>
          <w:rFonts w:ascii="Calibri" w:hAnsi="Calibri"/>
          <w:b/>
          <w:color w:val="2D2D2D"/>
          <w:sz w:val="22"/>
        </w:rPr>
        <w:t>CFO-style snapshot</w:t>
      </w:r>
      <w:r>
        <w:rPr>
          <w:rFonts w:ascii="Calibri" w:hAnsi="Calibri"/>
          <w:color w:val="2D2D2D"/>
          <w:sz w:val="22"/>
        </w:rPr>
        <w:t xml:space="preserve"> of RailVision’s current revenue posture, framed explicitly around what is </w:t>
      </w:r>
      <w:r>
        <w:rPr>
          <w:rFonts w:ascii="Calibri" w:hAnsi="Calibri"/>
          <w:b/>
          <w:color w:val="2D2D2D"/>
          <w:sz w:val="22"/>
        </w:rPr>
        <w:t>confirmed</w:t>
      </w:r>
      <w:r>
        <w:rPr>
          <w:rFonts w:ascii="Calibri" w:hAnsi="Calibri"/>
          <w:color w:val="2D2D2D"/>
          <w:sz w:val="22"/>
        </w:rPr>
        <w:t xml:space="preserve">, what is </w:t>
      </w:r>
      <w:r>
        <w:rPr>
          <w:rFonts w:ascii="Calibri" w:hAnsi="Calibri"/>
          <w:b/>
          <w:color w:val="2D2D2D"/>
          <w:sz w:val="22"/>
        </w:rPr>
        <w:t>target or aspirational</w:t>
      </w:r>
      <w:r>
        <w:rPr>
          <w:rFonts w:ascii="Calibri" w:hAnsi="Calibri"/>
          <w:color w:val="2D2D2D"/>
          <w:sz w:val="22"/>
        </w:rPr>
        <w:t xml:space="preserve">, and what is </w:t>
      </w:r>
      <w:r>
        <w:rPr>
          <w:rFonts w:ascii="Calibri" w:hAnsi="Calibri"/>
          <w:b/>
          <w:color w:val="2D2D2D"/>
          <w:sz w:val="22"/>
        </w:rPr>
        <w:t>unknown and must not be fabricated</w:t>
      </w:r>
      <w:r>
        <w:rPr>
          <w:rFonts w:ascii="Calibri" w:hAnsi="Calibri"/>
          <w:color w:val="2D2D2D"/>
          <w:sz w:val="22"/>
        </w:rPr>
        <w:t>. The intention is to give leadership a clear, audit-friendly baseline for decision-making, while avoiding the common early-stage pitfall of blurring pilots, pipeline, and recurring revenue.</w:t>
      </w:r>
    </w:p>
    <w:p>
      <w:pPr>
        <w:pStyle w:val="Heading2"/>
      </w:pPr>
      <w:r>
        <w:t>2.1 What We Know (Confirmed / Structurally Defined)</w:t>
      </w:r>
    </w:p>
    <w:p>
      <w:pPr>
        <w:pStyle w:val="ListBullet"/>
        <w:spacing w:after="40" w:before="20"/>
      </w:pPr>
      <w:r>
        <w:rPr>
          <w:rFonts w:ascii="Calibri" w:hAnsi="Calibri"/>
          <w:b/>
          <w:color w:val="2D2D2D"/>
          <w:sz w:val="22"/>
        </w:rPr>
        <w:t>Commercial activity is concentrated in a small number of strategic pilots</w:t>
      </w:r>
      <w:r>
        <w:rPr>
          <w:rFonts w:ascii="Calibri" w:hAnsi="Calibri"/>
          <w:color w:val="2D2D2D"/>
          <w:sz w:val="22"/>
        </w:rPr>
        <w:t xml:space="preserve">, notably with </w:t>
      </w:r>
      <w:r>
        <w:rPr>
          <w:rFonts w:ascii="Calibri" w:hAnsi="Calibri"/>
          <w:b/>
          <w:color w:val="2D2D2D"/>
          <w:sz w:val="22"/>
        </w:rPr>
        <w:t>GWRR</w:t>
      </w:r>
      <w:r>
        <w:rPr>
          <w:rFonts w:ascii="Calibri" w:hAnsi="Calibri"/>
          <w:color w:val="2D2D2D"/>
          <w:sz w:val="22"/>
        </w:rPr>
        <w:t xml:space="preserve"> and </w:t>
      </w:r>
      <w:r>
        <w:rPr>
          <w:rFonts w:ascii="Calibri" w:hAnsi="Calibri"/>
          <w:b/>
          <w:color w:val="2D2D2D"/>
          <w:sz w:val="22"/>
        </w:rPr>
        <w:t>OmniTrax</w:t>
      </w:r>
      <w:r>
        <w:rPr>
          <w:rFonts w:ascii="Calibri" w:hAnsi="Calibri"/>
          <w:color w:val="2D2D2D"/>
          <w:sz w:val="22"/>
        </w:rPr>
        <w:t>, where the scope is typically corridor- or subset-based rather than full-network rollouts.</w:t>
      </w:r>
    </w:p>
    <w:p>
      <w:pPr>
        <w:pStyle w:val="ListBullet"/>
        <w:spacing w:after="40" w:before="20"/>
      </w:pPr>
      <w:r>
        <w:rPr>
          <w:rFonts w:ascii="Calibri" w:hAnsi="Calibri"/>
          <w:b/>
          <w:color w:val="2D2D2D"/>
          <w:sz w:val="22"/>
        </w:rPr>
        <w:t>Revenue to date is predominantly pilot- and project-based</w:t>
      </w:r>
      <w:r>
        <w:rPr>
          <w:rFonts w:ascii="Calibri" w:hAnsi="Calibri"/>
          <w:color w:val="2D2D2D"/>
          <w:sz w:val="22"/>
        </w:rPr>
        <w:t>, often linked to specific deployments, evaluation periods, or defined corridors, rather than broad, multi-year SaaS contracts across entire fleets.</w:t>
      </w:r>
    </w:p>
    <w:p>
      <w:pPr>
        <w:pStyle w:val="ListBullet"/>
        <w:spacing w:after="40" w:before="20"/>
      </w:pPr>
      <w:r>
        <w:rPr>
          <w:rFonts w:ascii="Calibri" w:hAnsi="Calibri"/>
          <w:b/>
          <w:color w:val="2D2D2D"/>
          <w:sz w:val="22"/>
        </w:rPr>
        <w:t>The commercial model is oriented around a value-share or savings-based structure</w:t>
      </w:r>
      <w:r>
        <w:rPr>
          <w:rFonts w:ascii="Calibri" w:hAnsi="Calibri"/>
          <w:color w:val="2D2D2D"/>
          <w:sz w:val="22"/>
        </w:rPr>
        <w:t xml:space="preserve"> (e.g., sharing a percentage of fuel savings), which requires measurable baselines and post-implementation measurement to translate into recognized revenue.</w:t>
      </w:r>
    </w:p>
    <w:p>
      <w:pPr>
        <w:pStyle w:val="ListBullet"/>
        <w:spacing w:after="40" w:before="20"/>
      </w:pPr>
      <w:r>
        <w:rPr>
          <w:rFonts w:ascii="Calibri" w:hAnsi="Calibri"/>
          <w:b/>
          <w:color w:val="2D2D2D"/>
          <w:sz w:val="22"/>
        </w:rPr>
        <w:t>The Finance team does not yet have a single, consolidated ARR number that it is prepared to present as “current ARR" to the board</w:t>
      </w:r>
      <w:r>
        <w:rPr>
          <w:rFonts w:ascii="Calibri" w:hAnsi="Calibri"/>
          <w:color w:val="2D2D2D"/>
          <w:sz w:val="22"/>
        </w:rPr>
        <w:t>, due to the early-commercial nature of contracts and the limited duration/coverage of pilots.</w:t>
      </w:r>
    </w:p>
    <w:p>
      <w:pPr>
        <w:pStyle w:val="ListBullet"/>
        <w:spacing w:after="40" w:before="20"/>
      </w:pPr>
      <w:r>
        <w:rPr>
          <w:rFonts w:ascii="Calibri" w:hAnsi="Calibri"/>
          <w:b/>
          <w:color w:val="2D2D2D"/>
          <w:sz w:val="22"/>
        </w:rPr>
        <w:t>Customer concentration is structurally high</w:t>
      </w:r>
      <w:r>
        <w:rPr>
          <w:rFonts w:ascii="Calibri" w:hAnsi="Calibri"/>
          <w:color w:val="2D2D2D"/>
          <w:sz w:val="22"/>
        </w:rPr>
        <w:t>, with GWRR and OmniTrax representing the majority of near-term revenue potential and a disproportionate share of management attention.</w:t>
      </w:r>
    </w:p>
    <w:p>
      <w:pPr>
        <w:spacing w:before="120" w:after="120"/>
        <w:ind w:left="720"/>
        <w:pBdr>
          <w:left w:val="single" w:sz="12" w:space="8" w:color="3A86C8"/>
        </w:pBdr>
      </w:pPr>
      <w:r>
        <w:rPr>
          <w:rFonts w:ascii="Calibri" w:hAnsi="Calibri"/>
          <w:i/>
          <w:color w:val="4A5A6A"/>
          <w:sz w:val="22"/>
        </w:rPr>
        <w:t>From a CFO lens, the company should be described as **commercially active with credible pilots**, but **pre-scale in terms of confirmed, recurring ARR**.</w:t>
      </w:r>
    </w:p>
    <w:p>
      <w:pPr>
        <w:pStyle w:val="Heading2"/>
      </w:pPr>
      <w:r>
        <w:t>2.2 What Is Target / Aspirational (Explicitly Forward-Looking)</w:t>
      </w:r>
    </w:p>
    <w:p>
      <w:pPr>
        <w:pStyle w:val="ListBullet"/>
        <w:spacing w:after="40" w:before="20"/>
      </w:pPr>
      <w:r>
        <w:rPr>
          <w:rFonts w:ascii="Calibri" w:hAnsi="Calibri"/>
          <w:b/>
          <w:color w:val="2D2D2D"/>
          <w:sz w:val="22"/>
        </w:rPr>
        <w:t>12–18 Month ARR Target:</w:t>
      </w:r>
      <w:r>
        <w:rPr>
          <w:rFonts w:ascii="Calibri" w:hAnsi="Calibri"/>
          <w:color w:val="2D2D2D"/>
          <w:sz w:val="22"/>
        </w:rPr>
        <w:t xml:space="preserve"> Management has articulated a </w:t>
      </w:r>
      <w:r>
        <w:rPr>
          <w:rFonts w:ascii="Calibri" w:hAnsi="Calibri"/>
          <w:b/>
          <w:color w:val="2D2D2D"/>
          <w:sz w:val="22"/>
        </w:rPr>
        <w:t>forward-looking objective to reach $2.5M+ in ARR</w:t>
      </w:r>
      <w:r>
        <w:rPr>
          <w:rFonts w:ascii="Calibri" w:hAnsi="Calibri"/>
          <w:color w:val="2D2D2D"/>
          <w:sz w:val="22"/>
        </w:rPr>
        <w:t xml:space="preserve"> over the next 12–18 months. This is a </w:t>
      </w:r>
      <w:r>
        <w:rPr>
          <w:rFonts w:ascii="Calibri" w:hAnsi="Calibri"/>
          <w:b/>
          <w:color w:val="2D2D2D"/>
          <w:sz w:val="22"/>
        </w:rPr>
        <w:t>target</w:t>
      </w:r>
      <w:r>
        <w:rPr>
          <w:rFonts w:ascii="Calibri" w:hAnsi="Calibri"/>
          <w:color w:val="2D2D2D"/>
          <w:sz w:val="22"/>
        </w:rPr>
        <w:t>, not a forecast, and assumes successful conversion of current pilots plus incremental wins.</w:t>
      </w:r>
    </w:p>
    <w:p>
      <w:pPr>
        <w:pStyle w:val="ListBullet"/>
        <w:spacing w:after="40" w:before="20"/>
      </w:pPr>
      <w:r>
        <w:rPr>
          <w:rFonts w:ascii="Calibri" w:hAnsi="Calibri"/>
          <w:b/>
          <w:color w:val="2D2D2D"/>
          <w:sz w:val="22"/>
        </w:rPr>
        <w:t>GWRR Rollout Potential:</w:t>
      </w:r>
      <w:r>
        <w:rPr>
          <w:rFonts w:ascii="Calibri" w:hAnsi="Calibri"/>
          <w:color w:val="2D2D2D"/>
          <w:sz w:val="22"/>
        </w:rPr>
        <w:t xml:space="preserve"> Under reasonable, management-modeled scenarios, a </w:t>
      </w:r>
      <w:r>
        <w:rPr>
          <w:rFonts w:ascii="Calibri" w:hAnsi="Calibri"/>
          <w:b/>
          <w:color w:val="2D2D2D"/>
          <w:sz w:val="22"/>
        </w:rPr>
        <w:t>partial portfolio rollout with GWRR</w:t>
      </w:r>
      <w:r>
        <w:rPr>
          <w:rFonts w:ascii="Calibri" w:hAnsi="Calibri"/>
          <w:color w:val="2D2D2D"/>
          <w:sz w:val="22"/>
        </w:rPr>
        <w:t xml:space="preserve"> could contribute on the order of </w:t>
      </w:r>
      <w:r>
        <w:rPr>
          <w:rFonts w:ascii="Calibri" w:hAnsi="Calibri"/>
          <w:b/>
          <w:color w:val="2D2D2D"/>
          <w:sz w:val="22"/>
        </w:rPr>
        <w:t>$700K – $1.1M in ARR</w:t>
      </w:r>
      <w:r>
        <w:rPr>
          <w:rFonts w:ascii="Calibri" w:hAnsi="Calibri"/>
          <w:color w:val="2D2D2D"/>
          <w:sz w:val="22"/>
        </w:rPr>
        <w:t xml:space="preserve">, assuming per-road pricing and phased adoption. This is </w:t>
      </w:r>
      <w:r>
        <w:rPr>
          <w:rFonts w:ascii="Calibri" w:hAnsi="Calibri"/>
          <w:b/>
          <w:color w:val="2D2D2D"/>
          <w:sz w:val="22"/>
        </w:rPr>
        <w:t>modeled potential</w:t>
      </w:r>
      <w:r>
        <w:rPr>
          <w:rFonts w:ascii="Calibri" w:hAnsi="Calibri"/>
          <w:color w:val="2D2D2D"/>
          <w:sz w:val="22"/>
        </w:rPr>
        <w:t>, pending actual contract structures and adoption pace.</w:t>
      </w:r>
    </w:p>
    <w:p>
      <w:pPr>
        <w:pStyle w:val="ListBullet"/>
        <w:spacing w:after="40" w:before="20"/>
      </w:pPr>
      <w:r>
        <w:rPr>
          <w:rFonts w:ascii="Calibri" w:hAnsi="Calibri"/>
          <w:b/>
          <w:color w:val="2D2D2D"/>
          <w:sz w:val="22"/>
        </w:rPr>
        <w:t>Second Holding Company (e.g., OmniTrax) Potential:</w:t>
      </w:r>
      <w:r>
        <w:rPr>
          <w:rFonts w:ascii="Calibri" w:hAnsi="Calibri"/>
          <w:color w:val="2D2D2D"/>
          <w:sz w:val="22"/>
        </w:rPr>
        <w:t xml:space="preserve"> A second holding company rollout is modeled to contribute approximately </w:t>
      </w:r>
      <w:r>
        <w:rPr>
          <w:rFonts w:ascii="Calibri" w:hAnsi="Calibri"/>
          <w:b/>
          <w:color w:val="2D2D2D"/>
          <w:sz w:val="22"/>
        </w:rPr>
        <w:t>$300K – $500K in ARR</w:t>
      </w:r>
      <w:r>
        <w:rPr>
          <w:rFonts w:ascii="Calibri" w:hAnsi="Calibri"/>
          <w:color w:val="2D2D2D"/>
          <w:sz w:val="22"/>
        </w:rPr>
        <w:t>, assuming a smaller footprint or a more gradual rollout compared to GWRR.</w:t>
      </w:r>
    </w:p>
    <w:p>
      <w:pPr>
        <w:pStyle w:val="ListBullet"/>
        <w:spacing w:after="40" w:before="20"/>
      </w:pPr>
      <w:r>
        <w:rPr>
          <w:rFonts w:ascii="Calibri" w:hAnsi="Calibri"/>
          <w:b/>
          <w:color w:val="2D2D2D"/>
          <w:sz w:val="22"/>
        </w:rPr>
        <w:t>Independent Shortline Motion:</w:t>
      </w:r>
      <w:r>
        <w:rPr>
          <w:rFonts w:ascii="Calibri" w:hAnsi="Calibri"/>
          <w:color w:val="2D2D2D"/>
          <w:sz w:val="22"/>
        </w:rPr>
        <w:t xml:space="preserve"> A target of </w:t>
      </w:r>
      <w:r>
        <w:rPr>
          <w:rFonts w:ascii="Calibri" w:hAnsi="Calibri"/>
          <w:b/>
          <w:color w:val="2D2D2D"/>
          <w:sz w:val="22"/>
        </w:rPr>
        <w:t>15–20 independent shortline customers</w:t>
      </w:r>
      <w:r>
        <w:rPr>
          <w:rFonts w:ascii="Calibri" w:hAnsi="Calibri"/>
          <w:color w:val="2D2D2D"/>
          <w:sz w:val="22"/>
        </w:rPr>
        <w:t xml:space="preserve"> over 12–18 months is expected to contribute </w:t>
      </w:r>
      <w:r>
        <w:rPr>
          <w:rFonts w:ascii="Calibri" w:hAnsi="Calibri"/>
          <w:b/>
          <w:color w:val="2D2D2D"/>
          <w:sz w:val="22"/>
        </w:rPr>
        <w:t>$600K – $900K in ARR</w:t>
      </w:r>
      <w:r>
        <w:rPr>
          <w:rFonts w:ascii="Calibri" w:hAnsi="Calibri"/>
          <w:color w:val="2D2D2D"/>
          <w:sz w:val="22"/>
        </w:rPr>
        <w:t>, based on average deal sizes consistent with pilot learnings and early pricing assumptions.</w:t>
      </w:r>
    </w:p>
    <w:p>
      <w:pPr>
        <w:pStyle w:val="ListBullet"/>
        <w:spacing w:after="40" w:before="20"/>
      </w:pPr>
      <w:r>
        <w:rPr>
          <w:rFonts w:ascii="Calibri" w:hAnsi="Calibri"/>
          <w:b/>
          <w:color w:val="2D2D2D"/>
          <w:sz w:val="22"/>
        </w:rPr>
        <w:t>Partnership-Sourced Deals:</w:t>
      </w:r>
      <w:r>
        <w:rPr>
          <w:rFonts w:ascii="Calibri" w:hAnsi="Calibri"/>
          <w:color w:val="2D2D2D"/>
          <w:sz w:val="22"/>
        </w:rPr>
        <w:t xml:space="preserve"> A lightweight but focused partnership strategy is modeled to add </w:t>
      </w:r>
      <w:r>
        <w:rPr>
          <w:rFonts w:ascii="Calibri" w:hAnsi="Calibri"/>
          <w:b/>
          <w:color w:val="2D2D2D"/>
          <w:sz w:val="22"/>
        </w:rPr>
        <w:t>$150K – $300K in ARR</w:t>
      </w:r>
      <w:r>
        <w:rPr>
          <w:rFonts w:ascii="Calibri" w:hAnsi="Calibri"/>
          <w:color w:val="2D2D2D"/>
          <w:sz w:val="22"/>
        </w:rPr>
        <w:t xml:space="preserve">, acting as a </w:t>
      </w:r>
      <w:r>
        <w:rPr>
          <w:rFonts w:ascii="Calibri" w:hAnsi="Calibri"/>
          <w:b/>
          <w:color w:val="2D2D2D"/>
          <w:sz w:val="22"/>
        </w:rPr>
        <w:t>multiplier</w:t>
      </w:r>
      <w:r>
        <w:rPr>
          <w:rFonts w:ascii="Calibri" w:hAnsi="Calibri"/>
          <w:color w:val="2D2D2D"/>
          <w:sz w:val="22"/>
        </w:rPr>
        <w:t xml:space="preserve"> rather than a core dependency.</w:t>
      </w:r>
    </w:p>
    <w:p>
      <w:pPr>
        <w:spacing w:after="120" w:before="40" w:line="276" w:lineRule="auto"/>
        <w:jc w:val="both"/>
      </w:pPr>
      <w:r>
        <w:rPr>
          <w:rFonts w:ascii="Calibri" w:hAnsi="Calibri"/>
          <w:color w:val="2D2D2D"/>
          <w:sz w:val="22"/>
        </w:rPr>
        <w:t xml:space="preserve">These target ranges roll up into a </w:t>
      </w:r>
      <w:r>
        <w:rPr>
          <w:rFonts w:ascii="Calibri" w:hAnsi="Calibri"/>
          <w:b/>
          <w:color w:val="2D2D2D"/>
          <w:sz w:val="22"/>
        </w:rPr>
        <w:t>management aspiration of $1.75M – $2.8M in ARR</w:t>
      </w:r>
      <w:r>
        <w:rPr>
          <w:rFonts w:ascii="Calibri" w:hAnsi="Calibri"/>
          <w:color w:val="2D2D2D"/>
          <w:sz w:val="22"/>
        </w:rPr>
        <w:t xml:space="preserve">, with the midpoint aligned to the </w:t>
      </w:r>
      <w:r>
        <w:rPr>
          <w:rFonts w:ascii="Calibri" w:hAnsi="Calibri"/>
          <w:b/>
          <w:color w:val="2D2D2D"/>
          <w:sz w:val="22"/>
        </w:rPr>
        <w:t>$2.5M+ ARR</w:t>
      </w:r>
      <w:r>
        <w:rPr>
          <w:rFonts w:ascii="Calibri" w:hAnsi="Calibri"/>
          <w:color w:val="2D2D2D"/>
          <w:sz w:val="22"/>
        </w:rPr>
        <w:t xml:space="preserve"> objective. Importantly, </w:t>
      </w:r>
      <w:r>
        <w:rPr>
          <w:rFonts w:ascii="Calibri" w:hAnsi="Calibri"/>
          <w:b/>
          <w:color w:val="2D2D2D"/>
          <w:sz w:val="22"/>
        </w:rPr>
        <w:t>hitting the high end of the range requires contribution from all four sources</w:t>
      </w:r>
      <w:r>
        <w:rPr>
          <w:rFonts w:ascii="Calibri" w:hAnsi="Calibri"/>
          <w:color w:val="2D2D2D"/>
          <w:sz w:val="22"/>
        </w:rPr>
        <w:t>, not just GWRR.</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tmp9ugwhght.png"/>
                    <pic:cNvPicPr/>
                  </pic:nvPicPr>
                  <pic:blipFill>
                    <a:blip r:embed="rId11"/>
                    <a:stretch>
                      <a:fillRect/>
                    </a:stretch>
                  </pic:blipFill>
                  <pic:spPr>
                    <a:xfrm>
                      <a:off x="0" y="0"/>
                      <a:ext cx="5029200" cy="3143250"/>
                    </a:xfrm>
                    <a:prstGeom prst="rect"/>
                  </pic:spPr>
                </pic:pic>
              </a:graphicData>
            </a:graphic>
          </wp:inline>
        </w:drawing>
      </w:r>
    </w:p>
    <w:p/>
    <w:p>
      <w:pPr>
        <w:pStyle w:val="Heading2"/>
      </w:pPr>
      <w:r>
        <w:t>2.3 What Is Unknown and Must Not Be Fabricated</w:t>
      </w:r>
    </w:p>
    <w:p>
      <w:pPr>
        <w:pStyle w:val="ListBullet"/>
        <w:spacing w:after="40" w:before="20"/>
      </w:pPr>
      <w:r>
        <w:rPr>
          <w:rFonts w:ascii="Calibri" w:hAnsi="Calibri"/>
          <w:b/>
          <w:color w:val="2D2D2D"/>
          <w:sz w:val="22"/>
        </w:rPr>
        <w:t>Current, Finance-verified ARR:</w:t>
      </w:r>
      <w:r>
        <w:rPr>
          <w:rFonts w:ascii="Calibri" w:hAnsi="Calibri"/>
          <w:color w:val="2D2D2D"/>
          <w:sz w:val="22"/>
        </w:rPr>
        <w:t xml:space="preserve"> There is </w:t>
      </w:r>
      <w:r>
        <w:rPr>
          <w:rFonts w:ascii="Calibri" w:hAnsi="Calibri"/>
          <w:i/>
          <w:color w:val="2D2D2D"/>
          <w:sz w:val="22"/>
        </w:rPr>
        <w:t>no single, Finance-certified current ARR figure</w:t>
      </w:r>
      <w:r>
        <w:rPr>
          <w:rFonts w:ascii="Calibri" w:hAnsi="Calibri"/>
          <w:color w:val="2D2D2D"/>
          <w:sz w:val="22"/>
        </w:rPr>
        <w:t xml:space="preserve"> at this time. Any attempt to present one-number ARR externally would be misleading until Finance completes a rigorous review of contract terms, renewal likelihood, and scope.</w:t>
      </w:r>
    </w:p>
    <w:p>
      <w:pPr>
        <w:pStyle w:val="ListBullet"/>
        <w:spacing w:after="40" w:before="20"/>
      </w:pPr>
      <w:r>
        <w:rPr>
          <w:rFonts w:ascii="Calibri" w:hAnsi="Calibri"/>
          <w:b/>
          <w:color w:val="2D2D2D"/>
          <w:sz w:val="22"/>
        </w:rPr>
        <w:t>Pilot-to-Rollout Conversion Rates:</w:t>
      </w:r>
      <w:r>
        <w:rPr>
          <w:rFonts w:ascii="Calibri" w:hAnsi="Calibri"/>
          <w:color w:val="2D2D2D"/>
          <w:sz w:val="22"/>
        </w:rPr>
        <w:t xml:space="preserve"> While management may have directional expectations based on relationships and qualitative feedback, </w:t>
      </w:r>
      <w:r>
        <w:rPr>
          <w:rFonts w:ascii="Calibri" w:hAnsi="Calibri"/>
          <w:b/>
          <w:color w:val="2D2D2D"/>
          <w:sz w:val="22"/>
        </w:rPr>
        <w:t>actual conversion rates from pilot to full rollout remain empirically unproven</w:t>
      </w:r>
      <w:r>
        <w:rPr>
          <w:rFonts w:ascii="Calibri" w:hAnsi="Calibri"/>
          <w:color w:val="2D2D2D"/>
          <w:sz w:val="22"/>
        </w:rPr>
        <w:t xml:space="preserve"> and will only become clear over the next 6–12 months.</w:t>
      </w:r>
    </w:p>
    <w:p>
      <w:pPr>
        <w:pStyle w:val="ListBullet"/>
        <w:spacing w:after="40" w:before="20"/>
      </w:pPr>
      <w:r>
        <w:rPr>
          <w:rFonts w:ascii="Calibri" w:hAnsi="Calibri"/>
          <w:b/>
          <w:color w:val="2D2D2D"/>
          <w:sz w:val="22"/>
        </w:rPr>
        <w:t>Exact Timing and Phasing of Rollouts:</w:t>
      </w:r>
      <w:r>
        <w:rPr>
          <w:rFonts w:ascii="Calibri" w:hAnsi="Calibri"/>
          <w:color w:val="2D2D2D"/>
          <w:sz w:val="22"/>
        </w:rPr>
        <w:t xml:space="preserve"> The </w:t>
      </w:r>
      <w:r>
        <w:rPr>
          <w:rFonts w:ascii="Calibri" w:hAnsi="Calibri"/>
          <w:b/>
          <w:color w:val="2D2D2D"/>
          <w:sz w:val="22"/>
        </w:rPr>
        <w:t>month-by-month revenue ramp</w:t>
      </w:r>
      <w:r>
        <w:rPr>
          <w:rFonts w:ascii="Calibri" w:hAnsi="Calibri"/>
          <w:color w:val="2D2D2D"/>
          <w:sz w:val="22"/>
        </w:rPr>
        <w:t xml:space="preserve"> for GWRR, OmniTrax, or any second holding company cannot be responsibly specified yet; it will depend on operational readiness, change management on the customer side, and early performance data.</w:t>
      </w:r>
    </w:p>
    <w:p>
      <w:pPr>
        <w:pStyle w:val="ListBullet"/>
        <w:spacing w:after="40" w:before="20"/>
      </w:pPr>
      <w:r>
        <w:rPr>
          <w:rFonts w:ascii="Calibri" w:hAnsi="Calibri"/>
          <w:b/>
          <w:color w:val="2D2D2D"/>
          <w:sz w:val="22"/>
        </w:rPr>
        <w:t>Long-term Unit Economics:</w:t>
      </w:r>
      <w:r>
        <w:rPr>
          <w:rFonts w:ascii="Calibri" w:hAnsi="Calibri"/>
          <w:color w:val="2D2D2D"/>
          <w:sz w:val="22"/>
        </w:rPr>
        <w:t xml:space="preserve"> With a small, pilot-heavy customer base, </w:t>
      </w:r>
      <w:r>
        <w:rPr>
          <w:rFonts w:ascii="Calibri" w:hAnsi="Calibri"/>
          <w:b/>
          <w:color w:val="2D2D2D"/>
          <w:sz w:val="22"/>
        </w:rPr>
        <w:t>true, stable CAC, LTV, and payback period metrics are not yet observable</w:t>
      </w:r>
      <w:r>
        <w:rPr>
          <w:rFonts w:ascii="Calibri" w:hAnsi="Calibri"/>
          <w:color w:val="2D2D2D"/>
          <w:sz w:val="22"/>
        </w:rPr>
        <w:t xml:space="preserve"> at a level that would satisfy Finance or sophisticated investors.</w:t>
      </w:r>
    </w:p>
    <w:p>
      <w:pPr>
        <w:pStyle w:val="ListBullet"/>
        <w:spacing w:after="40" w:before="20"/>
      </w:pPr>
      <w:r>
        <w:rPr>
          <w:rFonts w:ascii="Calibri" w:hAnsi="Calibri"/>
          <w:b/>
          <w:color w:val="2D2D2D"/>
          <w:sz w:val="22"/>
        </w:rPr>
        <w:t>Partnership Yield:</w:t>
      </w:r>
      <w:r>
        <w:rPr>
          <w:rFonts w:ascii="Calibri" w:hAnsi="Calibri"/>
          <w:color w:val="2D2D2D"/>
          <w:sz w:val="22"/>
        </w:rPr>
        <w:t xml:space="preserve"> The </w:t>
      </w:r>
      <w:r>
        <w:rPr>
          <w:rFonts w:ascii="Calibri" w:hAnsi="Calibri"/>
          <w:b/>
          <w:color w:val="2D2D2D"/>
          <w:sz w:val="22"/>
        </w:rPr>
        <w:t>quantitative impact of strategic partnerships on pipeline and revenue is not yet known</w:t>
      </w:r>
      <w:r>
        <w:rPr>
          <w:rFonts w:ascii="Calibri" w:hAnsi="Calibri"/>
          <w:color w:val="2D2D2D"/>
          <w:sz w:val="22"/>
        </w:rPr>
        <w:t>, and should not be pre-baked into any base-case forecasts.</w:t>
      </w:r>
    </w:p>
    <w:p>
      <w:pPr>
        <w:spacing w:after="120" w:before="40" w:line="276" w:lineRule="auto"/>
        <w:jc w:val="both"/>
      </w:pPr>
      <w:r>
        <w:rPr>
          <w:rFonts w:ascii="Calibri" w:hAnsi="Calibri"/>
          <w:color w:val="2D2D2D"/>
          <w:sz w:val="22"/>
        </w:rPr>
        <w:t>In leadership narratives—both internal and external—</w:t>
      </w:r>
      <w:r>
        <w:rPr>
          <w:rFonts w:ascii="Calibri" w:hAnsi="Calibri"/>
          <w:b/>
          <w:color w:val="2D2D2D"/>
          <w:sz w:val="22"/>
        </w:rPr>
        <w:t>we should be explicit about these unknowns</w:t>
      </w:r>
      <w:r>
        <w:rPr>
          <w:rFonts w:ascii="Calibri" w:hAnsi="Calibri"/>
          <w:color w:val="2D2D2D"/>
          <w:sz w:val="22"/>
        </w:rPr>
        <w:t xml:space="preserve">. The correct framing is that RailVision is </w:t>
      </w:r>
      <w:r>
        <w:rPr>
          <w:rFonts w:ascii="Calibri" w:hAnsi="Calibri"/>
          <w:b/>
          <w:color w:val="2D2D2D"/>
          <w:sz w:val="22"/>
        </w:rPr>
        <w:t>experimenting with high-upside pilots and modeled revenue scenarios</w:t>
      </w:r>
      <w:r>
        <w:rPr>
          <w:rFonts w:ascii="Calibri" w:hAnsi="Calibri"/>
          <w:color w:val="2D2D2D"/>
          <w:sz w:val="22"/>
        </w:rPr>
        <w:t xml:space="preserve">, and that the next 12–18 months are about </w:t>
      </w:r>
      <w:r>
        <w:rPr>
          <w:rFonts w:ascii="Calibri" w:hAnsi="Calibri"/>
          <w:b/>
          <w:color w:val="2D2D2D"/>
          <w:sz w:val="22"/>
        </w:rPr>
        <w:t>converting this potential into Finance-verified ARR</w:t>
      </w:r>
      <w:r>
        <w:rPr>
          <w:rFonts w:ascii="Calibri" w:hAnsi="Calibri"/>
          <w:color w:val="2D2D2D"/>
          <w:sz w:val="22"/>
        </w:rPr>
        <w:t xml:space="preserve"> rather than prematurely declaring scale that does not yet exist.</w:t>
      </w:r>
    </w:p>
    <w:p>
      <w:pPr>
        <w:spacing w:before="160" w:after="160"/>
        <w:jc w:val="center"/>
      </w:pPr>
      <w:r>
        <w:rPr>
          <w:color w:val="D0D5DD"/>
          <w:sz w:val="16"/>
        </w:rPr>
        <w:t>────────────────────────────────────────────────────────────</w:t>
      </w:r>
    </w:p>
    <w:p>
      <w:pPr>
        <w:pStyle w:val="Heading1"/>
      </w:pPr>
      <w:r>
        <w:t>12–18 Month Strategy &amp; Priorities</w:t>
      </w:r>
    </w:p>
    <w:p>
      <w:pPr>
        <w:spacing w:after="120" w:before="40" w:line="276" w:lineRule="auto"/>
        <w:jc w:val="both"/>
      </w:pPr>
      <w:r>
        <w:rPr>
          <w:rFonts w:ascii="Calibri" w:hAnsi="Calibri"/>
          <w:color w:val="2D2D2D"/>
          <w:sz w:val="22"/>
        </w:rPr>
        <w:t xml:space="preserve">The strategy for the next 12–18 months is oriented around a </w:t>
      </w:r>
      <w:r>
        <w:rPr>
          <w:rFonts w:ascii="Calibri" w:hAnsi="Calibri"/>
          <w:b/>
          <w:color w:val="2D2D2D"/>
          <w:sz w:val="22"/>
        </w:rPr>
        <w:t>single revenue outcome</w:t>
      </w:r>
      <w:r>
        <w:rPr>
          <w:rFonts w:ascii="Calibri" w:hAnsi="Calibri"/>
          <w:color w:val="2D2D2D"/>
          <w:sz w:val="22"/>
        </w:rPr>
        <w:t xml:space="preserve">: reaching </w:t>
      </w:r>
      <w:r>
        <w:rPr>
          <w:rFonts w:ascii="Calibri" w:hAnsi="Calibri"/>
          <w:b/>
          <w:color w:val="2D2D2D"/>
          <w:sz w:val="22"/>
        </w:rPr>
        <w:t>$2.5M+ ARR</w:t>
      </w:r>
      <w:r>
        <w:rPr>
          <w:rFonts w:ascii="Calibri" w:hAnsi="Calibri"/>
          <w:color w:val="2D2D2D"/>
          <w:sz w:val="22"/>
        </w:rPr>
        <w:t xml:space="preserve"> while </w:t>
      </w:r>
      <w:r>
        <w:rPr>
          <w:rFonts w:ascii="Calibri" w:hAnsi="Calibri"/>
          <w:b/>
          <w:color w:val="2D2D2D"/>
          <w:sz w:val="22"/>
        </w:rPr>
        <w:t>reducing dependency on any single customer</w:t>
      </w:r>
      <w:r>
        <w:rPr>
          <w:rFonts w:ascii="Calibri" w:hAnsi="Calibri"/>
          <w:color w:val="2D2D2D"/>
          <w:sz w:val="22"/>
        </w:rPr>
        <w:t xml:space="preserve"> and building a </w:t>
      </w:r>
      <w:r>
        <w:rPr>
          <w:rFonts w:ascii="Calibri" w:hAnsi="Calibri"/>
          <w:b/>
          <w:color w:val="2D2D2D"/>
          <w:sz w:val="22"/>
        </w:rPr>
        <w:t>repeatable, founder-independent commercial motion</w:t>
      </w:r>
      <w:r>
        <w:rPr>
          <w:rFonts w:ascii="Calibri" w:hAnsi="Calibri"/>
          <w:color w:val="2D2D2D"/>
          <w:sz w:val="22"/>
        </w:rPr>
        <w:t xml:space="preserve">. Achieving this requires </w:t>
      </w:r>
      <w:r>
        <w:rPr>
          <w:rFonts w:ascii="Calibri" w:hAnsi="Calibri"/>
          <w:b/>
          <w:color w:val="2D2D2D"/>
          <w:sz w:val="22"/>
        </w:rPr>
        <w:t>multiple levers to work together</w:t>
      </w:r>
      <w:r>
        <w:rPr>
          <w:rFonts w:ascii="Calibri" w:hAnsi="Calibri"/>
          <w:color w:val="2D2D2D"/>
          <w:sz w:val="22"/>
        </w:rPr>
        <w:t>—no single customer, not even GWRR, can carry the entire plan without support from a second holding company, a diversified base of independent shortlines, and at least one productive strategic partnership.</w:t>
      </w:r>
    </w:p>
    <w:p>
      <w:pPr>
        <w:spacing w:after="120" w:before="40" w:line="276" w:lineRule="auto"/>
        <w:jc w:val="both"/>
      </w:pPr>
      <w:r>
        <w:rPr>
          <w:rFonts w:ascii="Calibri" w:hAnsi="Calibri"/>
          <w:color w:val="2D2D2D"/>
          <w:sz w:val="22"/>
        </w:rPr>
        <w:t xml:space="preserve">The table below summarizes the </w:t>
      </w:r>
      <w:r>
        <w:rPr>
          <w:rFonts w:ascii="Calibri" w:hAnsi="Calibri"/>
          <w:b/>
          <w:color w:val="2D2D2D"/>
          <w:sz w:val="22"/>
        </w:rPr>
        <w:t>modeled ARR contribution ranges</w:t>
      </w:r>
      <w:r>
        <w:rPr>
          <w:rFonts w:ascii="Calibri" w:hAnsi="Calibri"/>
          <w:color w:val="2D2D2D"/>
          <w:sz w:val="22"/>
        </w:rPr>
        <w:t xml:space="preserve"> from each core source, along with its role in the overall plan. All figures are </w:t>
      </w:r>
      <w:r>
        <w:rPr>
          <w:rFonts w:ascii="Calibri" w:hAnsi="Calibri"/>
          <w:b/>
          <w:color w:val="2D2D2D"/>
          <w:sz w:val="22"/>
        </w:rPr>
        <w:t>management estimates</w:t>
      </w:r>
      <w:r>
        <w:rPr>
          <w:rFonts w:ascii="Calibri" w:hAnsi="Calibri"/>
          <w:color w:val="2D2D2D"/>
          <w:sz w:val="22"/>
        </w:rPr>
        <w:t xml:space="preserve">, not Finance-verified actuals, and should be treated as </w:t>
      </w:r>
      <w:r>
        <w:rPr>
          <w:rFonts w:ascii="Calibri" w:hAnsi="Calibri"/>
          <w:b/>
          <w:color w:val="2D2D2D"/>
          <w:sz w:val="22"/>
        </w:rPr>
        <w:t>illustrative planning scenarios</w:t>
      </w:r>
      <w:r>
        <w:rPr>
          <w:rFonts w:ascii="Calibri" w:hAnsi="Calibri"/>
          <w:color w:val="2D2D2D"/>
          <w:sz w:val="22"/>
        </w:rPr>
        <w:t xml:space="preserve"> rather than guarantees.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Source</w:t>
            </w:r>
          </w:p>
        </w:tc>
        <w:tc>
          <w:tcPr>
            <w:tcW w:type="dxa" w:w="3120"/>
            <w:shd w:fill="1B2A4A" w:val="clear"/>
          </w:tcPr>
          <w:p>
            <w:pPr>
              <w:spacing w:before="60" w:after="60"/>
              <w:jc w:val="left"/>
            </w:pPr>
            <w:r/>
            <w:r>
              <w:rPr>
                <w:rFonts w:ascii="Calibri" w:hAnsi="Calibri"/>
                <w:b/>
                <w:color w:val="FFFFFF"/>
                <w:sz w:val="20"/>
              </w:rPr>
              <w:t>Expected ARR Range</w:t>
            </w:r>
          </w:p>
        </w:tc>
        <w:tc>
          <w:tcPr>
            <w:tcW w:type="dxa" w:w="3120"/>
            <w:shd w:fill="1B2A4A" w:val="clear"/>
          </w:tcPr>
          <w:p>
            <w:pPr>
              <w:spacing w:before="60" w:after="60"/>
              <w:jc w:val="left"/>
            </w:pPr>
            <w:r/>
            <w:r>
              <w:rPr>
                <w:rFonts w:ascii="Calibri" w:hAnsi="Calibri"/>
                <w:b/>
                <w:color w:val="FFFFFF"/>
                <w:sz w:val="20"/>
              </w:rPr>
              <w:t>Role in Plan</w:t>
            </w:r>
          </w:p>
        </w:tc>
      </w:tr>
      <w:tr>
        <w:tc>
          <w:tcPr>
            <w:tcW w:type="dxa" w:w="3120"/>
          </w:tcPr>
          <w:p>
            <w:pPr>
              <w:spacing w:before="60" w:after="60"/>
              <w:jc w:val="left"/>
            </w:pPr>
            <w:r/>
            <w:r>
              <w:rPr>
                <w:rFonts w:ascii="Calibri" w:hAnsi="Calibri"/>
                <w:color w:val="2D2D2D"/>
                <w:sz w:val="20"/>
              </w:rPr>
              <w:t>**GWRR rollout (partial portfolio)**</w:t>
            </w:r>
          </w:p>
        </w:tc>
        <w:tc>
          <w:tcPr>
            <w:tcW w:type="dxa" w:w="3120"/>
          </w:tcPr>
          <w:p>
            <w:pPr>
              <w:spacing w:before="60" w:after="60"/>
              <w:jc w:val="left"/>
            </w:pPr>
            <w:r/>
            <w:r>
              <w:rPr>
                <w:rFonts w:ascii="Calibri" w:hAnsi="Calibri"/>
                <w:color w:val="2D2D2D"/>
                <w:sz w:val="20"/>
              </w:rPr>
              <w:t>**$700K – $1.1M**</w:t>
            </w:r>
          </w:p>
        </w:tc>
        <w:tc>
          <w:tcPr>
            <w:tcW w:type="dxa" w:w="3120"/>
          </w:tcPr>
          <w:p>
            <w:pPr>
              <w:spacing w:before="60" w:after="60"/>
              <w:jc w:val="left"/>
            </w:pPr>
            <w:r/>
            <w:r>
              <w:rPr>
                <w:rFonts w:ascii="Calibri" w:hAnsi="Calibri"/>
                <w:color w:val="2D2D2D"/>
                <w:sz w:val="20"/>
              </w:rPr>
              <w:t>**Anchor account, primary proof point**</w:t>
            </w:r>
          </w:p>
        </w:tc>
      </w:tr>
      <w:tr>
        <w:tc>
          <w:tcPr>
            <w:tcW w:type="dxa" w:w="3120"/>
            <w:shd w:fill="F0F4F8" w:val="clear"/>
          </w:tcPr>
          <w:p>
            <w:pPr>
              <w:spacing w:before="60" w:after="60"/>
              <w:jc w:val="left"/>
            </w:pPr>
            <w:r/>
            <w:r>
              <w:rPr>
                <w:rFonts w:ascii="Calibri" w:hAnsi="Calibri"/>
                <w:color w:val="2D2D2D"/>
                <w:sz w:val="20"/>
              </w:rPr>
              <w:t>**2nd holding co. (e.g., OmniTrax)**</w:t>
            </w:r>
          </w:p>
        </w:tc>
        <w:tc>
          <w:tcPr>
            <w:tcW w:type="dxa" w:w="3120"/>
            <w:shd w:fill="F0F4F8" w:val="clear"/>
          </w:tcPr>
          <w:p>
            <w:pPr>
              <w:spacing w:before="60" w:after="60"/>
              <w:jc w:val="left"/>
            </w:pPr>
            <w:r/>
            <w:r>
              <w:rPr>
                <w:rFonts w:ascii="Calibri" w:hAnsi="Calibri"/>
                <w:color w:val="2D2D2D"/>
                <w:sz w:val="20"/>
              </w:rPr>
              <w:t>**$300K – $500K**</w:t>
            </w:r>
          </w:p>
        </w:tc>
        <w:tc>
          <w:tcPr>
            <w:tcW w:type="dxa" w:w="3120"/>
            <w:shd w:fill="F0F4F8" w:val="clear"/>
          </w:tcPr>
          <w:p>
            <w:pPr>
              <w:spacing w:before="60" w:after="60"/>
              <w:jc w:val="left"/>
            </w:pPr>
            <w:r/>
            <w:r>
              <w:rPr>
                <w:rFonts w:ascii="Calibri" w:hAnsi="Calibri"/>
                <w:color w:val="2D2D2D"/>
                <w:sz w:val="20"/>
              </w:rPr>
              <w:t>**Second anchor, validates repeatability**</w:t>
            </w:r>
          </w:p>
        </w:tc>
      </w:tr>
      <w:tr>
        <w:tc>
          <w:tcPr>
            <w:tcW w:type="dxa" w:w="3120"/>
          </w:tcPr>
          <w:p>
            <w:pPr>
              <w:spacing w:before="60" w:after="60"/>
              <w:jc w:val="left"/>
            </w:pPr>
            <w:r/>
            <w:r>
              <w:rPr>
                <w:rFonts w:ascii="Calibri" w:hAnsi="Calibri"/>
                <w:color w:val="2D2D2D"/>
                <w:sz w:val="20"/>
              </w:rPr>
              <w:t>**Independent shortlines (15–20)**</w:t>
            </w:r>
          </w:p>
        </w:tc>
        <w:tc>
          <w:tcPr>
            <w:tcW w:type="dxa" w:w="3120"/>
          </w:tcPr>
          <w:p>
            <w:pPr>
              <w:spacing w:before="60" w:after="60"/>
              <w:jc w:val="left"/>
            </w:pPr>
            <w:r/>
            <w:r>
              <w:rPr>
                <w:rFonts w:ascii="Calibri" w:hAnsi="Calibri"/>
                <w:color w:val="2D2D2D"/>
                <w:sz w:val="20"/>
              </w:rPr>
              <w:t>**$600K – $900K**</w:t>
            </w:r>
          </w:p>
        </w:tc>
        <w:tc>
          <w:tcPr>
            <w:tcW w:type="dxa" w:w="3120"/>
          </w:tcPr>
          <w:p>
            <w:pPr>
              <w:spacing w:before="60" w:after="60"/>
              <w:jc w:val="left"/>
            </w:pPr>
            <w:r/>
            <w:r>
              <w:rPr>
                <w:rFonts w:ascii="Calibri" w:hAnsi="Calibri"/>
                <w:color w:val="2D2D2D"/>
                <w:sz w:val="20"/>
              </w:rPr>
              <w:t>**Diversification, risk hedge**</w:t>
            </w:r>
          </w:p>
        </w:tc>
      </w:tr>
      <w:tr>
        <w:tc>
          <w:tcPr>
            <w:tcW w:type="dxa" w:w="3120"/>
            <w:shd w:fill="F0F4F8" w:val="clear"/>
          </w:tcPr>
          <w:p>
            <w:pPr>
              <w:spacing w:before="60" w:after="60"/>
              <w:jc w:val="left"/>
            </w:pPr>
            <w:r/>
            <w:r>
              <w:rPr>
                <w:rFonts w:ascii="Calibri" w:hAnsi="Calibri"/>
                <w:color w:val="2D2D2D"/>
                <w:sz w:val="20"/>
              </w:rPr>
              <w:t>**Partnership-sourced deals**</w:t>
            </w:r>
          </w:p>
        </w:tc>
        <w:tc>
          <w:tcPr>
            <w:tcW w:type="dxa" w:w="3120"/>
            <w:shd w:fill="F0F4F8" w:val="clear"/>
          </w:tcPr>
          <w:p>
            <w:pPr>
              <w:spacing w:before="60" w:after="60"/>
              <w:jc w:val="left"/>
            </w:pPr>
            <w:r/>
            <w:r>
              <w:rPr>
                <w:rFonts w:ascii="Calibri" w:hAnsi="Calibri"/>
                <w:color w:val="2D2D2D"/>
                <w:sz w:val="20"/>
              </w:rPr>
              <w:t>**$150K – $300K**</w:t>
            </w:r>
          </w:p>
        </w:tc>
        <w:tc>
          <w:tcPr>
            <w:tcW w:type="dxa" w:w="3120"/>
            <w:shd w:fill="F0F4F8" w:val="clear"/>
          </w:tcPr>
          <w:p>
            <w:pPr>
              <w:spacing w:before="60" w:after="60"/>
              <w:jc w:val="left"/>
            </w:pPr>
            <w:r/>
            <w:r>
              <w:rPr>
                <w:rFonts w:ascii="Calibri" w:hAnsi="Calibri"/>
                <w:color w:val="2D2D2D"/>
                <w:sz w:val="20"/>
              </w:rPr>
              <w:t>**Multiplier, not core dependency**</w:t>
            </w:r>
          </w:p>
        </w:tc>
      </w:tr>
      <w:tr>
        <w:tc>
          <w:tcPr>
            <w:tcW w:type="dxa" w:w="3120"/>
          </w:tcPr>
          <w:p>
            <w:pPr>
              <w:spacing w:before="60" w:after="60"/>
              <w:jc w:val="left"/>
            </w:pPr>
            <w:r/>
            <w:r>
              <w:rPr>
                <w:rFonts w:ascii="Calibri" w:hAnsi="Calibri"/>
                <w:color w:val="2D2D2D"/>
                <w:sz w:val="20"/>
              </w:rPr>
              <w:t>**Total**</w:t>
            </w:r>
          </w:p>
        </w:tc>
        <w:tc>
          <w:tcPr>
            <w:tcW w:type="dxa" w:w="3120"/>
          </w:tcPr>
          <w:p>
            <w:pPr>
              <w:spacing w:before="60" w:after="60"/>
              <w:jc w:val="left"/>
            </w:pPr>
            <w:r/>
            <w:r>
              <w:rPr>
                <w:rFonts w:ascii="Calibri" w:hAnsi="Calibri"/>
                <w:color w:val="2D2D2D"/>
                <w:sz w:val="20"/>
              </w:rPr>
              <w:t>**$1.75M – $2.8M**</w:t>
            </w:r>
          </w:p>
        </w:tc>
        <w:tc>
          <w:tcPr>
            <w:tcW w:type="dxa" w:w="3120"/>
          </w:tcPr>
          <w:p>
            <w:pPr>
              <w:spacing w:before="60" w:after="60"/>
              <w:jc w:val="left"/>
            </w:pPr>
            <w:r/>
            <w:r>
              <w:rPr>
                <w:rFonts w:ascii="Calibri" w:hAnsi="Calibri"/>
                <w:color w:val="2D2D2D"/>
                <w:sz w:val="20"/>
              </w:rPr>
              <w:t>**$2.5M requires contribution from all four**</w:t>
            </w:r>
          </w:p>
        </w:tc>
      </w:tr>
    </w:tbl>
    <w:p/>
    <w:p>
      <w:pPr>
        <w:spacing w:before="120" w:after="120"/>
        <w:ind w:left="720"/>
        <w:pBdr>
          <w:left w:val="single" w:sz="12" w:space="8" w:color="3A86C8"/>
        </w:pBdr>
      </w:pPr>
      <w:r>
        <w:rPr>
          <w:rFonts w:ascii="Calibri" w:hAnsi="Calibri"/>
          <w:i/>
          <w:color w:val="4A5A6A"/>
          <w:sz w:val="22"/>
        </w:rPr>
        <w:t>The **central strategic truth** is that **GWRR is necessary but not sufficient**. The $2.5M+ ARR goal requires **GWRR plus at least two of the other three levers performing near modeled expectations**.</w:t>
      </w:r>
    </w:p>
    <w:p>
      <w:pPr>
        <w:pStyle w:val="Heading2"/>
      </w:pPr>
      <w:r>
        <w:t>3.1 Priority #1 – Convert and Scale GWRR</w:t>
      </w:r>
    </w:p>
    <w:p>
      <w:pPr>
        <w:spacing w:after="120" w:before="40" w:line="276" w:lineRule="auto"/>
        <w:jc w:val="both"/>
      </w:pPr>
      <w:r>
        <w:rPr>
          <w:rFonts w:ascii="Calibri" w:hAnsi="Calibri"/>
          <w:b/>
          <w:color w:val="2D2D2D"/>
          <w:sz w:val="22"/>
        </w:rPr>
        <w:t>Objective:</w:t>
      </w:r>
      <w:r>
        <w:rPr>
          <w:rFonts w:ascii="Calibri" w:hAnsi="Calibri"/>
          <w:color w:val="2D2D2D"/>
          <w:sz w:val="22"/>
        </w:rPr>
        <w:t xml:space="preserve"> Make </w:t>
      </w:r>
      <w:r>
        <w:rPr>
          <w:rFonts w:ascii="Calibri" w:hAnsi="Calibri"/>
          <w:b/>
          <w:color w:val="2D2D2D"/>
          <w:sz w:val="22"/>
        </w:rPr>
        <w:t>GWRR</w:t>
      </w:r>
      <w:r>
        <w:rPr>
          <w:rFonts w:ascii="Calibri" w:hAnsi="Calibri"/>
          <w:color w:val="2D2D2D"/>
          <w:sz w:val="22"/>
        </w:rPr>
        <w:t xml:space="preserve"> a </w:t>
      </w:r>
      <w:r>
        <w:rPr>
          <w:rFonts w:ascii="Calibri" w:hAnsi="Calibri"/>
          <w:b/>
          <w:color w:val="2D2D2D"/>
          <w:sz w:val="22"/>
        </w:rPr>
        <w:t>clear, quantified commercial success</w:t>
      </w:r>
      <w:r>
        <w:rPr>
          <w:rFonts w:ascii="Calibri" w:hAnsi="Calibri"/>
          <w:color w:val="2D2D2D"/>
          <w:sz w:val="22"/>
        </w:rPr>
        <w:t xml:space="preserve"> and convert it rapidly from a </w:t>
      </w:r>
      <w:r>
        <w:rPr>
          <w:rFonts w:ascii="Calibri" w:hAnsi="Calibri"/>
          <w:b/>
          <w:color w:val="2D2D2D"/>
          <w:sz w:val="22"/>
        </w:rPr>
        <w:t>pilot-heavy relationship</w:t>
      </w:r>
      <w:r>
        <w:rPr>
          <w:rFonts w:ascii="Calibri" w:hAnsi="Calibri"/>
          <w:color w:val="2D2D2D"/>
          <w:sz w:val="22"/>
        </w:rPr>
        <w:t xml:space="preserve"> into a </w:t>
      </w:r>
      <w:r>
        <w:rPr>
          <w:rFonts w:ascii="Calibri" w:hAnsi="Calibri"/>
          <w:b/>
          <w:color w:val="2D2D2D"/>
          <w:sz w:val="22"/>
        </w:rPr>
        <w:t>scaled, multi-road rollout</w:t>
      </w:r>
      <w:r>
        <w:rPr>
          <w:rFonts w:ascii="Calibri" w:hAnsi="Calibri"/>
          <w:color w:val="2D2D2D"/>
          <w:sz w:val="22"/>
        </w:rPr>
        <w:t xml:space="preserve"> that can serve as the </w:t>
      </w:r>
      <w:r>
        <w:rPr>
          <w:rFonts w:ascii="Calibri" w:hAnsi="Calibri"/>
          <w:b/>
          <w:color w:val="2D2D2D"/>
          <w:sz w:val="22"/>
        </w:rPr>
        <w:t>anchor account and reference case</w:t>
      </w:r>
      <w:r>
        <w:rPr>
          <w:rFonts w:ascii="Calibri" w:hAnsi="Calibri"/>
          <w:color w:val="2D2D2D"/>
          <w:sz w:val="22"/>
        </w:rPr>
        <w:t xml:space="preserve"> for the broader market.</w:t>
      </w:r>
    </w:p>
    <w:p>
      <w:pPr>
        <w:pStyle w:val="Heading3"/>
      </w:pPr>
      <w:r>
        <w:t>Key Moves</w:t>
      </w:r>
    </w:p>
    <w:p>
      <w:pPr>
        <w:pStyle w:val="ListBullet"/>
        <w:spacing w:after="40" w:before="20"/>
      </w:pPr>
      <w:r>
        <w:rPr>
          <w:rFonts w:ascii="Calibri" w:hAnsi="Calibri"/>
          <w:b/>
          <w:color w:val="2D2D2D"/>
          <w:sz w:val="22"/>
        </w:rPr>
        <w:t>Define and agree success criteria upfront</w:t>
      </w:r>
      <w:r>
        <w:rPr>
          <w:rFonts w:ascii="Calibri" w:hAnsi="Calibri"/>
          <w:color w:val="2D2D2D"/>
          <w:sz w:val="22"/>
        </w:rPr>
        <w:t xml:space="preserve"> with GWRR, including specific metrics on fuel savings, operational performance, and user adoption, so that both parties are aligned on what constitutes a “win” and a trigger for rollout.</w:t>
      </w:r>
    </w:p>
    <w:p>
      <w:pPr>
        <w:pStyle w:val="ListBullet"/>
        <w:spacing w:after="40" w:before="20"/>
      </w:pPr>
      <w:r>
        <w:rPr>
          <w:rFonts w:ascii="Calibri" w:hAnsi="Calibri"/>
          <w:b/>
          <w:color w:val="2D2D2D"/>
          <w:sz w:val="22"/>
        </w:rPr>
        <w:t>Concentrate cross-functional support</w:t>
      </w:r>
      <w:r>
        <w:rPr>
          <w:rFonts w:ascii="Calibri" w:hAnsi="Calibri"/>
          <w:color w:val="2D2D2D"/>
          <w:sz w:val="22"/>
        </w:rPr>
        <w:t xml:space="preserve"> (Sales, Customer Success, Product, Engineering) on </w:t>
      </w:r>
      <w:r>
        <w:rPr>
          <w:rFonts w:ascii="Calibri" w:hAnsi="Calibri"/>
          <w:b/>
          <w:color w:val="2D2D2D"/>
          <w:sz w:val="22"/>
        </w:rPr>
        <w:t>making the current GWRR corridors successful</w:t>
      </w:r>
      <w:r>
        <w:rPr>
          <w:rFonts w:ascii="Calibri" w:hAnsi="Calibri"/>
          <w:color w:val="2D2D2D"/>
          <w:sz w:val="22"/>
        </w:rPr>
        <w:t>, even at the cost of deprioritizing lower-value opportunities in the near term.</w:t>
      </w:r>
    </w:p>
    <w:p>
      <w:pPr>
        <w:pStyle w:val="ListBullet"/>
        <w:spacing w:after="40" w:before="20"/>
      </w:pPr>
      <w:r>
        <w:rPr>
          <w:rFonts w:ascii="Calibri" w:hAnsi="Calibri"/>
          <w:b/>
          <w:color w:val="2D2D2D"/>
          <w:sz w:val="22"/>
        </w:rPr>
        <w:t>Design a scalable rollout playbook</w:t>
      </w:r>
      <w:r>
        <w:rPr>
          <w:rFonts w:ascii="Calibri" w:hAnsi="Calibri"/>
          <w:color w:val="2D2D2D"/>
          <w:sz w:val="22"/>
        </w:rPr>
        <w:t xml:space="preserve"> explicitly for GWRR, including standard implementation steps, change management templates, training materials, and measurement dashboards to minimize reinvention as additional roads come online.</w:t>
      </w:r>
    </w:p>
    <w:p>
      <w:pPr>
        <w:pStyle w:val="ListBullet"/>
        <w:spacing w:after="40" w:before="20"/>
      </w:pPr>
      <w:r>
        <w:rPr>
          <w:rFonts w:ascii="Calibri" w:hAnsi="Calibri"/>
          <w:b/>
          <w:color w:val="2D2D2D"/>
          <w:sz w:val="22"/>
        </w:rPr>
        <w:t>Secure an executive-level sponsor and champion at GWRR</w:t>
      </w:r>
      <w:r>
        <w:rPr>
          <w:rFonts w:ascii="Calibri" w:hAnsi="Calibri"/>
          <w:color w:val="2D2D2D"/>
          <w:sz w:val="22"/>
        </w:rPr>
        <w:t xml:space="preserve"> and implement a </w:t>
      </w:r>
      <w:r>
        <w:rPr>
          <w:rFonts w:ascii="Calibri" w:hAnsi="Calibri"/>
          <w:b/>
          <w:color w:val="2D2D2D"/>
          <w:sz w:val="22"/>
        </w:rPr>
        <w:t>regular governance cadence</w:t>
      </w:r>
      <w:r>
        <w:rPr>
          <w:rFonts w:ascii="Calibri" w:hAnsi="Calibri"/>
          <w:color w:val="2D2D2D"/>
          <w:sz w:val="22"/>
        </w:rPr>
        <w:t xml:space="preserve"> (e.g., monthly steering meetings) to monitor performance, address issues early, and maintain momentum.</w:t>
      </w:r>
    </w:p>
    <w:p>
      <w:pPr>
        <w:pStyle w:val="ListBullet"/>
        <w:spacing w:after="40" w:before="20"/>
      </w:pPr>
      <w:r>
        <w:rPr>
          <w:rFonts w:ascii="Calibri" w:hAnsi="Calibri"/>
          <w:b/>
          <w:color w:val="2D2D2D"/>
          <w:sz w:val="22"/>
        </w:rPr>
        <w:t>Negotiate a phased commercial structure</w:t>
      </w:r>
      <w:r>
        <w:rPr>
          <w:rFonts w:ascii="Calibri" w:hAnsi="Calibri"/>
          <w:color w:val="2D2D2D"/>
          <w:sz w:val="22"/>
        </w:rPr>
        <w:t xml:space="preserve"> that allows RailVision to start recognizing ARR as early segments convert, rather than waiting for an all-or-nothing network-wide contract.</w:t>
      </w:r>
    </w:p>
    <w:p>
      <w:pPr>
        <w:pStyle w:val="Heading3"/>
      </w:pPr>
      <w:r>
        <w:t>Dependencies / Risks</w:t>
      </w:r>
    </w:p>
    <w:p>
      <w:pPr>
        <w:pStyle w:val="ListBullet"/>
        <w:spacing w:after="40" w:before="20"/>
      </w:pPr>
      <w:r>
        <w:rPr>
          <w:rFonts w:ascii="Calibri" w:hAnsi="Calibri"/>
          <w:b/>
          <w:color w:val="2D2D2D"/>
          <w:sz w:val="22"/>
        </w:rPr>
        <w:t>Performance dependency:</w:t>
      </w:r>
      <w:r>
        <w:rPr>
          <w:rFonts w:ascii="Calibri" w:hAnsi="Calibri"/>
          <w:color w:val="2D2D2D"/>
          <w:sz w:val="22"/>
        </w:rPr>
        <w:t xml:space="preserve"> If the </w:t>
      </w:r>
      <w:r>
        <w:rPr>
          <w:rFonts w:ascii="Calibri" w:hAnsi="Calibri"/>
          <w:b/>
          <w:color w:val="2D2D2D"/>
          <w:sz w:val="22"/>
        </w:rPr>
        <w:t>pilot underperforms</w:t>
      </w:r>
      <w:r>
        <w:rPr>
          <w:rFonts w:ascii="Calibri" w:hAnsi="Calibri"/>
          <w:color w:val="2D2D2D"/>
          <w:sz w:val="22"/>
        </w:rPr>
        <w:t xml:space="preserve"> on savings or operational impact, the business case for rollout weakens materially.</w:t>
      </w:r>
    </w:p>
    <w:p>
      <w:pPr>
        <w:pStyle w:val="ListBullet"/>
        <w:spacing w:after="40" w:before="20"/>
      </w:pPr>
      <w:r>
        <w:rPr>
          <w:rFonts w:ascii="Calibri" w:hAnsi="Calibri"/>
          <w:b/>
          <w:color w:val="2D2D2D"/>
          <w:sz w:val="22"/>
        </w:rPr>
        <w:t>Change management risk:</w:t>
      </w:r>
      <w:r>
        <w:rPr>
          <w:rFonts w:ascii="Calibri" w:hAnsi="Calibri"/>
          <w:color w:val="2D2D2D"/>
          <w:sz w:val="22"/>
        </w:rPr>
        <w:t xml:space="preserve"> Even with strong technical performance, </w:t>
      </w:r>
      <w:r>
        <w:rPr>
          <w:rFonts w:ascii="Calibri" w:hAnsi="Calibri"/>
          <w:b/>
          <w:color w:val="2D2D2D"/>
          <w:sz w:val="22"/>
        </w:rPr>
        <w:t>crew adoption and operational change</w:t>
      </w:r>
      <w:r>
        <w:rPr>
          <w:rFonts w:ascii="Calibri" w:hAnsi="Calibri"/>
          <w:color w:val="2D2D2D"/>
          <w:sz w:val="22"/>
        </w:rPr>
        <w:t xml:space="preserve"> at GWRR may lag, slowing rollout decisions.</w:t>
      </w:r>
    </w:p>
    <w:p>
      <w:pPr>
        <w:pStyle w:val="ListBullet"/>
        <w:spacing w:after="40" w:before="20"/>
      </w:pPr>
      <w:r>
        <w:rPr>
          <w:rFonts w:ascii="Calibri" w:hAnsi="Calibri"/>
          <w:b/>
          <w:color w:val="2D2D2D"/>
          <w:sz w:val="22"/>
        </w:rPr>
        <w:t>Concentration risk:</w:t>
      </w:r>
      <w:r>
        <w:rPr>
          <w:rFonts w:ascii="Calibri" w:hAnsi="Calibri"/>
          <w:color w:val="2D2D2D"/>
          <w:sz w:val="22"/>
        </w:rPr>
        <w:t xml:space="preserve"> Over-investing in GWRR without parallel progress elsewhere could leave RailVision exposed if GWRR delays or re-scopes.</w:t>
      </w:r>
    </w:p>
    <w:p>
      <w:pPr>
        <w:pStyle w:val="Heading2"/>
      </w:pPr>
      <w:r>
        <w:t>3.2 Priority #2 – Open a Second Holding Company Front (OmniTrax or Equivalent)</w:t>
      </w:r>
    </w:p>
    <w:p>
      <w:pPr>
        <w:spacing w:after="120" w:before="40" w:line="276" w:lineRule="auto"/>
        <w:jc w:val="both"/>
      </w:pPr>
      <w:r>
        <w:rPr>
          <w:rFonts w:ascii="Calibri" w:hAnsi="Calibri"/>
          <w:b/>
          <w:color w:val="2D2D2D"/>
          <w:sz w:val="22"/>
        </w:rPr>
        <w:t>Objective:</w:t>
      </w:r>
      <w:r>
        <w:rPr>
          <w:rFonts w:ascii="Calibri" w:hAnsi="Calibri"/>
          <w:color w:val="2D2D2D"/>
          <w:sz w:val="22"/>
        </w:rPr>
        <w:t xml:space="preserve"> Secure and advance a </w:t>
      </w:r>
      <w:r>
        <w:rPr>
          <w:rFonts w:ascii="Calibri" w:hAnsi="Calibri"/>
          <w:b/>
          <w:color w:val="2D2D2D"/>
          <w:sz w:val="22"/>
        </w:rPr>
        <w:t>second holding company rollout path</w:t>
      </w:r>
      <w:r>
        <w:rPr>
          <w:rFonts w:ascii="Calibri" w:hAnsi="Calibri"/>
          <w:color w:val="2D2D2D"/>
          <w:sz w:val="22"/>
        </w:rPr>
        <w:t xml:space="preserve">—ideally </w:t>
      </w:r>
      <w:r>
        <w:rPr>
          <w:rFonts w:ascii="Calibri" w:hAnsi="Calibri"/>
          <w:b/>
          <w:color w:val="2D2D2D"/>
          <w:sz w:val="22"/>
        </w:rPr>
        <w:t>OmniTrax</w:t>
      </w:r>
      <w:r>
        <w:rPr>
          <w:rFonts w:ascii="Calibri" w:hAnsi="Calibri"/>
          <w:color w:val="2D2D2D"/>
          <w:sz w:val="22"/>
        </w:rPr>
        <w:t xml:space="preserve">, but potentially an equivalent operator—so that RailVision is </w:t>
      </w:r>
      <w:r>
        <w:rPr>
          <w:rFonts w:ascii="Calibri" w:hAnsi="Calibri"/>
          <w:b/>
          <w:color w:val="2D2D2D"/>
          <w:sz w:val="22"/>
        </w:rPr>
        <w:t>not solely dependent on GWRR</w:t>
      </w:r>
      <w:r>
        <w:rPr>
          <w:rFonts w:ascii="Calibri" w:hAnsi="Calibri"/>
          <w:color w:val="2D2D2D"/>
          <w:sz w:val="22"/>
        </w:rPr>
        <w:t xml:space="preserve"> and can </w:t>
      </w:r>
      <w:r>
        <w:rPr>
          <w:rFonts w:ascii="Calibri" w:hAnsi="Calibri"/>
          <w:b/>
          <w:color w:val="2D2D2D"/>
          <w:sz w:val="22"/>
        </w:rPr>
        <w:t>prove repeatability of its model across at least two major anchors</w:t>
      </w:r>
      <w:r>
        <w:rPr>
          <w:rFonts w:ascii="Calibri" w:hAnsi="Calibri"/>
          <w:color w:val="2D2D2D"/>
          <w:sz w:val="22"/>
        </w:rPr>
        <w:t>.</w:t>
      </w:r>
    </w:p>
    <w:p>
      <w:pPr>
        <w:pStyle w:val="Heading3"/>
      </w:pPr>
      <w:r>
        <w:t>Key Moves</w:t>
      </w:r>
    </w:p>
    <w:p>
      <w:pPr>
        <w:pStyle w:val="ListBullet"/>
        <w:spacing w:after="40" w:before="20"/>
      </w:pPr>
      <w:r>
        <w:rPr>
          <w:rFonts w:ascii="Calibri" w:hAnsi="Calibri"/>
          <w:b/>
          <w:color w:val="2D2D2D"/>
          <w:sz w:val="22"/>
        </w:rPr>
        <w:t>Advance OmniTrax from pilot to a clear roadmap</w:t>
      </w:r>
      <w:r>
        <w:rPr>
          <w:rFonts w:ascii="Calibri" w:hAnsi="Calibri"/>
          <w:color w:val="2D2D2D"/>
          <w:sz w:val="22"/>
        </w:rPr>
        <w:t>, ensuring that early deployments are instrumented with the same rigor as GWRR (success metrics, governance, rollout criteria).</w:t>
      </w:r>
    </w:p>
    <w:p>
      <w:pPr>
        <w:pStyle w:val="ListBullet"/>
        <w:spacing w:after="40" w:before="20"/>
      </w:pPr>
      <w:r>
        <w:rPr>
          <w:rFonts w:ascii="Calibri" w:hAnsi="Calibri"/>
          <w:b/>
          <w:color w:val="2D2D2D"/>
          <w:sz w:val="22"/>
        </w:rPr>
        <w:t>Identify 1–2 alternative holding company prospects</w:t>
      </w:r>
      <w:r>
        <w:rPr>
          <w:rFonts w:ascii="Calibri" w:hAnsi="Calibri"/>
          <w:color w:val="2D2D2D"/>
          <w:sz w:val="22"/>
        </w:rPr>
        <w:t xml:space="preserve"> as contingency options if OmniTrax timing slips, maintaining optionality while avoiding overextension.</w:t>
      </w:r>
    </w:p>
    <w:p>
      <w:pPr>
        <w:pStyle w:val="ListBullet"/>
        <w:spacing w:after="40" w:before="20"/>
      </w:pPr>
      <w:r>
        <w:rPr>
          <w:rFonts w:ascii="Calibri" w:hAnsi="Calibri"/>
          <w:b/>
          <w:color w:val="2D2D2D"/>
          <w:sz w:val="22"/>
        </w:rPr>
        <w:t>Standardize the commercial and technical offering</w:t>
      </w:r>
      <w:r>
        <w:rPr>
          <w:rFonts w:ascii="Calibri" w:hAnsi="Calibri"/>
          <w:color w:val="2D2D2D"/>
          <w:sz w:val="22"/>
        </w:rPr>
        <w:t xml:space="preserve"> so that lessons from GWRR are directly reusable, shortening sales and implementation cycles for the second holding company.</w:t>
      </w:r>
    </w:p>
    <w:p>
      <w:pPr>
        <w:pStyle w:val="ListBullet"/>
        <w:spacing w:after="40" w:before="20"/>
      </w:pPr>
      <w:r>
        <w:rPr>
          <w:rFonts w:ascii="Calibri" w:hAnsi="Calibri"/>
          <w:b/>
          <w:color w:val="2D2D2D"/>
          <w:sz w:val="22"/>
        </w:rPr>
        <w:t>Position the second holding company as a co-equal proof point</w:t>
      </w:r>
      <w:r>
        <w:rPr>
          <w:rFonts w:ascii="Calibri" w:hAnsi="Calibri"/>
          <w:color w:val="2D2D2D"/>
          <w:sz w:val="22"/>
        </w:rPr>
        <w:t xml:space="preserve"> in external narratives, reinforcing that RailVision’s model is not idiosyncratic to a single customer’s operating environment.</w:t>
      </w:r>
    </w:p>
    <w:p>
      <w:pPr>
        <w:pStyle w:val="Heading3"/>
      </w:pPr>
      <w:r>
        <w:t>Dependencies / Risks</w:t>
      </w:r>
    </w:p>
    <w:p>
      <w:pPr>
        <w:pStyle w:val="ListBullet"/>
        <w:spacing w:after="40" w:before="20"/>
      </w:pPr>
      <w:r>
        <w:rPr>
          <w:rFonts w:ascii="Calibri" w:hAnsi="Calibri"/>
          <w:b/>
          <w:color w:val="2D2D2D"/>
          <w:sz w:val="22"/>
        </w:rPr>
        <w:t>Bandwidth constraint:</w:t>
      </w:r>
      <w:r>
        <w:rPr>
          <w:rFonts w:ascii="Calibri" w:hAnsi="Calibri"/>
          <w:color w:val="2D2D2D"/>
          <w:sz w:val="22"/>
        </w:rPr>
        <w:t xml:space="preserve"> The same senior leaders (Sales, CS, Product) are likely to be involved in both GWRR and OmniTrax, creating a risk of dilution if both move quickly at once.</w:t>
      </w:r>
    </w:p>
    <w:p>
      <w:pPr>
        <w:pStyle w:val="ListBullet"/>
        <w:spacing w:after="40" w:before="20"/>
      </w:pPr>
      <w:r>
        <w:rPr>
          <w:rFonts w:ascii="Calibri" w:hAnsi="Calibri"/>
          <w:b/>
          <w:color w:val="2D2D2D"/>
          <w:sz w:val="22"/>
        </w:rPr>
        <w:t>Budget and timing risk on the customer side:</w:t>
      </w:r>
      <w:r>
        <w:rPr>
          <w:rFonts w:ascii="Calibri" w:hAnsi="Calibri"/>
          <w:color w:val="2D2D2D"/>
          <w:sz w:val="22"/>
        </w:rPr>
        <w:t xml:space="preserve"> Even strong pilots can be delayed by </w:t>
      </w:r>
      <w:r>
        <w:rPr>
          <w:rFonts w:ascii="Calibri" w:hAnsi="Calibri"/>
          <w:b/>
          <w:color w:val="2D2D2D"/>
          <w:sz w:val="22"/>
        </w:rPr>
        <w:t>customer budget cycles, reorganizations, or strategic shifts</w:t>
      </w:r>
      <w:r>
        <w:rPr>
          <w:rFonts w:ascii="Calibri" w:hAnsi="Calibri"/>
          <w:color w:val="2D2D2D"/>
          <w:sz w:val="22"/>
        </w:rPr>
        <w:t xml:space="preserve"> unrelated to RailVision’s performance.</w:t>
      </w:r>
    </w:p>
    <w:p>
      <w:pPr>
        <w:pStyle w:val="ListBullet"/>
        <w:spacing w:after="40" w:before="20"/>
      </w:pPr>
      <w:r>
        <w:rPr>
          <w:rFonts w:ascii="Calibri" w:hAnsi="Calibri"/>
          <w:b/>
          <w:color w:val="2D2D2D"/>
          <w:sz w:val="22"/>
        </w:rPr>
        <w:t>Potential misalignment of use cases:</w:t>
      </w:r>
      <w:r>
        <w:rPr>
          <w:rFonts w:ascii="Calibri" w:hAnsi="Calibri"/>
          <w:color w:val="2D2D2D"/>
          <w:sz w:val="22"/>
        </w:rPr>
        <w:t xml:space="preserve"> OmniTrax’s network characteristics or strategic priorities may differ from GWRR’s, requiring selective tailoring of the product and value story.</w:t>
      </w:r>
    </w:p>
    <w:p>
      <w:pPr>
        <w:pStyle w:val="Heading2"/>
      </w:pPr>
      <w:r>
        <w:t>3.3 Priority #3 – Build a Repeatable Independent Shortline Motion</w:t>
      </w:r>
    </w:p>
    <w:p>
      <w:pPr>
        <w:spacing w:after="120" w:before="40" w:line="276" w:lineRule="auto"/>
        <w:jc w:val="both"/>
      </w:pPr>
      <w:r>
        <w:rPr>
          <w:rFonts w:ascii="Calibri" w:hAnsi="Calibri"/>
          <w:b/>
          <w:color w:val="2D2D2D"/>
          <w:sz w:val="22"/>
        </w:rPr>
        <w:t>Objective:</w:t>
      </w:r>
      <w:r>
        <w:rPr>
          <w:rFonts w:ascii="Calibri" w:hAnsi="Calibri"/>
          <w:color w:val="2D2D2D"/>
          <w:sz w:val="22"/>
        </w:rPr>
        <w:t xml:space="preserve"> Develop a </w:t>
      </w:r>
      <w:r>
        <w:rPr>
          <w:rFonts w:ascii="Calibri" w:hAnsi="Calibri"/>
          <w:b/>
          <w:color w:val="2D2D2D"/>
          <w:sz w:val="22"/>
        </w:rPr>
        <w:t>scalable, repeatable sales and delivery motion for independent shortlines</w:t>
      </w:r>
      <w:r>
        <w:rPr>
          <w:rFonts w:ascii="Calibri" w:hAnsi="Calibri"/>
          <w:color w:val="2D2D2D"/>
          <w:sz w:val="22"/>
        </w:rPr>
        <w:t xml:space="preserve"> (targeting </w:t>
      </w:r>
      <w:r>
        <w:rPr>
          <w:rFonts w:ascii="Calibri" w:hAnsi="Calibri"/>
          <w:b/>
          <w:color w:val="2D2D2D"/>
          <w:sz w:val="22"/>
        </w:rPr>
        <w:t>15–20 wins over 12–18 months</w:t>
      </w:r>
      <w:r>
        <w:rPr>
          <w:rFonts w:ascii="Calibri" w:hAnsi="Calibri"/>
          <w:color w:val="2D2D2D"/>
          <w:sz w:val="22"/>
        </w:rPr>
        <w:t xml:space="preserve">) that provides </w:t>
      </w:r>
      <w:r>
        <w:rPr>
          <w:rFonts w:ascii="Calibri" w:hAnsi="Calibri"/>
          <w:b/>
          <w:color w:val="2D2D2D"/>
          <w:sz w:val="22"/>
        </w:rPr>
        <w:t>ARR diversification</w:t>
      </w:r>
      <w:r>
        <w:rPr>
          <w:rFonts w:ascii="Calibri" w:hAnsi="Calibri"/>
          <w:color w:val="2D2D2D"/>
          <w:sz w:val="22"/>
        </w:rPr>
        <w:t xml:space="preserve"> and </w:t>
      </w:r>
      <w:r>
        <w:rPr>
          <w:rFonts w:ascii="Calibri" w:hAnsi="Calibri"/>
          <w:b/>
          <w:color w:val="2D2D2D"/>
          <w:sz w:val="22"/>
        </w:rPr>
        <w:t>reduces reliance on a few large holding companies</w:t>
      </w:r>
      <w:r>
        <w:rPr>
          <w:rFonts w:ascii="Calibri" w:hAnsi="Calibri"/>
          <w:color w:val="2D2D2D"/>
          <w:sz w:val="22"/>
        </w:rPr>
        <w:t>.</w:t>
      </w:r>
    </w:p>
    <w:p>
      <w:pPr>
        <w:pStyle w:val="Heading3"/>
      </w:pPr>
      <w:r>
        <w:t>Key Moves</w:t>
      </w:r>
    </w:p>
    <w:p>
      <w:pPr>
        <w:pStyle w:val="ListBullet"/>
        <w:spacing w:after="40" w:before="20"/>
      </w:pPr>
      <w:r>
        <w:rPr>
          <w:rFonts w:ascii="Calibri" w:hAnsi="Calibri"/>
          <w:b/>
          <w:color w:val="2D2D2D"/>
          <w:sz w:val="22"/>
        </w:rPr>
        <w:t>Codify an end-to-end shortline playbook</w:t>
      </w:r>
      <w:r>
        <w:rPr>
          <w:rFonts w:ascii="Calibri" w:hAnsi="Calibri"/>
          <w:color w:val="2D2D2D"/>
          <w:sz w:val="22"/>
        </w:rPr>
        <w:t>, including ICP definition, outreach scripts, sales materials, pilot frameworks, pricing bands, and standardized contracts suitable for smaller operators.</w:t>
      </w:r>
    </w:p>
    <w:p>
      <w:pPr>
        <w:pStyle w:val="ListBullet"/>
        <w:spacing w:after="40" w:before="20"/>
      </w:pPr>
      <w:r>
        <w:rPr>
          <w:rFonts w:ascii="Calibri" w:hAnsi="Calibri"/>
          <w:b/>
          <w:color w:val="2D2D2D"/>
          <w:sz w:val="22"/>
        </w:rPr>
        <w:t>Invest in at least one dedicated non-founder seller or sales engineer</w:t>
      </w:r>
      <w:r>
        <w:rPr>
          <w:rFonts w:ascii="Calibri" w:hAnsi="Calibri"/>
          <w:color w:val="2D2D2D"/>
          <w:sz w:val="22"/>
        </w:rPr>
        <w:t xml:space="preserve"> focused on the shortline segment, to begin </w:t>
      </w:r>
      <w:r>
        <w:rPr>
          <w:rFonts w:ascii="Calibri" w:hAnsi="Calibri"/>
          <w:b/>
          <w:color w:val="2D2D2D"/>
          <w:sz w:val="22"/>
        </w:rPr>
        <w:t>decoupling sales from founder-only relationships</w:t>
      </w:r>
      <w:r>
        <w:rPr>
          <w:rFonts w:ascii="Calibri" w:hAnsi="Calibri"/>
          <w:color w:val="2D2D2D"/>
          <w:sz w:val="22"/>
        </w:rPr>
        <w:t>.</w:t>
      </w:r>
    </w:p>
    <w:p>
      <w:pPr>
        <w:pStyle w:val="ListBullet"/>
        <w:spacing w:after="40" w:before="20"/>
      </w:pPr>
      <w:r>
        <w:rPr>
          <w:rFonts w:ascii="Calibri" w:hAnsi="Calibri"/>
          <w:b/>
          <w:color w:val="2D2D2D"/>
          <w:sz w:val="22"/>
        </w:rPr>
        <w:t>Simplify deployment for smaller customers</w:t>
      </w:r>
      <w:r>
        <w:rPr>
          <w:rFonts w:ascii="Calibri" w:hAnsi="Calibri"/>
          <w:color w:val="2D2D2D"/>
          <w:sz w:val="22"/>
        </w:rPr>
        <w:t>, leveraging a “lightweight” implementation model (standard templates, remote training, minimal customization) to keep unit economics attractive.</w:t>
      </w:r>
    </w:p>
    <w:p>
      <w:pPr>
        <w:pStyle w:val="ListBullet"/>
        <w:spacing w:after="40" w:before="20"/>
      </w:pPr>
      <w:r>
        <w:rPr>
          <w:rFonts w:ascii="Calibri" w:hAnsi="Calibri"/>
          <w:b/>
          <w:color w:val="2D2D2D"/>
          <w:sz w:val="22"/>
        </w:rPr>
        <w:t>Bundle offerings for shortlines</w:t>
      </w:r>
      <w:r>
        <w:rPr>
          <w:rFonts w:ascii="Calibri" w:hAnsi="Calibri"/>
          <w:color w:val="2D2D2D"/>
          <w:sz w:val="22"/>
        </w:rPr>
        <w:t xml:space="preserve"> in a way that makes value easy to understand (e.g., a “starter package” with defined scope and pricing), reducing the need for bespoke negotiation.</w:t>
      </w:r>
    </w:p>
    <w:p>
      <w:pPr>
        <w:pStyle w:val="Heading3"/>
      </w:pPr>
      <w:r>
        <w:t>Dependencies / Risks</w:t>
      </w:r>
    </w:p>
    <w:p>
      <w:pPr>
        <w:pStyle w:val="ListBullet"/>
        <w:spacing w:after="40" w:before="20"/>
      </w:pPr>
      <w:r>
        <w:rPr>
          <w:rFonts w:ascii="Calibri" w:hAnsi="Calibri"/>
          <w:b/>
          <w:color w:val="2D2D2D"/>
          <w:sz w:val="22"/>
        </w:rPr>
        <w:t>Sales scalability risk:</w:t>
      </w:r>
      <w:r>
        <w:rPr>
          <w:rFonts w:ascii="Calibri" w:hAnsi="Calibri"/>
          <w:color w:val="2D2D2D"/>
          <w:sz w:val="22"/>
        </w:rPr>
        <w:t xml:space="preserve"> If </w:t>
      </w:r>
      <w:r>
        <w:rPr>
          <w:rFonts w:ascii="Calibri" w:hAnsi="Calibri"/>
          <w:b/>
          <w:color w:val="2D2D2D"/>
          <w:sz w:val="22"/>
        </w:rPr>
        <w:t>sales never scales beyond the founders</w:t>
      </w:r>
      <w:r>
        <w:rPr>
          <w:rFonts w:ascii="Calibri" w:hAnsi="Calibri"/>
          <w:color w:val="2D2D2D"/>
          <w:sz w:val="22"/>
        </w:rPr>
        <w:t xml:space="preserve">, it will be difficult to hit the </w:t>
      </w:r>
      <w:r>
        <w:rPr>
          <w:rFonts w:ascii="Calibri" w:hAnsi="Calibri"/>
          <w:b/>
          <w:color w:val="2D2D2D"/>
          <w:sz w:val="22"/>
        </w:rPr>
        <w:t>15–20 shortline target</w:t>
      </w:r>
      <w:r>
        <w:rPr>
          <w:rFonts w:ascii="Calibri" w:hAnsi="Calibri"/>
          <w:color w:val="2D2D2D"/>
          <w:sz w:val="22"/>
        </w:rPr>
        <w:t xml:space="preserve"> and to demonstrate true go-to-market repeatability.</w:t>
      </w:r>
    </w:p>
    <w:p>
      <w:pPr>
        <w:pStyle w:val="ListBullet"/>
        <w:spacing w:after="40" w:before="20"/>
      </w:pPr>
      <w:r>
        <w:rPr>
          <w:rFonts w:ascii="Calibri" w:hAnsi="Calibri"/>
          <w:b/>
          <w:color w:val="2D2D2D"/>
          <w:sz w:val="22"/>
        </w:rPr>
        <w:t>Operational scalability risk:</w:t>
      </w:r>
      <w:r>
        <w:rPr>
          <w:rFonts w:ascii="Calibri" w:hAnsi="Calibri"/>
          <w:color w:val="2D2D2D"/>
          <w:sz w:val="22"/>
        </w:rPr>
        <w:t xml:space="preserve"> If </w:t>
      </w:r>
      <w:r>
        <w:rPr>
          <w:rFonts w:ascii="Calibri" w:hAnsi="Calibri"/>
          <w:b/>
          <w:color w:val="2D2D2D"/>
          <w:sz w:val="22"/>
        </w:rPr>
        <w:t>deployment remains artisanal and heavily engineering-dependent</w:t>
      </w:r>
      <w:r>
        <w:rPr>
          <w:rFonts w:ascii="Calibri" w:hAnsi="Calibri"/>
          <w:color w:val="2D2D2D"/>
          <w:sz w:val="22"/>
        </w:rPr>
        <w:t>, the organization may not be able to implement multiple shortlines in parallel.</w:t>
      </w:r>
    </w:p>
    <w:p>
      <w:pPr>
        <w:pStyle w:val="ListBullet"/>
        <w:spacing w:after="40" w:before="20"/>
      </w:pPr>
      <w:r>
        <w:rPr>
          <w:rFonts w:ascii="Calibri" w:hAnsi="Calibri"/>
          <w:b/>
          <w:color w:val="2D2D2D"/>
          <w:sz w:val="22"/>
        </w:rPr>
        <w:t>Price sensitivity:</w:t>
      </w:r>
      <w:r>
        <w:rPr>
          <w:rFonts w:ascii="Calibri" w:hAnsi="Calibri"/>
          <w:color w:val="2D2D2D"/>
          <w:sz w:val="22"/>
        </w:rPr>
        <w:t xml:space="preserve"> Independent shortlines may have </w:t>
      </w:r>
      <w:r>
        <w:rPr>
          <w:rFonts w:ascii="Calibri" w:hAnsi="Calibri"/>
          <w:b/>
          <w:color w:val="2D2D2D"/>
          <w:sz w:val="22"/>
        </w:rPr>
        <w:t>tighter budgets</w:t>
      </w:r>
      <w:r>
        <w:rPr>
          <w:rFonts w:ascii="Calibri" w:hAnsi="Calibri"/>
          <w:color w:val="2D2D2D"/>
          <w:sz w:val="22"/>
        </w:rPr>
        <w:t>, making value communication and ROI proof particularly critical.</w:t>
      </w:r>
    </w:p>
    <w:p>
      <w:pPr>
        <w:pStyle w:val="Heading2"/>
      </w:pPr>
      <w:r>
        <w:t>3.4 Priority #4 – Activate One Strategic Partnership (Upside, Not Dependency)</w:t>
      </w:r>
    </w:p>
    <w:p>
      <w:pPr>
        <w:spacing w:after="120" w:before="40" w:line="276" w:lineRule="auto"/>
        <w:jc w:val="both"/>
      </w:pPr>
      <w:r>
        <w:rPr>
          <w:rFonts w:ascii="Calibri" w:hAnsi="Calibri"/>
          <w:b/>
          <w:color w:val="2D2D2D"/>
          <w:sz w:val="22"/>
        </w:rPr>
        <w:t>Objective:</w:t>
      </w:r>
      <w:r>
        <w:rPr>
          <w:rFonts w:ascii="Calibri" w:hAnsi="Calibri"/>
          <w:color w:val="2D2D2D"/>
          <w:sz w:val="22"/>
        </w:rPr>
        <w:t xml:space="preserve"> Develop </w:t>
      </w:r>
      <w:r>
        <w:rPr>
          <w:rFonts w:ascii="Calibri" w:hAnsi="Calibri"/>
          <w:b/>
          <w:color w:val="2D2D2D"/>
          <w:sz w:val="22"/>
        </w:rPr>
        <w:t>one focused, high-leverage strategic partnership</w:t>
      </w:r>
      <w:r>
        <w:rPr>
          <w:rFonts w:ascii="Calibri" w:hAnsi="Calibri"/>
          <w:color w:val="2D2D2D"/>
          <w:sz w:val="22"/>
        </w:rPr>
        <w:t xml:space="preserve"> that can </w:t>
      </w:r>
      <w:r>
        <w:rPr>
          <w:rFonts w:ascii="Calibri" w:hAnsi="Calibri"/>
          <w:b/>
          <w:color w:val="2D2D2D"/>
          <w:sz w:val="22"/>
        </w:rPr>
        <w:t>amplify RailVision’s distribution or credibility</w:t>
      </w:r>
      <w:r>
        <w:rPr>
          <w:rFonts w:ascii="Calibri" w:hAnsi="Calibri"/>
          <w:color w:val="2D2D2D"/>
          <w:sz w:val="22"/>
        </w:rPr>
        <w:t xml:space="preserve">, but treat it explicitly as </w:t>
      </w:r>
      <w:r>
        <w:rPr>
          <w:rFonts w:ascii="Calibri" w:hAnsi="Calibri"/>
          <w:b/>
          <w:color w:val="2D2D2D"/>
          <w:sz w:val="22"/>
        </w:rPr>
        <w:t>upside</w:t>
      </w:r>
      <w:r>
        <w:rPr>
          <w:rFonts w:ascii="Calibri" w:hAnsi="Calibri"/>
          <w:color w:val="2D2D2D"/>
          <w:sz w:val="22"/>
        </w:rPr>
        <w:t>, not as a core dependency in the $2.5M ARR plan.</w:t>
      </w:r>
    </w:p>
    <w:p>
      <w:pPr>
        <w:pStyle w:val="Heading3"/>
      </w:pPr>
      <w:r>
        <w:t>Key Moves</w:t>
      </w:r>
    </w:p>
    <w:p>
      <w:pPr>
        <w:pStyle w:val="ListBullet"/>
        <w:spacing w:after="40" w:before="20"/>
      </w:pPr>
      <w:r>
        <w:rPr>
          <w:rFonts w:ascii="Calibri" w:hAnsi="Calibri"/>
          <w:b/>
          <w:color w:val="2D2D2D"/>
          <w:sz w:val="22"/>
        </w:rPr>
        <w:t>Select a single primary partner</w:t>
      </w:r>
      <w:r>
        <w:rPr>
          <w:rFonts w:ascii="Calibri" w:hAnsi="Calibri"/>
          <w:color w:val="2D2D2D"/>
          <w:sz w:val="22"/>
        </w:rPr>
        <w:t xml:space="preserve"> (e.g., a major equipment OEM, technology platform, or service provider) where there is clear alignment and where RailVision can be a differentiated value-add.</w:t>
      </w:r>
    </w:p>
    <w:p>
      <w:pPr>
        <w:pStyle w:val="ListBullet"/>
        <w:spacing w:after="40" w:before="20"/>
      </w:pPr>
      <w:r>
        <w:rPr>
          <w:rFonts w:ascii="Calibri" w:hAnsi="Calibri"/>
          <w:b/>
          <w:color w:val="2D2D2D"/>
          <w:sz w:val="22"/>
        </w:rPr>
        <w:t>Define narrow, concrete partnership objectives</w:t>
      </w:r>
      <w:r>
        <w:rPr>
          <w:rFonts w:ascii="Calibri" w:hAnsi="Calibri"/>
          <w:color w:val="2D2D2D"/>
          <w:sz w:val="22"/>
        </w:rPr>
        <w:t>, such as co-marketing into a defined segment, joint pursuit of 3–5 specific accounts, or integration that unlocks a specific new use case.</w:t>
      </w:r>
    </w:p>
    <w:p>
      <w:pPr>
        <w:pStyle w:val="ListBullet"/>
        <w:spacing w:after="40" w:before="20"/>
      </w:pPr>
      <w:r>
        <w:rPr>
          <w:rFonts w:ascii="Calibri" w:hAnsi="Calibri"/>
          <w:b/>
          <w:color w:val="2D2D2D"/>
          <w:sz w:val="22"/>
        </w:rPr>
        <w:t>Structure the partnership so that it does not consume disproportionate leadership time</w:t>
      </w:r>
      <w:r>
        <w:rPr>
          <w:rFonts w:ascii="Calibri" w:hAnsi="Calibri"/>
          <w:color w:val="2D2D2D"/>
          <w:sz w:val="22"/>
        </w:rPr>
        <w:t>, with clear KPIs (e.g., qualified opportunities created, pilots sourced) and review gates.</w:t>
      </w:r>
    </w:p>
    <w:p>
      <w:pPr>
        <w:pStyle w:val="ListBullet"/>
        <w:spacing w:after="40" w:before="20"/>
      </w:pPr>
      <w:r>
        <w:rPr>
          <w:rFonts w:ascii="Calibri" w:hAnsi="Calibri"/>
          <w:b/>
          <w:color w:val="2D2D2D"/>
          <w:sz w:val="22"/>
        </w:rPr>
        <w:t>Create a simple enablement package for the partner’s sales teams</w:t>
      </w:r>
      <w:r>
        <w:rPr>
          <w:rFonts w:ascii="Calibri" w:hAnsi="Calibri"/>
          <w:color w:val="2D2D2D"/>
          <w:sz w:val="22"/>
        </w:rPr>
        <w:t>, ensuring that they can credibly position RailVision without constant hand-holding.</w:t>
      </w:r>
    </w:p>
    <w:p>
      <w:pPr>
        <w:pStyle w:val="Heading3"/>
      </w:pPr>
      <w:r>
        <w:t>Dependencies / Risks</w:t>
      </w:r>
    </w:p>
    <w:p>
      <w:pPr>
        <w:pStyle w:val="ListBullet"/>
        <w:spacing w:after="40" w:before="20"/>
      </w:pPr>
      <w:r>
        <w:rPr>
          <w:rFonts w:ascii="Calibri" w:hAnsi="Calibri"/>
          <w:b/>
          <w:color w:val="2D2D2D"/>
          <w:sz w:val="22"/>
        </w:rPr>
        <w:t>Time sink risk:</w:t>
      </w:r>
      <w:r>
        <w:rPr>
          <w:rFonts w:ascii="Calibri" w:hAnsi="Calibri"/>
          <w:color w:val="2D2D2D"/>
          <w:sz w:val="22"/>
        </w:rPr>
        <w:t xml:space="preserve"> Partnerships can </w:t>
      </w:r>
      <w:r>
        <w:rPr>
          <w:rFonts w:ascii="Calibri" w:hAnsi="Calibri"/>
          <w:b/>
          <w:color w:val="2D2D2D"/>
          <w:sz w:val="22"/>
        </w:rPr>
        <w:t>consume significant leadership bandwidth</w:t>
      </w:r>
      <w:r>
        <w:rPr>
          <w:rFonts w:ascii="Calibri" w:hAnsi="Calibri"/>
          <w:color w:val="2D2D2D"/>
          <w:sz w:val="22"/>
        </w:rPr>
        <w:t xml:space="preserve"> without producing commensurate pipeline if not tightly scoped.</w:t>
      </w:r>
    </w:p>
    <w:p>
      <w:pPr>
        <w:pStyle w:val="ListBullet"/>
        <w:spacing w:after="40" w:before="20"/>
      </w:pPr>
      <w:r>
        <w:rPr>
          <w:rFonts w:ascii="Calibri" w:hAnsi="Calibri"/>
          <w:b/>
          <w:color w:val="2D2D2D"/>
          <w:sz w:val="22"/>
        </w:rPr>
        <w:t>Misaligned incentives:</w:t>
      </w:r>
      <w:r>
        <w:rPr>
          <w:rFonts w:ascii="Calibri" w:hAnsi="Calibri"/>
          <w:color w:val="2D2D2D"/>
          <w:sz w:val="22"/>
        </w:rPr>
        <w:t xml:space="preserve"> Partner organizations may prioritize their own core offerings, relegating RailVision to a peripheral position unless mutual value is clearly defined.</w:t>
      </w:r>
    </w:p>
    <w:p>
      <w:pPr>
        <w:pStyle w:val="ListBullet"/>
        <w:spacing w:after="40" w:before="20"/>
      </w:pPr>
      <w:r>
        <w:rPr>
          <w:rFonts w:ascii="Calibri" w:hAnsi="Calibri"/>
          <w:b/>
          <w:color w:val="2D2D2D"/>
          <w:sz w:val="22"/>
        </w:rPr>
        <w:t>Forecasting risk:</w:t>
      </w:r>
      <w:r>
        <w:rPr>
          <w:rFonts w:ascii="Calibri" w:hAnsi="Calibri"/>
          <w:color w:val="2D2D2D"/>
          <w:sz w:val="22"/>
        </w:rPr>
        <w:t xml:space="preserve"> Over-reliance on </w:t>
      </w:r>
      <w:r>
        <w:rPr>
          <w:rFonts w:ascii="Calibri" w:hAnsi="Calibri"/>
          <w:b/>
          <w:color w:val="2D2D2D"/>
          <w:sz w:val="22"/>
        </w:rPr>
        <w:t>partner-sourced pipeline</w:t>
      </w:r>
      <w:r>
        <w:rPr>
          <w:rFonts w:ascii="Calibri" w:hAnsi="Calibri"/>
          <w:color w:val="2D2D2D"/>
          <w:sz w:val="22"/>
        </w:rPr>
        <w:t xml:space="preserve"> in base-case revenue plans can lead to </w:t>
      </w:r>
      <w:r>
        <w:rPr>
          <w:rFonts w:ascii="Calibri" w:hAnsi="Calibri"/>
          <w:b/>
          <w:color w:val="2D2D2D"/>
          <w:sz w:val="22"/>
        </w:rPr>
        <w:t>missed targets</w:t>
      </w:r>
      <w:r>
        <w:rPr>
          <w:rFonts w:ascii="Calibri" w:hAnsi="Calibri"/>
          <w:color w:val="2D2D2D"/>
          <w:sz w:val="22"/>
        </w:rPr>
        <w:t xml:space="preserve"> if partner engagement is weaker than expected.</w:t>
      </w:r>
    </w:p>
    <w:p>
      <w:pPr>
        <w:spacing w:before="160" w:after="160"/>
        <w:jc w:val="center"/>
      </w:pPr>
      <w:r>
        <w:rPr>
          <w:color w:val="D0D5DD"/>
          <w:sz w:val="16"/>
        </w:rPr>
        <w:t>────────────────────────────────────────────────────────────</w:t>
      </w:r>
    </w:p>
    <w:p>
      <w:pPr>
        <w:pStyle w:val="Heading1"/>
      </w:pPr>
      <w:r>
        <w:t>Key Risks &amp; Asymmetric Failure Modes</w:t>
      </w:r>
    </w:p>
    <w:p>
      <w:pPr>
        <w:spacing w:after="120" w:before="40" w:line="276" w:lineRule="auto"/>
        <w:jc w:val="both"/>
      </w:pPr>
      <w:r>
        <w:rPr>
          <w:rFonts w:ascii="Calibri" w:hAnsi="Calibri"/>
          <w:color w:val="2D2D2D"/>
          <w:sz w:val="22"/>
        </w:rPr>
        <w:t xml:space="preserve">The next 12–18 months carry a set of </w:t>
      </w:r>
      <w:r>
        <w:rPr>
          <w:rFonts w:ascii="Calibri" w:hAnsi="Calibri"/>
          <w:b/>
          <w:color w:val="2D2D2D"/>
          <w:sz w:val="22"/>
        </w:rPr>
        <w:t>asymmetric risks</w:t>
      </w:r>
      <w:r>
        <w:rPr>
          <w:rFonts w:ascii="Calibri" w:hAnsi="Calibri"/>
          <w:color w:val="2D2D2D"/>
          <w:sz w:val="22"/>
        </w:rPr>
        <w:t xml:space="preserve">, where the </w:t>
      </w:r>
      <w:r>
        <w:rPr>
          <w:rFonts w:ascii="Calibri" w:hAnsi="Calibri"/>
          <w:b/>
          <w:color w:val="2D2D2D"/>
          <w:sz w:val="22"/>
        </w:rPr>
        <w:t>downside impact on the $2.5M ARR plan is far larger than the apparent probability might suggest</w:t>
      </w:r>
      <w:r>
        <w:rPr>
          <w:rFonts w:ascii="Calibri" w:hAnsi="Calibri"/>
          <w:color w:val="2D2D2D"/>
          <w:sz w:val="22"/>
        </w:rPr>
        <w:t>. Managing these risks proactively is as important as pursuing the upside.</w:t>
      </w:r>
    </w:p>
    <w:p>
      <w:pPr>
        <w:pStyle w:val="Heading2"/>
      </w:pPr>
      <w:r>
        <w:t>Dominant Risks (Narrative Summary)</w:t>
      </w:r>
    </w:p>
    <w:p>
      <w:pPr>
        <w:pStyle w:val="ListBullet"/>
        <w:spacing w:after="40" w:before="20"/>
      </w:pPr>
      <w:r>
        <w:rPr>
          <w:rFonts w:ascii="Calibri" w:hAnsi="Calibri"/>
          <w:b/>
          <w:color w:val="2D2D2D"/>
          <w:sz w:val="22"/>
        </w:rPr>
        <w:t>GWRR pilot fails to convert or slips beyond ~Month 8.</w:t>
      </w:r>
      <w:r>
        <w:rPr>
          <w:rFonts w:ascii="Calibri" w:hAnsi="Calibri"/>
          <w:color w:val="2D2D2D"/>
          <w:sz w:val="22"/>
        </w:rPr>
        <w:t xml:space="preserve"> If the GWRR pilot does not demonstrate compelling, quantified value within the first 6–9 months, or if internal dynamics at GWRR delay decision-making, the anchor of the $2.5M ARR plan is compromised.</w:t>
      </w:r>
    </w:p>
    <w:p>
      <w:pPr>
        <w:pStyle w:val="ListBullet"/>
        <w:spacing w:after="40" w:before="20"/>
      </w:pPr>
      <w:r>
        <w:rPr>
          <w:rFonts w:ascii="Calibri" w:hAnsi="Calibri"/>
          <w:b/>
          <w:color w:val="2D2D2D"/>
          <w:sz w:val="22"/>
        </w:rPr>
        <w:t>Deployment remains artisanal and cannot scale.</w:t>
      </w:r>
      <w:r>
        <w:rPr>
          <w:rFonts w:ascii="Calibri" w:hAnsi="Calibri"/>
          <w:color w:val="2D2D2D"/>
          <w:sz w:val="22"/>
        </w:rPr>
        <w:t xml:space="preserve"> If each deployment requires heavy bespoke engineering and hands-on attention from senior technical staff, RailVision will be operationally constrained and unable to roll out to multiple roads or shortlines in parallel.</w:t>
      </w:r>
    </w:p>
    <w:p>
      <w:pPr>
        <w:pStyle w:val="ListBullet"/>
        <w:spacing w:after="40" w:before="20"/>
      </w:pPr>
      <w:r>
        <w:rPr>
          <w:rFonts w:ascii="Calibri" w:hAnsi="Calibri"/>
          <w:b/>
          <w:color w:val="2D2D2D"/>
          <w:sz w:val="22"/>
        </w:rPr>
        <w:t>Sales never scales beyond the founder.</w:t>
      </w:r>
      <w:r>
        <w:rPr>
          <w:rFonts w:ascii="Calibri" w:hAnsi="Calibri"/>
          <w:color w:val="2D2D2D"/>
          <w:sz w:val="22"/>
        </w:rPr>
        <w:t xml:space="preserve"> If new logo acquisition, expansion, and renewals remain dependent on founder relationships and personal selling, the company will struggle to achieve the volume of deals implied by the 15–20 shortline target and broader ARR goals.</w:t>
      </w:r>
    </w:p>
    <w:p>
      <w:pPr>
        <w:pStyle w:val="ListBullet"/>
        <w:spacing w:after="40" w:before="20"/>
      </w:pPr>
      <w:r>
        <w:rPr>
          <w:rFonts w:ascii="Calibri" w:hAnsi="Calibri"/>
          <w:b/>
          <w:color w:val="2D2D2D"/>
          <w:sz w:val="22"/>
        </w:rPr>
        <w:t>Partnerships consume leadership time without producing pipeline.</w:t>
      </w:r>
      <w:r>
        <w:rPr>
          <w:rFonts w:ascii="Calibri" w:hAnsi="Calibri"/>
          <w:color w:val="2D2D2D"/>
          <w:sz w:val="22"/>
        </w:rPr>
        <w:t xml:space="preserve"> If partnership efforts remain broad, unfocused, or poorly governed, they risk diverting leadership attention and scarce resources away from direct revenue-generating activities.</w:t>
      </w:r>
    </w:p>
    <w:p>
      <w:pPr>
        <w:pStyle w:val="Heading2"/>
      </w:pPr>
      <w:r>
        <w:t>Risk Impact Table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Risk</w:t>
            </w:r>
          </w:p>
        </w:tc>
        <w:tc>
          <w:tcPr>
            <w:tcW w:type="dxa" w:w="3120"/>
            <w:shd w:fill="1B2A4A" w:val="clear"/>
          </w:tcPr>
          <w:p>
            <w:pPr>
              <w:spacing w:before="60" w:after="60"/>
              <w:jc w:val="left"/>
            </w:pPr>
            <w:r/>
            <w:r>
              <w:rPr>
                <w:rFonts w:ascii="Calibri" w:hAnsi="Calibri"/>
                <w:b/>
                <w:color w:val="FFFFFF"/>
                <w:sz w:val="20"/>
              </w:rPr>
              <w:t>Impact on $2.5M ARR Plan</w:t>
            </w:r>
          </w:p>
        </w:tc>
        <w:tc>
          <w:tcPr>
            <w:tcW w:type="dxa" w:w="3120"/>
            <w:shd w:fill="1B2A4A" w:val="clear"/>
          </w:tcPr>
          <w:p>
            <w:pPr>
              <w:spacing w:before="60" w:after="60"/>
              <w:jc w:val="left"/>
            </w:pPr>
            <w:r/>
            <w:r>
              <w:rPr>
                <w:rFonts w:ascii="Calibri" w:hAnsi="Calibri"/>
                <w:b/>
                <w:color w:val="FFFFFF"/>
                <w:sz w:val="20"/>
              </w:rPr>
              <w:t>Mitigation Approach</w:t>
            </w:r>
          </w:p>
        </w:tc>
      </w:tr>
      <w:tr>
        <w:tc>
          <w:tcPr>
            <w:tcW w:type="dxa" w:w="3120"/>
          </w:tcPr>
          <w:p>
            <w:pPr>
              <w:spacing w:before="60" w:after="60"/>
              <w:jc w:val="left"/>
            </w:pPr>
            <w:r/>
            <w:r>
              <w:rPr>
                <w:rFonts w:ascii="Calibri" w:hAnsi="Calibri"/>
                <w:color w:val="2D2D2D"/>
                <w:sz w:val="20"/>
              </w:rPr>
              <w:t>**GWRR pilot fails to convert or slips beyond ~Month 8**</w:t>
            </w:r>
          </w:p>
        </w:tc>
        <w:tc>
          <w:tcPr>
            <w:tcW w:type="dxa" w:w="3120"/>
          </w:tcPr>
          <w:p>
            <w:pPr>
              <w:spacing w:before="60" w:after="60"/>
              <w:jc w:val="left"/>
            </w:pPr>
            <w:r/>
            <w:r>
              <w:rPr>
                <w:rFonts w:ascii="Calibri" w:hAnsi="Calibri"/>
                <w:color w:val="2D2D2D"/>
                <w:sz w:val="20"/>
              </w:rPr>
              <w:t>**High impact:** Delays or reduces the single largest modeled ARR contributor ($700K – $1.1M), jeopardizing the anchor proof point and overall credibility.</w:t>
            </w:r>
          </w:p>
        </w:tc>
        <w:tc>
          <w:tcPr>
            <w:tcW w:type="dxa" w:w="3120"/>
          </w:tcPr>
          <w:p>
            <w:pPr>
              <w:spacing w:before="60" w:after="60"/>
              <w:jc w:val="left"/>
            </w:pPr>
            <w:r/>
            <w:r>
              <w:rPr>
                <w:rFonts w:ascii="Calibri" w:hAnsi="Calibri"/>
                <w:color w:val="2D2D2D"/>
                <w:sz w:val="20"/>
              </w:rPr>
              <w:t>**Tight success definition, frequent executive check-ins with GWRR, early identification of blockers, and a phased commercial structure that allows partial rollout and partial ARR recognition even if full-network adoption takes longer.**</w:t>
            </w:r>
          </w:p>
        </w:tc>
      </w:tr>
      <w:tr>
        <w:tc>
          <w:tcPr>
            <w:tcW w:type="dxa" w:w="3120"/>
            <w:shd w:fill="F0F4F8" w:val="clear"/>
          </w:tcPr>
          <w:p>
            <w:pPr>
              <w:spacing w:before="60" w:after="60"/>
              <w:jc w:val="left"/>
            </w:pPr>
            <w:r/>
            <w:r>
              <w:rPr>
                <w:rFonts w:ascii="Calibri" w:hAnsi="Calibri"/>
                <w:color w:val="2D2D2D"/>
                <w:sz w:val="20"/>
              </w:rPr>
              <w:t>**Deployment remains artisanal and cannot scale**</w:t>
            </w:r>
          </w:p>
        </w:tc>
        <w:tc>
          <w:tcPr>
            <w:tcW w:type="dxa" w:w="3120"/>
            <w:shd w:fill="F0F4F8" w:val="clear"/>
          </w:tcPr>
          <w:p>
            <w:pPr>
              <w:spacing w:before="60" w:after="60"/>
              <w:jc w:val="left"/>
            </w:pPr>
            <w:r/>
            <w:r>
              <w:rPr>
                <w:rFonts w:ascii="Calibri" w:hAnsi="Calibri"/>
                <w:color w:val="2D2D2D"/>
                <w:sz w:val="20"/>
              </w:rPr>
              <w:t>**High impact:** Limits the number of concurrent implementations, constraining ability to onboard 15–20 shortlines and multiple roads within holding companies.</w:t>
            </w:r>
          </w:p>
        </w:tc>
        <w:tc>
          <w:tcPr>
            <w:tcW w:type="dxa" w:w="3120"/>
            <w:shd w:fill="F0F4F8" w:val="clear"/>
          </w:tcPr>
          <w:p>
            <w:pPr>
              <w:spacing w:before="60" w:after="60"/>
              <w:jc w:val="left"/>
            </w:pPr>
            <w:r/>
            <w:r>
              <w:rPr>
                <w:rFonts w:ascii="Calibri" w:hAnsi="Calibri"/>
                <w:color w:val="2D2D2D"/>
                <w:sz w:val="20"/>
              </w:rPr>
              <w:t>**Standardize implementation processes, create reusable templates and tooling, invest in 1–2 implementation specialists, and prioritize product work that reduces per-customer deployment effort.**</w:t>
            </w:r>
          </w:p>
        </w:tc>
      </w:tr>
      <w:tr>
        <w:tc>
          <w:tcPr>
            <w:tcW w:type="dxa" w:w="3120"/>
          </w:tcPr>
          <w:p>
            <w:pPr>
              <w:spacing w:before="60" w:after="60"/>
              <w:jc w:val="left"/>
            </w:pPr>
            <w:r/>
            <w:r>
              <w:rPr>
                <w:rFonts w:ascii="Calibri" w:hAnsi="Calibri"/>
                <w:color w:val="2D2D2D"/>
                <w:sz w:val="20"/>
              </w:rPr>
              <w:t>**Sales never scales beyond the founder**</w:t>
            </w:r>
          </w:p>
        </w:tc>
        <w:tc>
          <w:tcPr>
            <w:tcW w:type="dxa" w:w="3120"/>
          </w:tcPr>
          <w:p>
            <w:pPr>
              <w:spacing w:before="60" w:after="60"/>
              <w:jc w:val="left"/>
            </w:pPr>
            <w:r/>
            <w:r>
              <w:rPr>
                <w:rFonts w:ascii="Calibri" w:hAnsi="Calibri"/>
                <w:color w:val="2D2D2D"/>
                <w:sz w:val="20"/>
              </w:rPr>
              <w:t>**High impact:** Caps the rate of new logo acquisition and expansion, making the portfolio overly dependent on a small set of founder-led relationships.</w:t>
            </w:r>
          </w:p>
        </w:tc>
        <w:tc>
          <w:tcPr>
            <w:tcW w:type="dxa" w:w="3120"/>
          </w:tcPr>
          <w:p>
            <w:pPr>
              <w:spacing w:before="60" w:after="60"/>
              <w:jc w:val="left"/>
            </w:pPr>
            <w:r/>
            <w:r>
              <w:rPr>
                <w:rFonts w:ascii="Calibri" w:hAnsi="Calibri"/>
                <w:color w:val="2D2D2D"/>
                <w:sz w:val="20"/>
              </w:rPr>
              <w:t>**Hire and onboard at least one non-founder seller or sales engineer, build a structured sales playbook, and gradually shift responsibility for parts of the funnel (prospecting, demos, follow-up) away from founders.**</w:t>
            </w:r>
          </w:p>
        </w:tc>
      </w:tr>
      <w:tr>
        <w:tc>
          <w:tcPr>
            <w:tcW w:type="dxa" w:w="3120"/>
            <w:shd w:fill="F0F4F8" w:val="clear"/>
          </w:tcPr>
          <w:p>
            <w:pPr>
              <w:spacing w:before="60" w:after="60"/>
              <w:jc w:val="left"/>
            </w:pPr>
            <w:r/>
            <w:r>
              <w:rPr>
                <w:rFonts w:ascii="Calibri" w:hAnsi="Calibri"/>
                <w:color w:val="2D2D2D"/>
                <w:sz w:val="20"/>
              </w:rPr>
              <w:t>**Partnerships consume leadership time without producing pipeline**</w:t>
            </w:r>
          </w:p>
        </w:tc>
        <w:tc>
          <w:tcPr>
            <w:tcW w:type="dxa" w:w="3120"/>
            <w:shd w:fill="F0F4F8" w:val="clear"/>
          </w:tcPr>
          <w:p>
            <w:pPr>
              <w:spacing w:before="60" w:after="60"/>
              <w:jc w:val="left"/>
            </w:pPr>
            <w:r/>
            <w:r>
              <w:rPr>
                <w:rFonts w:ascii="Calibri" w:hAnsi="Calibri"/>
                <w:color w:val="2D2D2D"/>
                <w:sz w:val="20"/>
              </w:rPr>
              <w:t>**Medium impact:** Does not typically kill the plan alone, but can materially reduce focus on core accounts and shortline motion.</w:t>
            </w:r>
          </w:p>
        </w:tc>
        <w:tc>
          <w:tcPr>
            <w:tcW w:type="dxa" w:w="3120"/>
            <w:shd w:fill="F0F4F8" w:val="clear"/>
          </w:tcPr>
          <w:p>
            <w:pPr>
              <w:spacing w:before="60" w:after="60"/>
              <w:jc w:val="left"/>
            </w:pPr>
            <w:r/>
            <w:r>
              <w:rPr>
                <w:rFonts w:ascii="Calibri" w:hAnsi="Calibri"/>
                <w:color w:val="2D2D2D"/>
                <w:sz w:val="20"/>
              </w:rPr>
              <w:t>**Limit to one primary strategic partner, define clear KPIs and review gates, and avoid including partnership-sourced revenue in the base case of the $2.5M ARR plan. Treat all partnership upside as additive.**</w:t>
            </w:r>
          </w:p>
        </w:tc>
      </w:tr>
    </w:tbl>
    <w:p/>
    <w:p>
      <w:pPr>
        <w:spacing w:before="120" w:after="120"/>
        <w:ind w:left="720"/>
        <w:pBdr>
          <w:left w:val="single" w:sz="12" w:space="8" w:color="3A86C8"/>
        </w:pBdr>
      </w:pPr>
      <w:r>
        <w:rPr>
          <w:rFonts w:ascii="Calibri" w:hAnsi="Calibri"/>
          <w:i/>
          <w:color w:val="4A5A6A"/>
          <w:sz w:val="22"/>
        </w:rPr>
        <w:t>The **common thread** across these risks is that they **compound**: a weak GWRR outcome combined with unscaled deployment and founder-only sales would almost certainly result in **missing the $2.5M ARR target**.</w:t>
      </w:r>
    </w:p>
    <w:p>
      <w:pPr>
        <w:spacing w:after="120" w:before="40" w:line="276" w:lineRule="auto"/>
        <w:jc w:val="both"/>
      </w:pPr>
      <w:r>
        <w:rPr>
          <w:rFonts w:ascii="Calibri" w:hAnsi="Calibri"/>
          <w:color w:val="2D2D2D"/>
          <w:sz w:val="22"/>
        </w:rPr>
        <w:t xml:space="preserve">Proactively addressing these risk areas—through </w:t>
      </w:r>
      <w:r>
        <w:rPr>
          <w:rFonts w:ascii="Calibri" w:hAnsi="Calibri"/>
          <w:b/>
          <w:color w:val="2D2D2D"/>
          <w:sz w:val="22"/>
        </w:rPr>
        <w:t>focused execution, clear ownership, and disciplined governance—</w:t>
      </w:r>
      <w:r>
        <w:rPr>
          <w:rFonts w:ascii="Calibri" w:hAnsi="Calibri"/>
          <w:color w:val="2D2D2D"/>
          <w:sz w:val="22"/>
        </w:rPr>
        <w:t>is essential to preserving the upside embedded in the 12–18 month strategy.</w:t>
      </w:r>
    </w:p>
    <w:p>
      <w:pPr>
        <w:spacing w:before="160" w:after="160"/>
        <w:jc w:val="center"/>
      </w:pPr>
      <w:r>
        <w:rPr>
          <w:color w:val="D0D5DD"/>
          <w:sz w:val="16"/>
        </w:rPr>
        <w:t>────────────────────────────────────────────────────────────</w:t>
      </w:r>
    </w:p>
    <w:p>
      <w:pPr>
        <w:pStyle w:val="Heading1"/>
      </w:pPr>
      <w:r>
        <w:t>Conclusion – One-Line Summary for Leadership</w:t>
      </w:r>
    </w:p>
    <w:p>
      <w:pPr>
        <w:pStyle w:val="Heading2"/>
      </w:pPr>
      <w:r>
        <w:t>One-Line Summary</w:t>
      </w:r>
    </w:p>
    <w:p>
      <w:pPr>
        <w:spacing w:after="120" w:before="40" w:line="276" w:lineRule="auto"/>
        <w:jc w:val="both"/>
      </w:pPr>
      <w:r>
        <w:rPr>
          <w:rFonts w:ascii="Calibri" w:hAnsi="Calibri"/>
          <w:b/>
          <w:color w:val="2D2D2D"/>
          <w:sz w:val="22"/>
        </w:rPr>
        <w:t>For the next 12–18 months, the strategy is: make GWRR a clear, quantified success and convert it fast; open a second holding company using that proof; build a founder-independent shortline motion for diversification; and treat partnerships as upside leverage, not a crutch—while being brutally honest that missing on GWRR likely means missing on $2.5M ARR.</w:t>
      </w:r>
    </w:p>
    <w:p>
      <w:pPr>
        <w:pStyle w:val="Heading2"/>
      </w:pPr>
      <w:r>
        <w:t>Supporting Context</w:t>
      </w:r>
    </w:p>
    <w:p>
      <w:pPr>
        <w:spacing w:after="120" w:before="40" w:line="276" w:lineRule="auto"/>
        <w:jc w:val="both"/>
      </w:pPr>
      <w:r>
        <w:rPr>
          <w:rFonts w:ascii="Calibri" w:hAnsi="Calibri"/>
          <w:color w:val="2D2D2D"/>
          <w:sz w:val="22"/>
        </w:rPr>
        <w:t xml:space="preserve">This one-line summary encapsulates the </w:t>
      </w:r>
      <w:r>
        <w:rPr>
          <w:rFonts w:ascii="Calibri" w:hAnsi="Calibri"/>
          <w:b/>
          <w:color w:val="2D2D2D"/>
          <w:sz w:val="22"/>
        </w:rPr>
        <w:t>core trade-off</w:t>
      </w:r>
      <w:r>
        <w:rPr>
          <w:rFonts w:ascii="Calibri" w:hAnsi="Calibri"/>
          <w:color w:val="2D2D2D"/>
          <w:sz w:val="22"/>
        </w:rPr>
        <w:t xml:space="preserve"> facing RailVision’s leadership: focusing intensely on </w:t>
      </w:r>
      <w:r>
        <w:rPr>
          <w:rFonts w:ascii="Calibri" w:hAnsi="Calibri"/>
          <w:b/>
          <w:color w:val="2D2D2D"/>
          <w:sz w:val="22"/>
        </w:rPr>
        <w:t>making one or two anchor customers successful</w:t>
      </w:r>
      <w:r>
        <w:rPr>
          <w:rFonts w:ascii="Calibri" w:hAnsi="Calibri"/>
          <w:color w:val="2D2D2D"/>
          <w:sz w:val="22"/>
        </w:rPr>
        <w:t xml:space="preserve">, while simultaneously building enough </w:t>
      </w:r>
      <w:r>
        <w:rPr>
          <w:rFonts w:ascii="Calibri" w:hAnsi="Calibri"/>
          <w:b/>
          <w:color w:val="2D2D2D"/>
          <w:sz w:val="22"/>
        </w:rPr>
        <w:t>breadth and repeatability</w:t>
      </w:r>
      <w:r>
        <w:rPr>
          <w:rFonts w:ascii="Calibri" w:hAnsi="Calibri"/>
          <w:color w:val="2D2D2D"/>
          <w:sz w:val="22"/>
        </w:rPr>
        <w:t xml:space="preserve"> to ensure the company is not singularly exposed to any one account. It emphasizes that </w:t>
      </w:r>
      <w:r>
        <w:rPr>
          <w:rFonts w:ascii="Calibri" w:hAnsi="Calibri"/>
          <w:b/>
          <w:color w:val="2D2D2D"/>
          <w:sz w:val="22"/>
        </w:rPr>
        <w:t>execution discipline and honest assessment of pilot performance</w:t>
      </w:r>
      <w:r>
        <w:rPr>
          <w:rFonts w:ascii="Calibri" w:hAnsi="Calibri"/>
          <w:color w:val="2D2D2D"/>
          <w:sz w:val="22"/>
        </w:rPr>
        <w:t xml:space="preserve"> are more important than adding a large number of speculative opportunities to the pipeline. The leadership team must balance </w:t>
      </w:r>
      <w:r>
        <w:rPr>
          <w:rFonts w:ascii="Calibri" w:hAnsi="Calibri"/>
          <w:b/>
          <w:color w:val="2D2D2D"/>
          <w:sz w:val="22"/>
        </w:rPr>
        <w:t>ambition (pursuing the full $2.5M+ ARR target)</w:t>
      </w:r>
      <w:r>
        <w:rPr>
          <w:rFonts w:ascii="Calibri" w:hAnsi="Calibri"/>
          <w:color w:val="2D2D2D"/>
          <w:sz w:val="22"/>
        </w:rPr>
        <w:t xml:space="preserve"> with </w:t>
      </w:r>
      <w:r>
        <w:rPr>
          <w:rFonts w:ascii="Calibri" w:hAnsi="Calibri"/>
          <w:b/>
          <w:color w:val="2D2D2D"/>
          <w:sz w:val="22"/>
        </w:rPr>
        <w:t>prudence (not baking unproven assumptions into financial commitments)</w:t>
      </w:r>
      <w:r>
        <w:rPr>
          <w:rFonts w:ascii="Calibri" w:hAnsi="Calibri"/>
          <w:color w:val="2D2D2D"/>
          <w:sz w:val="22"/>
        </w:rPr>
        <w:t>.</w:t>
      </w:r>
    </w:p>
    <w:p>
      <w:pPr>
        <w:pStyle w:val="Heading2"/>
      </w:pPr>
      <w:r>
        <w:t>Immediate Leadership Actions (Next 30–90 Days)</w:t>
      </w:r>
    </w:p>
    <w:p>
      <w:pPr>
        <w:pStyle w:val="ListNumber"/>
        <w:spacing w:after="40" w:before="20"/>
      </w:pPr>
      <w:r>
        <w:rPr>
          <w:rFonts w:ascii="Calibri" w:hAnsi="Calibri"/>
          <w:b/>
          <w:color w:val="2D2D2D"/>
          <w:sz w:val="22"/>
        </w:rPr>
        <w:t>Lock the GWRR success plan</w:t>
      </w:r>
      <w:r>
        <w:rPr>
          <w:rFonts w:ascii="Calibri" w:hAnsi="Calibri"/>
          <w:color w:val="2D2D2D"/>
          <w:sz w:val="22"/>
        </w:rPr>
        <w:t>, including specific KPIs, governance cadence, and resource allocation, so that there is no ambiguity on what is required to declare the pilot a success.</w:t>
      </w:r>
    </w:p>
    <w:p>
      <w:pPr>
        <w:pStyle w:val="ListNumber"/>
        <w:spacing w:after="40" w:before="20"/>
      </w:pPr>
      <w:r>
        <w:rPr>
          <w:rFonts w:ascii="Calibri" w:hAnsi="Calibri"/>
          <w:b/>
          <w:color w:val="2D2D2D"/>
          <w:sz w:val="22"/>
        </w:rPr>
        <w:t>Clarify the OmniTrax (or second holding company) roadmap</w:t>
      </w:r>
      <w:r>
        <w:rPr>
          <w:rFonts w:ascii="Calibri" w:hAnsi="Calibri"/>
          <w:color w:val="2D2D2D"/>
          <w:sz w:val="22"/>
        </w:rPr>
        <w:t>, identifying the critical path to a post-pilot commercial decision and ensuring that early deployments are set up as a second credible proof point.</w:t>
      </w:r>
    </w:p>
    <w:p>
      <w:pPr>
        <w:pStyle w:val="ListNumber"/>
        <w:spacing w:after="40" w:before="20"/>
      </w:pPr>
      <w:r>
        <w:rPr>
          <w:rFonts w:ascii="Calibri" w:hAnsi="Calibri"/>
          <w:b/>
          <w:color w:val="2D2D2D"/>
          <w:sz w:val="22"/>
        </w:rPr>
        <w:t>Approve and begin executing on the independent shortline motion</w:t>
      </w:r>
      <w:r>
        <w:rPr>
          <w:rFonts w:ascii="Calibri" w:hAnsi="Calibri"/>
          <w:color w:val="2D2D2D"/>
          <w:sz w:val="22"/>
        </w:rPr>
        <w:t>, including at least one non-founder commercial hire and a clear shortline playbook.</w:t>
      </w:r>
    </w:p>
    <w:p>
      <w:pPr>
        <w:pStyle w:val="ListNumber"/>
        <w:spacing w:after="40" w:before="20"/>
      </w:pPr>
      <w:r>
        <w:rPr>
          <w:rFonts w:ascii="Calibri" w:hAnsi="Calibri"/>
          <w:b/>
          <w:color w:val="2D2D2D"/>
          <w:sz w:val="22"/>
        </w:rPr>
        <w:t>Select and narrowly define one strategic partnership</w:t>
      </w:r>
      <w:r>
        <w:rPr>
          <w:rFonts w:ascii="Calibri" w:hAnsi="Calibri"/>
          <w:color w:val="2D2D2D"/>
          <w:sz w:val="22"/>
        </w:rPr>
        <w:t>, including explicit KPIs and a clear statement that partnership-sourced revenue is treated as upside, not as part of the base plan.</w:t>
      </w:r>
    </w:p>
    <w:p>
      <w:pPr>
        <w:pStyle w:val="Heading2"/>
      </w:pPr>
      <w:r>
        <w:t>Decision Points on the Horizon</w:t>
      </w:r>
    </w:p>
    <w:p>
      <w:pPr>
        <w:pStyle w:val="ListBullet"/>
        <w:spacing w:after="40" w:before="20"/>
      </w:pPr>
      <w:r>
        <w:rPr>
          <w:rFonts w:ascii="Calibri" w:hAnsi="Calibri"/>
          <w:b/>
          <w:color w:val="2D2D2D"/>
          <w:sz w:val="22"/>
        </w:rPr>
        <w:t>GWRR Go/No-Go for Rollout:</w:t>
      </w:r>
      <w:r>
        <w:rPr>
          <w:rFonts w:ascii="Calibri" w:hAnsi="Calibri"/>
          <w:color w:val="2D2D2D"/>
          <w:sz w:val="22"/>
        </w:rPr>
        <w:t xml:space="preserve"> A decision point likely within the next </w:t>
      </w:r>
      <w:r>
        <w:rPr>
          <w:rFonts w:ascii="Calibri" w:hAnsi="Calibri"/>
          <w:b/>
          <w:color w:val="2D2D2D"/>
          <w:sz w:val="22"/>
        </w:rPr>
        <w:t>6–9 months</w:t>
      </w:r>
      <w:r>
        <w:rPr>
          <w:rFonts w:ascii="Calibri" w:hAnsi="Calibri"/>
          <w:color w:val="2D2D2D"/>
          <w:sz w:val="22"/>
        </w:rPr>
        <w:t xml:space="preserve"> that will heavily influence whether the $2.5M+ ARR plan is achievable without major course correction.</w:t>
      </w:r>
    </w:p>
    <w:p>
      <w:pPr>
        <w:pStyle w:val="ListBullet"/>
        <w:spacing w:after="40" w:before="20"/>
      </w:pPr>
      <w:r>
        <w:rPr>
          <w:rFonts w:ascii="Calibri" w:hAnsi="Calibri"/>
          <w:b/>
          <w:color w:val="2D2D2D"/>
          <w:sz w:val="22"/>
        </w:rPr>
        <w:t>Second Holding Company Commitment:</w:t>
      </w:r>
      <w:r>
        <w:rPr>
          <w:rFonts w:ascii="Calibri" w:hAnsi="Calibri"/>
          <w:color w:val="2D2D2D"/>
          <w:sz w:val="22"/>
        </w:rPr>
        <w:t xml:space="preserve"> Timing and scope of a second holding company’s decision to move beyond pilots, affecting revenue diversification and proof of repeatability.</w:t>
      </w:r>
    </w:p>
    <w:p>
      <w:pPr>
        <w:pStyle w:val="ListBullet"/>
        <w:spacing w:after="40" w:before="20"/>
      </w:pPr>
      <w:r>
        <w:rPr>
          <w:rFonts w:ascii="Calibri" w:hAnsi="Calibri"/>
          <w:b/>
          <w:color w:val="2D2D2D"/>
          <w:sz w:val="22"/>
        </w:rPr>
        <w:t>Go-to-Market Scaling Investments:</w:t>
      </w:r>
      <w:r>
        <w:rPr>
          <w:rFonts w:ascii="Calibri" w:hAnsi="Calibri"/>
          <w:color w:val="2D2D2D"/>
          <w:sz w:val="22"/>
        </w:rPr>
        <w:t xml:space="preserve"> Board-level decisions on </w:t>
      </w:r>
      <w:r>
        <w:rPr>
          <w:rFonts w:ascii="Calibri" w:hAnsi="Calibri"/>
          <w:b/>
          <w:color w:val="2D2D2D"/>
          <w:sz w:val="22"/>
        </w:rPr>
        <w:t>headcount, marketing spend, and enabling tools</w:t>
      </w:r>
      <w:r>
        <w:rPr>
          <w:rFonts w:ascii="Calibri" w:hAnsi="Calibri"/>
          <w:color w:val="2D2D2D"/>
          <w:sz w:val="22"/>
        </w:rPr>
        <w:t xml:space="preserve"> that will determine whether the shortline motion can scale beyond founder-only sales.</w:t>
      </w:r>
    </w:p>
    <w:p>
      <w:pPr>
        <w:pStyle w:val="ListBullet"/>
        <w:spacing w:after="40" w:before="20"/>
      </w:pPr>
      <w:r>
        <w:rPr>
          <w:rFonts w:ascii="Calibri" w:hAnsi="Calibri"/>
          <w:b/>
          <w:color w:val="2D2D2D"/>
          <w:sz w:val="22"/>
        </w:rPr>
        <w:t>Fundraising and Runway:</w:t>
      </w:r>
      <w:r>
        <w:rPr>
          <w:rFonts w:ascii="Calibri" w:hAnsi="Calibri"/>
          <w:color w:val="2D2D2D"/>
          <w:sz w:val="22"/>
        </w:rPr>
        <w:t xml:space="preserve"> Depending on burn and revenue realization versus plan, leadership will need to decide </w:t>
      </w:r>
      <w:r>
        <w:rPr>
          <w:rFonts w:ascii="Calibri" w:hAnsi="Calibri"/>
          <w:b/>
          <w:color w:val="2D2D2D"/>
          <w:sz w:val="22"/>
        </w:rPr>
        <w:t>when and how to raise additional capital</w:t>
      </w:r>
      <w:r>
        <w:rPr>
          <w:rFonts w:ascii="Calibri" w:hAnsi="Calibri"/>
          <w:color w:val="2D2D2D"/>
          <w:sz w:val="22"/>
        </w:rPr>
        <w:t>, and whether to adjust the growth vs. runway balance based on real-time performance.</w:t>
      </w:r>
    </w:p>
    <w:p>
      <w:pPr>
        <w:spacing w:before="160" w:after="160"/>
        <w:jc w:val="center"/>
      </w:pPr>
      <w:r>
        <w:rPr>
          <w:color w:val="D0D5DD"/>
          <w:sz w:val="16"/>
        </w:rPr>
        <w:t>────────────────────────────────────────────────────────────</w:t>
      </w:r>
    </w:p>
    <w:p>
      <w:pPr>
        <w:pStyle w:val="Heading1"/>
      </w:pPr>
      <w:r>
        <w:t>Appendix – Assumptions, Definitions, and Document Control</w:t>
      </w:r>
    </w:p>
    <w:p>
      <w:pPr>
        <w:spacing w:after="120" w:before="40" w:line="276" w:lineRule="auto"/>
        <w:jc w:val="both"/>
      </w:pPr>
      <w:r>
        <w:rPr>
          <w:rFonts w:ascii="Calibri" w:hAnsi="Calibri"/>
          <w:color w:val="2D2D2D"/>
          <w:sz w:val="22"/>
        </w:rPr>
        <w:t xml:space="preserve">This appendix provides </w:t>
      </w:r>
      <w:r>
        <w:rPr>
          <w:rFonts w:ascii="Calibri" w:hAnsi="Calibri"/>
          <w:b/>
          <w:color w:val="2D2D2D"/>
          <w:sz w:val="22"/>
        </w:rPr>
        <w:t>supporting definitions, assumptions, and control information</w:t>
      </w:r>
      <w:r>
        <w:rPr>
          <w:rFonts w:ascii="Calibri" w:hAnsi="Calibri"/>
          <w:color w:val="2D2D2D"/>
          <w:sz w:val="22"/>
        </w:rPr>
        <w:t xml:space="preserve"> to ensure that all readers interpret the metrics and terminology in this document consistently.</w:t>
      </w:r>
    </w:p>
    <w:p>
      <w:pPr>
        <w:pStyle w:val="Heading2"/>
      </w:pPr>
      <w:r>
        <w:t>Definitions</w:t>
      </w:r>
    </w:p>
    <w:p>
      <w:pPr>
        <w:pStyle w:val="ListBullet"/>
        <w:spacing w:after="40" w:before="20"/>
      </w:pPr>
      <w:r>
        <w:rPr>
          <w:rFonts w:ascii="Calibri" w:hAnsi="Calibri"/>
          <w:b/>
          <w:color w:val="2D2D2D"/>
          <w:sz w:val="22"/>
        </w:rPr>
        <w:t>ARR (Annual Recurring Revenue):</w:t>
      </w:r>
      <w:r>
        <w:rPr>
          <w:rFonts w:ascii="Calibri" w:hAnsi="Calibri"/>
          <w:color w:val="2D2D2D"/>
          <w:sz w:val="22"/>
        </w:rPr>
        <w:t xml:space="preserve"> For the purposes of this document, ARR refers to </w:t>
      </w:r>
      <w:r>
        <w:rPr>
          <w:rFonts w:ascii="Calibri" w:hAnsi="Calibri"/>
          <w:b/>
          <w:color w:val="2D2D2D"/>
          <w:sz w:val="22"/>
        </w:rPr>
        <w:t>contracted, recurring subscription or usage-based revenue</w:t>
      </w:r>
      <w:r>
        <w:rPr>
          <w:rFonts w:ascii="Calibri" w:hAnsi="Calibri"/>
          <w:color w:val="2D2D2D"/>
          <w:sz w:val="22"/>
        </w:rPr>
        <w:t xml:space="preserve"> that is expected to repeat on an annual basis, excluding one-time implementation or pilot fees. Because RailVision is in an early-commercial stage, many figures are </w:t>
      </w:r>
      <w:r>
        <w:rPr>
          <w:rFonts w:ascii="Calibri" w:hAnsi="Calibri"/>
          <w:b/>
          <w:color w:val="2D2D2D"/>
          <w:sz w:val="22"/>
        </w:rPr>
        <w:t>modeled ARR equivalents</w:t>
      </w:r>
      <w:r>
        <w:rPr>
          <w:rFonts w:ascii="Calibri" w:hAnsi="Calibri"/>
          <w:color w:val="2D2D2D"/>
          <w:sz w:val="22"/>
        </w:rPr>
        <w:t xml:space="preserve"> based on pilot scope and anticipated rollout, rather than fully contracted ARR.</w:t>
      </w:r>
    </w:p>
    <w:p>
      <w:pPr>
        <w:pStyle w:val="ListBullet"/>
        <w:spacing w:after="40" w:before="20"/>
      </w:pPr>
      <w:r>
        <w:rPr>
          <w:rFonts w:ascii="Calibri" w:hAnsi="Calibri"/>
          <w:b/>
          <w:color w:val="2D2D2D"/>
          <w:sz w:val="22"/>
        </w:rPr>
        <w:t>Pilot:</w:t>
      </w:r>
      <w:r>
        <w:rPr>
          <w:rFonts w:ascii="Calibri" w:hAnsi="Calibri"/>
          <w:color w:val="2D2D2D"/>
          <w:sz w:val="22"/>
        </w:rPr>
        <w:t xml:space="preserve"> A </w:t>
      </w:r>
      <w:r>
        <w:rPr>
          <w:rFonts w:ascii="Calibri" w:hAnsi="Calibri"/>
          <w:b/>
          <w:color w:val="2D2D2D"/>
          <w:sz w:val="22"/>
        </w:rPr>
        <w:t>time-bound, scope-limited deployment</w:t>
      </w:r>
      <w:r>
        <w:rPr>
          <w:rFonts w:ascii="Calibri" w:hAnsi="Calibri"/>
          <w:color w:val="2D2D2D"/>
          <w:sz w:val="22"/>
        </w:rPr>
        <w:t xml:space="preserve"> intended to prove value and feasibility, typically covering a subset of a customer’s network (e.g., specific corridors or roads) rather than the full fleet.</w:t>
      </w:r>
    </w:p>
    <w:p>
      <w:pPr>
        <w:pStyle w:val="ListBullet"/>
        <w:spacing w:after="40" w:before="20"/>
      </w:pPr>
      <w:r>
        <w:rPr>
          <w:rFonts w:ascii="Calibri" w:hAnsi="Calibri"/>
          <w:b/>
          <w:color w:val="2D2D2D"/>
          <w:sz w:val="22"/>
        </w:rPr>
        <w:t>Rollout:</w:t>
      </w:r>
      <w:r>
        <w:rPr>
          <w:rFonts w:ascii="Calibri" w:hAnsi="Calibri"/>
          <w:color w:val="2D2D2D"/>
          <w:sz w:val="22"/>
        </w:rPr>
        <w:t xml:space="preserve"> The </w:t>
      </w:r>
      <w:r>
        <w:rPr>
          <w:rFonts w:ascii="Calibri" w:hAnsi="Calibri"/>
          <w:b/>
          <w:color w:val="2D2D2D"/>
          <w:sz w:val="22"/>
        </w:rPr>
        <w:t>expansion of a solution from pilot scope to a broader portion or all of a customer’s network</w:t>
      </w:r>
      <w:r>
        <w:rPr>
          <w:rFonts w:ascii="Calibri" w:hAnsi="Calibri"/>
          <w:color w:val="2D2D2D"/>
          <w:sz w:val="22"/>
        </w:rPr>
        <w:t>, usually implying multi-year, recurring revenue and deeper integration into operations.</w:t>
      </w:r>
    </w:p>
    <w:p>
      <w:pPr>
        <w:pStyle w:val="ListBullet"/>
        <w:spacing w:after="40" w:before="20"/>
      </w:pPr>
      <w:r>
        <w:rPr>
          <w:rFonts w:ascii="Calibri" w:hAnsi="Calibri"/>
          <w:b/>
          <w:color w:val="2D2D2D"/>
          <w:sz w:val="22"/>
        </w:rPr>
        <w:t>Holding Company:</w:t>
      </w:r>
      <w:r>
        <w:rPr>
          <w:rFonts w:ascii="Calibri" w:hAnsi="Calibri"/>
          <w:color w:val="2D2D2D"/>
          <w:sz w:val="22"/>
        </w:rPr>
        <w:t xml:space="preserve"> A </w:t>
      </w:r>
      <w:r>
        <w:rPr>
          <w:rFonts w:ascii="Calibri" w:hAnsi="Calibri"/>
          <w:b/>
          <w:color w:val="2D2D2D"/>
          <w:sz w:val="22"/>
        </w:rPr>
        <w:t>railroad group that owns and operates multiple shortline or regional railroads</w:t>
      </w:r>
      <w:r>
        <w:rPr>
          <w:rFonts w:ascii="Calibri" w:hAnsi="Calibri"/>
          <w:color w:val="2D2D2D"/>
          <w:sz w:val="22"/>
        </w:rPr>
        <w:t>, such as GWRR or OmniTrax, offering the potential for multi-road rollouts from a single corporate relationship.</w:t>
      </w:r>
    </w:p>
    <w:p>
      <w:pPr>
        <w:pStyle w:val="ListBullet"/>
        <w:spacing w:after="40" w:before="20"/>
      </w:pPr>
      <w:r>
        <w:rPr>
          <w:rFonts w:ascii="Calibri" w:hAnsi="Calibri"/>
          <w:b/>
          <w:color w:val="2D2D2D"/>
          <w:sz w:val="22"/>
        </w:rPr>
        <w:t>Independent Shortline:</w:t>
      </w:r>
      <w:r>
        <w:rPr>
          <w:rFonts w:ascii="Calibri" w:hAnsi="Calibri"/>
          <w:color w:val="2D2D2D"/>
          <w:sz w:val="22"/>
        </w:rPr>
        <w:t xml:space="preserve"> A </w:t>
      </w:r>
      <w:r>
        <w:rPr>
          <w:rFonts w:ascii="Calibri" w:hAnsi="Calibri"/>
          <w:b/>
          <w:color w:val="2D2D2D"/>
          <w:sz w:val="22"/>
        </w:rPr>
        <w:t>standalone shortline railroad operator</w:t>
      </w:r>
      <w:r>
        <w:rPr>
          <w:rFonts w:ascii="Calibri" w:hAnsi="Calibri"/>
          <w:color w:val="2D2D2D"/>
          <w:sz w:val="22"/>
        </w:rPr>
        <w:t xml:space="preserve"> not part of a larger holding company portfolio, typically smaller in scale but important for diversification and proof of repeatability.</w:t>
      </w:r>
    </w:p>
    <w:p>
      <w:pPr>
        <w:pStyle w:val="Heading2"/>
      </w:pPr>
      <w:r>
        <w:t>Key Assumptions</w:t>
      </w:r>
    </w:p>
    <w:p>
      <w:pPr>
        <w:pStyle w:val="ListNumber"/>
        <w:spacing w:after="40" w:before="20"/>
      </w:pPr>
      <w:r>
        <w:rPr>
          <w:rFonts w:ascii="Calibri" w:hAnsi="Calibri"/>
          <w:b/>
          <w:color w:val="2D2D2D"/>
          <w:sz w:val="22"/>
        </w:rPr>
        <w:t>Pilot-to-Rollout Conversion:</w:t>
      </w:r>
      <w:r>
        <w:rPr>
          <w:rFonts w:ascii="Calibri" w:hAnsi="Calibri"/>
          <w:color w:val="2D2D2D"/>
          <w:sz w:val="22"/>
        </w:rPr>
        <w:t xml:space="preserve"> Management targets are implicitly assuming </w:t>
      </w:r>
      <w:r>
        <w:rPr>
          <w:rFonts w:ascii="Calibri" w:hAnsi="Calibri"/>
          <w:b/>
          <w:color w:val="2D2D2D"/>
          <w:sz w:val="22"/>
        </w:rPr>
        <w:t>successful conversion of core pilots (notably GWRR and OmniTrax) to meaningful rollouts</w:t>
      </w:r>
      <w:r>
        <w:rPr>
          <w:rFonts w:ascii="Calibri" w:hAnsi="Calibri"/>
          <w:color w:val="2D2D2D"/>
          <w:sz w:val="22"/>
        </w:rPr>
        <w:t xml:space="preserve"> within the next 6–12 months, although actual conversion rates are not yet empirically established.</w:t>
      </w:r>
    </w:p>
    <w:p>
      <w:pPr>
        <w:pStyle w:val="ListNumber"/>
        <w:spacing w:after="40" w:before="20"/>
      </w:pPr>
      <w:r>
        <w:rPr>
          <w:rFonts w:ascii="Calibri" w:hAnsi="Calibri"/>
          <w:b/>
          <w:color w:val="2D2D2D"/>
          <w:sz w:val="22"/>
        </w:rPr>
        <w:t>Average Deal Size:</w:t>
      </w:r>
      <w:r>
        <w:rPr>
          <w:rFonts w:ascii="Calibri" w:hAnsi="Calibri"/>
          <w:color w:val="2D2D2D"/>
          <w:sz w:val="22"/>
        </w:rPr>
        <w:t xml:space="preserve"> The </w:t>
      </w:r>
      <w:r>
        <w:rPr>
          <w:rFonts w:ascii="Calibri" w:hAnsi="Calibri"/>
          <w:b/>
          <w:color w:val="2D2D2D"/>
          <w:sz w:val="22"/>
        </w:rPr>
        <w:t>ARR ranges for independent shortlines (e.g., $600K – $900K in aggregate)</w:t>
      </w:r>
      <w:r>
        <w:rPr>
          <w:rFonts w:ascii="Calibri" w:hAnsi="Calibri"/>
          <w:color w:val="2D2D2D"/>
          <w:sz w:val="22"/>
        </w:rPr>
        <w:t xml:space="preserve"> are based on </w:t>
      </w:r>
      <w:r>
        <w:rPr>
          <w:rFonts w:ascii="Calibri" w:hAnsi="Calibri"/>
          <w:b/>
          <w:color w:val="2D2D2D"/>
          <w:sz w:val="22"/>
        </w:rPr>
        <w:t>assumed average deal sizes</w:t>
      </w:r>
      <w:r>
        <w:rPr>
          <w:rFonts w:ascii="Calibri" w:hAnsi="Calibri"/>
          <w:color w:val="2D2D2D"/>
          <w:sz w:val="22"/>
        </w:rPr>
        <w:t xml:space="preserve"> derived from current pricing models and anticipated uptake, not from a large historical sample.</w:t>
      </w:r>
    </w:p>
    <w:p>
      <w:pPr>
        <w:pStyle w:val="ListNumber"/>
        <w:spacing w:after="40" w:before="20"/>
      </w:pPr>
      <w:r>
        <w:rPr>
          <w:rFonts w:ascii="Calibri" w:hAnsi="Calibri"/>
          <w:b/>
          <w:color w:val="2D2D2D"/>
          <w:sz w:val="22"/>
        </w:rPr>
        <w:t>Timing of Revenue Recognition:</w:t>
      </w:r>
      <w:r>
        <w:rPr>
          <w:rFonts w:ascii="Calibri" w:hAnsi="Calibri"/>
          <w:color w:val="2D2D2D"/>
          <w:sz w:val="22"/>
        </w:rPr>
        <w:t xml:space="preserve"> The </w:t>
      </w:r>
      <w:r>
        <w:rPr>
          <w:rFonts w:ascii="Calibri" w:hAnsi="Calibri"/>
          <w:b/>
          <w:color w:val="2D2D2D"/>
          <w:sz w:val="22"/>
        </w:rPr>
        <w:t>12–18 month window</w:t>
      </w:r>
      <w:r>
        <w:rPr>
          <w:rFonts w:ascii="Calibri" w:hAnsi="Calibri"/>
          <w:color w:val="2D2D2D"/>
          <w:sz w:val="22"/>
        </w:rPr>
        <w:t xml:space="preserve"> assumes that contract signing, deployment, and initial value delivery can occur within that period at a pace consistent with rail industry norms.</w:t>
      </w:r>
    </w:p>
    <w:p>
      <w:pPr>
        <w:pStyle w:val="ListNumber"/>
        <w:spacing w:after="40" w:before="20"/>
      </w:pPr>
      <w:r>
        <w:rPr>
          <w:rFonts w:ascii="Calibri" w:hAnsi="Calibri"/>
          <w:b/>
          <w:color w:val="2D2D2D"/>
          <w:sz w:val="22"/>
        </w:rPr>
        <w:t>Partnership Productivity:</w:t>
      </w:r>
      <w:r>
        <w:rPr>
          <w:rFonts w:ascii="Calibri" w:hAnsi="Calibri"/>
          <w:color w:val="2D2D2D"/>
          <w:sz w:val="22"/>
        </w:rPr>
        <w:t xml:space="preserve"> The </w:t>
      </w:r>
      <w:r>
        <w:rPr>
          <w:rFonts w:ascii="Calibri" w:hAnsi="Calibri"/>
          <w:b/>
          <w:color w:val="2D2D2D"/>
          <w:sz w:val="22"/>
        </w:rPr>
        <w:t>$150K – $300K ARR range for partnership-sourced deals</w:t>
      </w:r>
      <w:r>
        <w:rPr>
          <w:rFonts w:ascii="Calibri" w:hAnsi="Calibri"/>
          <w:color w:val="2D2D2D"/>
          <w:sz w:val="22"/>
        </w:rPr>
        <w:t xml:space="preserve"> assumes that at least one partner becomes </w:t>
      </w:r>
      <w:r>
        <w:rPr>
          <w:rFonts w:ascii="Calibri" w:hAnsi="Calibri"/>
          <w:b/>
          <w:color w:val="2D2D2D"/>
          <w:sz w:val="22"/>
        </w:rPr>
        <w:t>moderately productive</w:t>
      </w:r>
      <w:r>
        <w:rPr>
          <w:rFonts w:ascii="Calibri" w:hAnsi="Calibri"/>
          <w:color w:val="2D2D2D"/>
          <w:sz w:val="22"/>
        </w:rPr>
        <w:t xml:space="preserve"> in sourcing credible opportunities, even though this is not yet proven.</w:t>
      </w:r>
    </w:p>
    <w:p>
      <w:pPr>
        <w:pStyle w:val="ListNumber"/>
        <w:spacing w:after="40" w:before="20"/>
      </w:pPr>
      <w:r>
        <w:rPr>
          <w:rFonts w:ascii="Calibri" w:hAnsi="Calibri"/>
          <w:b/>
          <w:color w:val="2D2D2D"/>
          <w:sz w:val="22"/>
        </w:rPr>
        <w:t>Resource Availability:</w:t>
      </w:r>
      <w:r>
        <w:rPr>
          <w:rFonts w:ascii="Calibri" w:hAnsi="Calibri"/>
          <w:color w:val="2D2D2D"/>
          <w:sz w:val="22"/>
        </w:rPr>
        <w:t xml:space="preserve"> The strategy assumes that RailVision will have </w:t>
      </w:r>
      <w:r>
        <w:rPr>
          <w:rFonts w:ascii="Calibri" w:hAnsi="Calibri"/>
          <w:b/>
          <w:color w:val="2D2D2D"/>
          <w:sz w:val="22"/>
        </w:rPr>
        <w:t>sufficient internal resources</w:t>
      </w:r>
      <w:r>
        <w:rPr>
          <w:rFonts w:ascii="Calibri" w:hAnsi="Calibri"/>
          <w:color w:val="2D2D2D"/>
          <w:sz w:val="22"/>
        </w:rPr>
        <w:t xml:space="preserve"> (people and capital) to execute on the GWRR plan, a second holding company front, and a shortline motion </w:t>
      </w:r>
      <w:r>
        <w:rPr>
          <w:rFonts w:ascii="Calibri" w:hAnsi="Calibri"/>
          <w:b/>
          <w:color w:val="2D2D2D"/>
          <w:sz w:val="22"/>
        </w:rPr>
        <w:t>in parallel</w:t>
      </w:r>
      <w:r>
        <w:rPr>
          <w:rFonts w:ascii="Calibri" w:hAnsi="Calibri"/>
          <w:color w:val="2D2D2D"/>
          <w:sz w:val="22"/>
        </w:rPr>
        <w:t>, which may require incremental hiring or reallocation.</w:t>
      </w:r>
    </w:p>
    <w:p>
      <w:pPr>
        <w:pStyle w:val="Heading2"/>
      </w:pPr>
      <w:r>
        <w:t>Data Sources &amp; Limitations</w:t>
      </w:r>
    </w:p>
    <w:p>
      <w:pPr>
        <w:pStyle w:val="ListBullet"/>
        <w:spacing w:after="40" w:before="20"/>
      </w:pPr>
      <w:r>
        <w:rPr>
          <w:rFonts w:ascii="Calibri" w:hAnsi="Calibri"/>
          <w:b/>
          <w:color w:val="2D2D2D"/>
          <w:sz w:val="22"/>
        </w:rPr>
        <w:t>Internal CRM and Sales Data:</w:t>
      </w:r>
      <w:r>
        <w:rPr>
          <w:rFonts w:ascii="Calibri" w:hAnsi="Calibri"/>
          <w:color w:val="2D2D2D"/>
          <w:sz w:val="22"/>
        </w:rPr>
        <w:t xml:space="preserve"> Used to identify current pilots, pipeline, and modeled revenue potential. These data are </w:t>
      </w:r>
      <w:r>
        <w:rPr>
          <w:rFonts w:ascii="Calibri" w:hAnsi="Calibri"/>
          <w:b/>
          <w:color w:val="2D2D2D"/>
          <w:sz w:val="22"/>
        </w:rPr>
        <w:t>subject to change</w:t>
      </w:r>
      <w:r>
        <w:rPr>
          <w:rFonts w:ascii="Calibri" w:hAnsi="Calibri"/>
          <w:color w:val="2D2D2D"/>
          <w:sz w:val="22"/>
        </w:rPr>
        <w:t xml:space="preserve"> as opportunities progress or are disqualified.</w:t>
      </w:r>
    </w:p>
    <w:p>
      <w:pPr>
        <w:pStyle w:val="ListBullet"/>
        <w:spacing w:after="40" w:before="20"/>
      </w:pPr>
      <w:r>
        <w:rPr>
          <w:rFonts w:ascii="Calibri" w:hAnsi="Calibri"/>
          <w:b/>
          <w:color w:val="2D2D2D"/>
          <w:sz w:val="22"/>
        </w:rPr>
        <w:t>Finance Records:</w:t>
      </w:r>
      <w:r>
        <w:rPr>
          <w:rFonts w:ascii="Calibri" w:hAnsi="Calibri"/>
          <w:color w:val="2D2D2D"/>
          <w:sz w:val="22"/>
        </w:rPr>
        <w:t xml:space="preserve"> Provide visibility into recognized revenue to date and contract structures, but </w:t>
      </w:r>
      <w:r>
        <w:rPr>
          <w:rFonts w:ascii="Calibri" w:hAnsi="Calibri"/>
          <w:b/>
          <w:color w:val="2D2D2D"/>
          <w:sz w:val="22"/>
        </w:rPr>
        <w:t>do not yet support a single, Finance-verified ARR figure</w:t>
      </w:r>
      <w:r>
        <w:rPr>
          <w:rFonts w:ascii="Calibri" w:hAnsi="Calibri"/>
          <w:color w:val="2D2D2D"/>
          <w:sz w:val="22"/>
        </w:rPr>
        <w:t xml:space="preserve"> suitable for external reporting.</w:t>
      </w:r>
    </w:p>
    <w:p>
      <w:pPr>
        <w:pStyle w:val="ListBullet"/>
        <w:spacing w:after="40" w:before="20"/>
      </w:pPr>
      <w:r>
        <w:rPr>
          <w:rFonts w:ascii="Calibri" w:hAnsi="Calibri"/>
          <w:b/>
          <w:color w:val="2D2D2D"/>
          <w:sz w:val="22"/>
        </w:rPr>
        <w:t>Management Interviews and Strategy Sessions:</w:t>
      </w:r>
      <w:r>
        <w:rPr>
          <w:rFonts w:ascii="Calibri" w:hAnsi="Calibri"/>
          <w:color w:val="2D2D2D"/>
          <w:sz w:val="22"/>
        </w:rPr>
        <w:t xml:space="preserve"> Inform assumptions about pilot conversion likelihood, customer intent, and partnership potential. These inputs are </w:t>
      </w:r>
      <w:r>
        <w:rPr>
          <w:rFonts w:ascii="Calibri" w:hAnsi="Calibri"/>
          <w:b/>
          <w:color w:val="2D2D2D"/>
          <w:sz w:val="22"/>
        </w:rPr>
        <w:t>qualitative and inherently uncertain</w:t>
      </w:r>
      <w:r>
        <w:rPr>
          <w:rFonts w:ascii="Calibri" w:hAnsi="Calibri"/>
          <w:color w:val="2D2D2D"/>
          <w:sz w:val="22"/>
        </w:rPr>
        <w:t>.</w:t>
      </w:r>
    </w:p>
    <w:p>
      <w:pPr>
        <w:spacing w:before="120" w:after="120"/>
        <w:ind w:left="720"/>
        <w:pBdr>
          <w:left w:val="single" w:sz="12" w:space="8" w:color="3A86C8"/>
        </w:pBdr>
      </w:pPr>
      <w:r>
        <w:rPr>
          <w:rFonts w:ascii="Calibri" w:hAnsi="Calibri"/>
          <w:i/>
          <w:color w:val="4A5A6A"/>
          <w:sz w:val="22"/>
        </w:rPr>
        <w:t>All quantitative figures in this document should be treated as **management estimates and planning scenarios**, not as audited financial statements.</w:t>
      </w:r>
    </w:p>
    <w:p>
      <w:pPr>
        <w:pStyle w:val="Heading2"/>
      </w:pPr>
      <w:r>
        <w:t>Scenario Parameters (If Used)</w:t>
      </w:r>
    </w:p>
    <w:p>
      <w:pPr>
        <w:spacing w:after="120" w:before="40" w:line="276" w:lineRule="auto"/>
        <w:jc w:val="both"/>
      </w:pPr>
      <w:r>
        <w:rPr>
          <w:rFonts w:ascii="Calibri" w:hAnsi="Calibri"/>
          <w:color w:val="2D2D2D"/>
          <w:sz w:val="22"/>
        </w:rPr>
        <w:t xml:space="preserve">If leadership chooses to develop </w:t>
      </w:r>
      <w:r>
        <w:rPr>
          <w:rFonts w:ascii="Calibri" w:hAnsi="Calibri"/>
          <w:b/>
          <w:color w:val="2D2D2D"/>
          <w:sz w:val="22"/>
        </w:rPr>
        <w:t>bear, base, and bull scenarios</w:t>
      </w:r>
      <w:r>
        <w:rPr>
          <w:rFonts w:ascii="Calibri" w:hAnsi="Calibri"/>
          <w:color w:val="2D2D2D"/>
          <w:sz w:val="22"/>
        </w:rPr>
        <w:t xml:space="preserve"> from this document, a typical structure might be:</w:t>
      </w:r>
    </w:p>
    <w:p>
      <w:pPr>
        <w:pStyle w:val="ListBullet"/>
        <w:spacing w:after="40" w:before="20"/>
      </w:pPr>
      <w:r>
        <w:rPr>
          <w:rFonts w:ascii="Calibri" w:hAnsi="Calibri"/>
          <w:b/>
          <w:color w:val="2D2D2D"/>
          <w:sz w:val="22"/>
        </w:rPr>
        <w:t>Bear Case:</w:t>
      </w:r>
      <w:r>
        <w:rPr>
          <w:rFonts w:ascii="Calibri" w:hAnsi="Calibri"/>
          <w:color w:val="2D2D2D"/>
          <w:sz w:val="22"/>
        </w:rPr>
        <w:t xml:space="preserve"> Only partial GWRR rollout, slow or no conversion of a second holding company, and &lt;10 independent shortlines onboarded; heavy focus on preserving runway.</w:t>
      </w:r>
    </w:p>
    <w:p>
      <w:pPr>
        <w:pStyle w:val="ListBullet"/>
        <w:spacing w:after="40" w:before="20"/>
      </w:pPr>
      <w:r>
        <w:rPr>
          <w:rFonts w:ascii="Calibri" w:hAnsi="Calibri"/>
          <w:b/>
          <w:color w:val="2D2D2D"/>
          <w:sz w:val="22"/>
        </w:rPr>
        <w:t>Base Case:</w:t>
      </w:r>
      <w:r>
        <w:rPr>
          <w:rFonts w:ascii="Calibri" w:hAnsi="Calibri"/>
          <w:color w:val="2D2D2D"/>
          <w:sz w:val="22"/>
        </w:rPr>
        <w:t xml:space="preserve"> GWRR partial rollout in the modeled range, second holding company contributing toward the lower half of its range, and 10–15 shortlines onboarded within 18 months.</w:t>
      </w:r>
    </w:p>
    <w:p>
      <w:pPr>
        <w:pStyle w:val="ListBullet"/>
        <w:spacing w:after="40" w:before="20"/>
      </w:pPr>
      <w:r>
        <w:rPr>
          <w:rFonts w:ascii="Calibri" w:hAnsi="Calibri"/>
          <w:b/>
          <w:color w:val="2D2D2D"/>
          <w:sz w:val="22"/>
        </w:rPr>
        <w:t>Bull Case:</w:t>
      </w:r>
      <w:r>
        <w:rPr>
          <w:rFonts w:ascii="Calibri" w:hAnsi="Calibri"/>
          <w:color w:val="2D2D2D"/>
          <w:sz w:val="22"/>
        </w:rPr>
        <w:t xml:space="preserve"> Strong GWRR performance with faster-than-expected rollout, a second holding company contributing at or above the high end of its range, and 20+ shortlines plus a productive partnership channel.</w:t>
      </w:r>
    </w:p>
    <w:p>
      <w:pPr>
        <w:spacing w:after="120" w:before="40" w:line="276" w:lineRule="auto"/>
        <w:jc w:val="both"/>
      </w:pPr>
      <w:r>
        <w:rPr>
          <w:rFonts w:ascii="Calibri" w:hAnsi="Calibri"/>
          <w:color w:val="2D2D2D"/>
          <w:sz w:val="22"/>
        </w:rPr>
        <w:t xml:space="preserve">These scenarios should be </w:t>
      </w:r>
      <w:r>
        <w:rPr>
          <w:rFonts w:ascii="Calibri" w:hAnsi="Calibri"/>
          <w:b/>
          <w:color w:val="2D2D2D"/>
          <w:sz w:val="22"/>
        </w:rPr>
        <w:t>built and validated with Finance</w:t>
      </w:r>
      <w:r>
        <w:rPr>
          <w:rFonts w:ascii="Calibri" w:hAnsi="Calibri"/>
          <w:color w:val="2D2D2D"/>
          <w:sz w:val="22"/>
        </w:rPr>
        <w:t xml:space="preserve"> before being used in formal board or investor communications.</w:t>
      </w:r>
    </w:p>
    <w:p>
      <w:pPr>
        <w:pStyle w:val="Heading2"/>
      </w:pPr>
      <w:r>
        <w:t>Document Control</w:t>
      </w:r>
    </w:p>
    <w:p>
      <w:pPr>
        <w:pStyle w:val="ListBullet"/>
        <w:spacing w:after="40" w:before="20"/>
      </w:pPr>
      <w:r>
        <w:rPr>
          <w:rFonts w:ascii="Calibri" w:hAnsi="Calibri"/>
          <w:b/>
          <w:color w:val="2D2D2D"/>
          <w:sz w:val="22"/>
        </w:rPr>
        <w:t>Title:</w:t>
      </w:r>
      <w:r>
        <w:rPr>
          <w:rFonts w:ascii="Calibri" w:hAnsi="Calibri"/>
          <w:color w:val="2D2D2D"/>
          <w:sz w:val="22"/>
        </w:rPr>
        <w:t xml:space="preserve"> RailVision – Current Revenue Snapshot and 12–18 Month Strategy</w:t>
      </w:r>
    </w:p>
    <w:p>
      <w:pPr>
        <w:pStyle w:val="ListBullet"/>
        <w:spacing w:after="40" w:before="20"/>
      </w:pPr>
      <w:r>
        <w:rPr>
          <w:rFonts w:ascii="Calibri" w:hAnsi="Calibri"/>
          <w:b/>
          <w:color w:val="2D2D2D"/>
          <w:sz w:val="22"/>
        </w:rPr>
        <w:t>Prepared By:</w:t>
      </w:r>
      <w:r>
        <w:rPr>
          <w:rFonts w:ascii="Calibri" w:hAnsi="Calibri"/>
          <w:color w:val="2D2D2D"/>
          <w:sz w:val="22"/>
        </w:rPr>
        <w:t xml:space="preserve"> CFO and CSO (with input from CEO and Sales Leadership)</w:t>
      </w:r>
    </w:p>
    <w:p>
      <w:pPr>
        <w:pStyle w:val="ListBullet"/>
        <w:spacing w:after="40" w:before="20"/>
      </w:pPr>
      <w:r>
        <w:rPr>
          <w:rFonts w:ascii="Calibri" w:hAnsi="Calibri"/>
          <w:b/>
          <w:color w:val="2D2D2D"/>
          <w:sz w:val="22"/>
        </w:rPr>
        <w:t>Date:</w:t>
      </w:r>
      <w:r>
        <w:rPr>
          <w:rFonts w:ascii="Calibri" w:hAnsi="Calibri"/>
          <w:color w:val="2D2D2D"/>
          <w:sz w:val="22"/>
        </w:rPr>
        <w:t xml:space="preserve"> {{TODAY’S DATE}}</w:t>
      </w:r>
    </w:p>
    <w:p>
      <w:pPr>
        <w:pStyle w:val="ListBullet"/>
        <w:spacing w:after="40" w:before="20"/>
      </w:pPr>
      <w:r>
        <w:rPr>
          <w:rFonts w:ascii="Calibri" w:hAnsi="Calibri"/>
          <w:b/>
          <w:color w:val="2D2D2D"/>
          <w:sz w:val="22"/>
        </w:rPr>
        <w:t>Intended Audience:</w:t>
      </w:r>
      <w:r>
        <w:rPr>
          <w:rFonts w:ascii="Calibri" w:hAnsi="Calibri"/>
          <w:color w:val="2D2D2D"/>
          <w:sz w:val="22"/>
        </w:rPr>
        <w:t xml:space="preserve"> Internal leadership team and board/board observers; </w:t>
      </w:r>
      <w:r>
        <w:rPr>
          <w:rFonts w:ascii="Calibri" w:hAnsi="Calibri"/>
          <w:i/>
          <w:color w:val="2D2D2D"/>
          <w:sz w:val="22"/>
        </w:rPr>
        <w:t>not</w:t>
      </w:r>
      <w:r>
        <w:rPr>
          <w:rFonts w:ascii="Calibri" w:hAnsi="Calibri"/>
          <w:color w:val="2D2D2D"/>
          <w:sz w:val="22"/>
        </w:rPr>
        <w:t xml:space="preserve"> for external circulation without explicit approval.</w:t>
      </w:r>
    </w:p>
    <w:p>
      <w:pPr>
        <w:pStyle w:val="ListBullet"/>
        <w:spacing w:after="40" w:before="20"/>
      </w:pPr>
      <w:r>
        <w:rPr>
          <w:rFonts w:ascii="Calibri" w:hAnsi="Calibri"/>
          <w:b/>
          <w:color w:val="2D2D2D"/>
          <w:sz w:val="22"/>
        </w:rPr>
        <w:t>Confidentiality:</w:t>
      </w:r>
      <w:r>
        <w:rPr>
          <w:rFonts w:ascii="Calibri" w:hAnsi="Calibri"/>
          <w:color w:val="2D2D2D"/>
          <w:sz w:val="22"/>
        </w:rPr>
        <w:t xml:space="preserve"> </w:t>
      </w:r>
      <w:r>
        <w:rPr>
          <w:rFonts w:ascii="Calibri" w:hAnsi="Calibri"/>
          <w:b/>
          <w:color w:val="2D2D2D"/>
          <w:sz w:val="22"/>
        </w:rPr>
        <w:t>Strictly Confidential – Internal Use Only.</w:t>
      </w:r>
    </w:p>
    <w:p>
      <w:pPr>
        <w:spacing w:after="120" w:before="40" w:line="276" w:lineRule="auto"/>
        <w:jc w:val="both"/>
      </w:pPr>
      <w:r>
        <w:rPr>
          <w:rFonts w:ascii="Calibri" w:hAnsi="Calibri"/>
          <w:color w:val="2D2D2D"/>
          <w:sz w:val="22"/>
        </w:rPr>
        <w:t xml:space="preserve">This document should be </w:t>
      </w:r>
      <w:r>
        <w:rPr>
          <w:rFonts w:ascii="Calibri" w:hAnsi="Calibri"/>
          <w:b/>
          <w:color w:val="2D2D2D"/>
          <w:sz w:val="22"/>
        </w:rPr>
        <w:t>updated periodically</w:t>
      </w:r>
      <w:r>
        <w:rPr>
          <w:rFonts w:ascii="Calibri" w:hAnsi="Calibri"/>
          <w:color w:val="2D2D2D"/>
          <w:sz w:val="22"/>
        </w:rPr>
        <w:t xml:space="preserve"> (e.g., every 3–6 months) as pilots convert, new contracts are signed, and Finance is able to validate ARR figures with greater precision.</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07B"/>
        <w:sz w:val="16"/>
      </w:rPr>
      <w:t xml:space="preserve">Page </w:t>
    </w:r>
    <w:fldSimple w:instr=" PAGE \* MERGEFORMAT ">
      <w:r>
        <w:rPr>
          <w:sz w:val="16"/>
          <w:color w:val="6B707B"/>
          <w:rFonts w:ascii="Calibri" w:hAnsi="Calibri"/>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B707B"/>
        <w:sz w:val="16"/>
      </w:rPr>
      <w:t>RailVision – Current Revenue Snapshot and 12–18 Month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A86C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