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RailVision</w:t>
      </w:r>
    </w:p>
    <w:p/>
    <w:p>
      <w:pPr>
        <w:pStyle w:val="Heading1"/>
      </w:pPr>
      <w:r>
        <w:t>RailVision</w:t>
      </w:r>
    </w:p>
    <w:p>
      <w:pPr>
        <w:spacing w:after="120"/>
      </w:pPr>
      <w:r>
        <w:t>Transforming Rail Operations Through AI-Powered Intelligence</w:t>
      </w:r>
    </w:p>
    <w:p>
      <w:pPr>
        <w:spacing w:after="120"/>
      </w:pPr>
      <w:r>
        <w:t>RailVision is a technology company dedicated to bringing advanced AI-driven safety and operational optimization solutions to the rail industry. Our locomotive-agnostic platform is purpose-built for the shortline and regional railroad segment — delivering real-time insights, fuel efficiency, and safety improvements without the complexity or cost barriers of Class I-focused incumbents.</w:t>
      </w:r>
    </w:p>
    <w:p>
      <w:pPr>
        <w:spacing w:after="120"/>
      </w:pPr>
      <w:r>
        <w:t>Mission: To make every mile of track safer, smarter, and more efficient — starting with the shortlines that move America's backbone industries.</w:t>
      </w:r>
    </w:p>
    <w:p>
      <w:pPr>
        <w:pStyle w:val="Heading1"/>
      </w:pPr>
      <w:r>
        <w:t>Company Overview &amp; Leadership Team</w:t>
      </w:r>
    </w:p>
    <w:p>
      <w:pPr>
        <w:spacing w:after="120"/>
      </w:pPr>
      <w:r>
        <w:t>Company Overview</w:t>
      </w:r>
    </w:p>
    <w:p>
      <w:pPr>
        <w:spacing w:after="120"/>
      </w:pPr>
      <w:r>
        <w:t>RailVision operates at the intersection of artificial intelligence, computer vision, and railroad operations. Unlike legacy rail technology providers such as Wabtec — whose flagship Trip Optimizer is deployed across 12,000+ Class I locomotives — RailVision targets the underserved shortline segment, which operates approximately 15,000 predominantly Tier 0 locomotives across North America.</w:t>
      </w:r>
    </w:p>
    <w:p>
      <w:pPr>
        <w:spacing w:after="120"/>
      </w:pPr>
      <w:r>
        <w:t>Our platform is locomotive-agnostic, meaning it can be deployed across legacy Tier 0 units and newer Tier 4 locomotives alike, removing a critical adoption barrier that has historically limited competitors' reach in the shortline market.</w:t>
      </w:r>
    </w:p>
    <w:p>
      <w:pPr>
        <w:spacing w:after="120"/>
      </w:pPr>
      <w:r>
        <w:t>Leadership Team</w:t>
      </w:r>
    </w:p>
    <w:p>
      <w:pPr>
        <w:spacing w:after="120"/>
      </w:pPr>
      <w:r>
        <w:t>Dev Jain — Chief Technology Officer (CTO)</w:t>
      </w:r>
    </w:p>
    <w:p>
      <w:pPr>
        <w:pStyle w:val="ListBullet"/>
      </w:pPr>
      <w:r>
        <w:t>Graduate of McGill University</w:t>
      </w:r>
    </w:p>
    <w:p>
      <w:pPr>
        <w:pStyle w:val="ListBullet"/>
      </w:pPr>
      <w:r>
        <w:t>Named Top Entrepreneur by Centech</w:t>
      </w:r>
    </w:p>
    <w:p>
      <w:pPr>
        <w:pStyle w:val="ListBullet"/>
      </w:pPr>
      <w:r>
        <w:t>7+ years of experience in rail technology and operations</w:t>
      </w:r>
    </w:p>
    <w:p>
      <w:pPr>
        <w:pStyle w:val="ListBullet"/>
      </w:pPr>
      <w:r>
        <w:t>Leads all technical architecture, product development, and AI model engineering</w:t>
      </w:r>
    </w:p>
    <w:p>
      <w:pPr>
        <w:spacing w:after="120"/>
      </w:pPr>
      <w:r>
        <w:t>The leadership team combines deep domain expertise in railroad operations with cutting-edge AI and data science capabilities, positioning RailVision to deliver solutions that are both technically rigorous and operationally practical for resource-constrained shortline operators.</w:t>
      </w:r>
    </w:p>
    <w:p>
      <w:pPr>
        <w:pStyle w:val="Heading1"/>
      </w:pPr>
      <w:r>
        <w:t>Target Market &amp; Customer Pipeline</w:t>
      </w:r>
    </w:p>
    <w:p>
      <w:pPr>
        <w:spacing w:after="120"/>
      </w:pPr>
      <w:r>
        <w:t>Primary Target Market: Class II &amp; Shortline Railroads</w:t>
      </w:r>
    </w:p>
    <w:p>
      <w:pPr>
        <w:spacing w:after="120"/>
      </w:pPr>
      <w:r>
        <w:t>RailVision is focused on the Class II and shortline railroad segment — a market of approximately 15,000 locomotives that has been largely ignored by incumbents like Wabtec, who concentrate on Class I operators. Shortline locomotives are predominantly Tier 0 (pre-2001), non-compliant legacy units with minimal onboard technology, making them ideal candidates for RailVision's retrofit-friendly, locomotive-agnostic solution.</w:t>
      </w:r>
    </w:p>
    <w:p>
      <w:pPr>
        <w:spacing w:after="120"/>
      </w:pPr>
      <w:r>
        <w:t>Total Addressable Market (Illustrative):</w:t>
      </w:r>
    </w:p>
    <w:p>
      <w:pPr>
        <w:pStyle w:val="ListBullet"/>
      </w:pPr>
      <w:r>
        <w:t>~10,000 active shortline locomotives (working daily)</w:t>
      </w:r>
    </w:p>
    <w:p>
      <w:pPr>
        <w:pStyle w:val="ListBullet"/>
      </w:pPr>
      <w:r>
        <w:t>$300/month license fee per locomotive</w:t>
      </w:r>
    </w:p>
    <w:p>
      <w:pPr>
        <w:pStyle w:val="ListBullet"/>
      </w:pPr>
      <w:r>
        <w:t>Projected ARR potential: ~$36M (at full penetration)</w:t>
      </w:r>
    </w:p>
    <w:p>
      <w:pPr>
        <w:spacing w:after="120"/>
      </w:pPr>
      <w:r>
        <w:t>Active Customer Pipeline:</w:t>
      </w:r>
    </w:p>
    <w:p>
      <w:pPr>
        <w:pStyle w:val="ListNumber"/>
      </w:pPr>
      <w:r>
        <w:t>Vermont Rail System — $80,000 contract in pipeline</w:t>
      </w:r>
    </w:p>
    <w:p>
      <w:pPr>
        <w:pStyle w:val="ListNumber"/>
      </w:pPr>
      <w:r>
        <w:t>Genesee &amp; Wyoming Railroad (GWRR) — Pilot strategy underway; key anchor customer target</w:t>
      </w:r>
    </w:p>
    <w:p>
      <w:pPr>
        <w:pStyle w:val="ListNumber"/>
      </w:pPr>
      <w:r>
        <w:t>OmniTrax — $507,000 pipeline value across 19 railroad properties</w:t>
      </w:r>
    </w:p>
    <w:p>
      <w:pPr>
        <w:pStyle w:val="ListNumber"/>
      </w:pPr>
      <w:r>
        <w:t>Hudson Bay Railway — Active engagement</w:t>
      </w:r>
    </w:p>
    <w:p>
      <w:pPr>
        <w:pStyle w:val="ListNumber"/>
      </w:pPr>
      <w:r>
        <w:t>NKC Railway — Active engagement</w:t>
      </w:r>
    </w:p>
    <w:p>
      <w:pPr>
        <w:pStyle w:val="ListNumber"/>
      </w:pPr>
      <w:r>
        <w:t>Carlton Trail Railway — Active engagement</w:t>
      </w:r>
    </w:p>
    <w:p>
      <w:pPr>
        <w:spacing w:after="120"/>
      </w:pPr>
      <w:r>
        <w:t>Go-To-Market Strategy:</w:t>
      </w:r>
    </w:p>
    <w:p>
      <w:pPr>
        <w:spacing w:after="120"/>
      </w:pPr>
      <w:r>
        <w:t>RailVision will anchor its initial commercial traction through the GWRR pilot, leveraging its 19-property OmniTrax relationship to demonstrate scalable, multi-property deployment capability. Success with these early customers will serve as the proof-of-concept needed to accelerate adoption across the broader shortline market.</w:t>
      </w:r>
    </w:p>
    <w:p>
      <w:pPr>
        <w:pStyle w:val="Heading1"/>
      </w:pPr>
      <w:r>
        <w:t>Six-Month Strategic Execution Plan (Jan–Jun 2026)</w:t>
      </w:r>
    </w:p>
    <w:p>
      <w:pPr>
        <w:spacing w:after="120"/>
      </w:pPr>
      <w:r>
        <w:t>Strategic Goal: Achieve $750,000 ARR by June 2026</w:t>
      </w:r>
    </w:p>
    <w:p>
      <w:pPr>
        <w:spacing w:after="120"/>
      </w:pPr>
      <w:r>
        <w:t>Month-by-Month Milestones:</w:t>
      </w:r>
    </w:p>
    <w:p>
      <w:pPr>
        <w:pStyle w:val="ListNumber"/>
      </w:pPr>
      <w:r>
        <w:t>January 2026 — Finalize GWRR pilot agreement; deploy initial units on 2–3 pilot corridors; establish baseline fuel and safety data collection protocols</w:t>
      </w:r>
    </w:p>
    <w:p>
      <w:pPr>
        <w:pStyle w:val="ListNumber"/>
      </w:pPr>
      <w:r>
        <w:t>February 2026 — Activate Vermont Rail System contract ($80K); complete onboarding and instrumentation; initiate pre-registered statistical validation framework</w:t>
      </w:r>
    </w:p>
    <w:p>
      <w:pPr>
        <w:pStyle w:val="ListNumber"/>
      </w:pPr>
      <w:r>
        <w:t>March 2026 — Deliver first GWRR pilot results; present ROI case to OmniTrax decision-makers; initiate formal proposal for multi-property rollout</w:t>
      </w:r>
    </w:p>
    <w:p>
      <w:pPr>
        <w:pStyle w:val="ListNumber"/>
      </w:pPr>
      <w:r>
        <w:t>April 2026 — Secure OmniTrax Phase 1 commitment (target: 5 of 19 properties); expand Hudson Bay and NKC Railway conversations to signed agreements</w:t>
      </w:r>
    </w:p>
    <w:p>
      <w:pPr>
        <w:pStyle w:val="ListNumber"/>
      </w:pPr>
      <w:r>
        <w:t>May 2026 — Achieve $500K ARR milestone; begin Series A fundraising conversations; initiate Carlton Trail Railway deployment</w:t>
      </w:r>
    </w:p>
    <w:p>
      <w:pPr>
        <w:pStyle w:val="ListNumber"/>
      </w:pPr>
      <w:r>
        <w:t>June 2026 — Hit $750K ARR target; evaluate funding vs. strategic exit options; prepare board presentation with 12-month growth roadmap</w:t>
      </w:r>
    </w:p>
    <w:p>
      <w:pPr>
        <w:spacing w:after="120"/>
      </w:pPr>
      <w:r>
        <w:t>Funding &amp; Exit Decision Framework:</w:t>
      </w:r>
    </w:p>
    <w:p>
      <w:pPr>
        <w:pStyle w:val="ListBullet"/>
      </w:pPr>
      <w:r>
        <w:t>At $750K ARR: Assess organic growth trajectory vs. institutional raise</w:t>
      </w:r>
    </w:p>
    <w:p>
      <w:pPr>
        <w:pStyle w:val="ListBullet"/>
      </w:pPr>
      <w:r>
        <w:t>Strategic acquirers to monitor: Wabtec, L.B. Foster, First Analytics partnerships</w:t>
      </w:r>
    </w:p>
    <w:p>
      <w:pPr>
        <w:pStyle w:val="ListBullet"/>
      </w:pPr>
      <w:r>
        <w:t>Key metric for Series A: 3+ paying Class II customers with documented fuel savings (minimum 5% reduction validated via DiD or regression methodology)</w:t>
      </w:r>
    </w:p>
    <w:p>
      <w:pPr>
        <w:spacing w:after="120"/>
      </w:pPr>
      <w:r>
        <w:t>Risk Factors:</w:t>
      </w:r>
    </w:p>
    <w:p>
      <w:pPr>
        <w:pStyle w:val="ListBullet"/>
      </w:pPr>
      <w:r>
        <w:t>Slow procurement cycles at shortline operators</w:t>
      </w:r>
    </w:p>
    <w:p>
      <w:pPr>
        <w:pStyle w:val="ListBullet"/>
      </w:pPr>
      <w:r>
        <w:t>Data availability gaps (fuel receipts, movement logs) at smaller railroads</w:t>
      </w:r>
    </w:p>
    <w:p>
      <w:pPr>
        <w:pStyle w:val="ListBullet"/>
      </w:pPr>
      <w:r>
        <w:t>Competitive response from Wabtec expanding TMS/Trip Optimizer to shortline segment</w:t>
      </w:r>
    </w:p>
    <w:p>
      <w:pPr>
        <w:pStyle w:val="Heading1"/>
      </w:pPr>
      <w:r>
        <w:t>North American Locomotive Fleet — Market Opportunity Graph</w:t>
      </w:r>
    </w:p>
    <w:p>
      <w:pPr>
        <w:spacing w:after="120"/>
      </w:pPr>
      <w:r>
        <w:t>The chart below illustrates the estimated fleet sizes of major North American railroad operators. RailVision's primary target — Shortline Operators (combined) — represents the single largest fleet segment, yet remains the most underserved by existing rail technology providers.</w:t>
      </w:r>
    </w:p>
    <w:p>
      <w:pPr>
        <w:spacing w:after="120"/>
      </w:pPr>
      <w:r>
        <w:t>━━━━━━━━━━━━━━━━━━━━━━━━━━━━━━━━━━━━━━━━━━━━━━━━━━━━━━━━</w:t>
      </w:r>
    </w:p>
    <w:p>
      <w:pPr>
        <w:spacing w:after="120"/>
      </w:pPr>
      <w:r>
        <w:t>NORTH AMERICAN LOCOMOTIVE FLEET SIZE BY OPERATOR</w:t>
      </w:r>
    </w:p>
    <w:p>
      <w:pPr>
        <w:spacing w:after="120"/>
      </w:pPr>
      <w:r>
        <w:t>Each [ █ ] ≈ 500 Locomotives</w:t>
      </w:r>
    </w:p>
    <w:p>
      <w:pPr>
        <w:spacing w:after="120"/>
      </w:pPr>
      <w:r>
        <w:t>━━━━━━━━━━━━━━━━━━━━━━━━━━━━━━━━━━━━━━━━━━━━━━━━━━━━━━━━</w:t>
      </w:r>
    </w:p>
    <w:p>
      <w:pPr>
        <w:spacing w:after="120"/>
      </w:pPr>
      <w:r>
        <w:t>Shortline Ops (combined) | ██████████████████████████████ | ~15,000 ◄ RAILVISION TARGET</w:t>
      </w:r>
    </w:p>
    <w:p>
      <w:pPr>
        <w:spacing w:after="120"/>
      </w:pPr>
      <w:r>
        <w:t>Union Pacific (UP)       | ███████████████               | ~7,300</w:t>
      </w:r>
    </w:p>
    <w:p>
      <w:pPr>
        <w:spacing w:after="120"/>
      </w:pPr>
      <w:r>
        <w:t>BNSF Railway             | ████████████                  | ~6,000</w:t>
      </w:r>
    </w:p>
    <w:p>
      <w:pPr>
        <w:spacing w:after="120"/>
      </w:pPr>
      <w:r>
        <w:t>Norfolk Southern (NS)    | ████████                      | ~4,000</w:t>
      </w:r>
    </w:p>
    <w:p>
      <w:pPr>
        <w:spacing w:after="120"/>
      </w:pPr>
      <w:r>
        <w:t>CSX Transportation       | ████████                      | ~3,800</w:t>
      </w:r>
    </w:p>
    <w:p>
      <w:pPr>
        <w:spacing w:after="120"/>
      </w:pPr>
      <w:r>
        <w:t>Canadian National (CN)   | ████                          | ~2,000</w:t>
      </w:r>
    </w:p>
    <w:p>
      <w:pPr>
        <w:spacing w:after="120"/>
      </w:pPr>
      <w:r>
        <w:t>Canadian Pacific (CPKC)  | ███                           | ~1,600</w:t>
      </w:r>
    </w:p>
    <w:p>
      <w:pPr>
        <w:spacing w:after="120"/>
      </w:pPr>
      <w:r>
        <w:t>Kansas City Southern     | ██                            | ~950</w:t>
      </w:r>
    </w:p>
    <w:p>
      <w:pPr>
        <w:spacing w:after="120"/>
      </w:pPr>
      <w:r>
        <w:t>Amtrak                   | █                             | ~500</w:t>
      </w:r>
    </w:p>
    <w:p>
      <w:pPr>
        <w:spacing w:after="120"/>
      </w:pPr>
      <w:r>
        <w:t>|----|----|----|----|----|----|--|</w:t>
      </w:r>
    </w:p>
    <w:p>
      <w:pPr>
        <w:spacing w:after="120"/>
      </w:pPr>
      <w:r>
        <w:t>0   5   10   15   20   25   30</w:t>
      </w:r>
    </w:p>
    <w:p>
      <w:pPr>
        <w:spacing w:after="120"/>
      </w:pPr>
      <w:r>
        <w:t>(Units × 500 locomotives)</w:t>
      </w:r>
    </w:p>
    <w:p>
      <w:pPr>
        <w:spacing w:after="120"/>
      </w:pPr>
      <w:r>
        <w:t>━━━━━━━━━━━━━━━━━━━━━━━━━━━━━━━━━━━━━━━━━━━━━━━━━━━━━━━━</w:t>
      </w:r>
    </w:p>
    <w:p>
      <w:pPr>
        <w:spacing w:after="120"/>
      </w:pPr>
      <w:r>
        <w:t>Key Takeaways:</w:t>
      </w:r>
    </w:p>
    <w:p>
      <w:pPr>
        <w:pStyle w:val="ListBullet"/>
      </w:pPr>
      <w:r>
        <w:t>Shortline operators represent ~51% of all North American locomotives (~15,000 of ~29,500 total)</w:t>
      </w:r>
    </w:p>
    <w:p>
      <w:pPr>
        <w:pStyle w:val="ListBullet"/>
      </w:pPr>
      <w:r>
        <w:t>The shortline fleet is predominantly Tier 0 (pre-2001) — legacy units with no onboard AI or fuel optimization technology</w:t>
      </w:r>
    </w:p>
    <w:p>
      <w:pPr>
        <w:pStyle w:val="ListBullet"/>
      </w:pPr>
      <w:r>
        <w:t>Class I railroads (UP, BNSF, NS, CSX) are already served by Wabtec's Trip Optimizer (deployed on ~12,000 units)</w:t>
      </w:r>
    </w:p>
    <w:p>
      <w:pPr>
        <w:pStyle w:val="ListBullet"/>
      </w:pPr>
      <w:r>
        <w:t>RailVision's locomotive-agnostic platform is uniquely positioned to capture the shortline segment — a $36M ARR opportunity at scale</w:t>
      </w:r>
    </w:p>
    <w:p>
      <w:pPr>
        <w:pStyle w:val="ListBullet"/>
      </w:pPr>
      <w:r>
        <w:t>No direct competitor has commercially deployed a fuel/safety optimization product specifically for shortline operators</w:t>
      </w:r>
    </w:p>
    <w:p>
      <w:pPr>
        <w:spacing w:after="120"/>
      </w:pPr>
      <w:r>
        <w:t>North America Total Fleet Breakdown:</w:t>
      </w:r>
    </w:p>
    <w:p>
      <w:pPr>
        <w:pStyle w:val="ListBullet"/>
      </w:pPr>
      <w:r>
        <w:t>United States (freight + passenger): ~25,000 locomotives</w:t>
      </w:r>
    </w:p>
    <w:p>
      <w:pPr>
        <w:pStyle w:val="ListBullet"/>
      </w:pPr>
      <w:r>
        <w:t>Canada (freight + passenger): ~3,000 locomotives</w:t>
      </w:r>
    </w:p>
    <w:p>
      <w:pPr>
        <w:pStyle w:val="ListBullet"/>
      </w:pPr>
      <w:r>
        <w:t>Mexico (freight): ~1,500 locomotives</w:t>
      </w:r>
    </w:p>
    <w:p>
      <w:pPr>
        <w:pStyle w:val="ListBullet"/>
      </w:pPr>
      <w:r>
        <w:t>TOTAL: ~29,500 locomotives</w:t>
      </w:r>
    </w:p>
    <w:p>
      <w:pPr>
        <w:spacing w:after="120"/>
      </w:pPr>
      <w:r>
        <w:t>Note: Fleet estimates are based on publicly available industry data. Shortline figure represents the combined total of hundreds of independent operators. Kansas City Southern (KCS) merged with Canadian Pacific in 2023 to form CPKC; both are listed for reference. Data is approximate and subject to annual fleet changes.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