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97D"/>
          <w:sz w:val="56"/>
        </w:rPr>
        <w:t>RailVision Strategic Growth Plan 2025-2027</w:t>
      </w:r>
    </w:p>
    <w:p>
      <w:pPr>
        <w:jc w:val="center"/>
      </w:pPr>
      <w:r>
        <w:rPr>
          <w:i/>
          <w:color w:val="595959"/>
          <w:sz w:val="24"/>
        </w:rPr>
        <w:t>Strategic Initiative for Market Leadership and Revenue Growth</w:t>
      </w:r>
    </w:p>
    <w:p/>
    <w:p>
      <w:pPr>
        <w:pStyle w:val="Heading1"/>
        <w:pBdr>
          <w:bottom w:val="single" w:sz="12" w:space="1" w:color="4472C4"/>
        </w:pBdr>
      </w:pPr>
      <w:r>
        <w:rPr>
          <w:color w:val="1F497D"/>
          <w:sz w:val="48"/>
        </w:rPr>
        <w:t>1. Executive Summary</w:t>
      </w:r>
    </w:p>
    <w:p>
      <w:r>
        <w:rPr>
          <w:b/>
        </w:rPr>
        <w:t xml:space="preserve">RailVision is poised to tap into a $2.4B market opportunity </w:t>
      </w:r>
      <w:r>
        <w:t>in predictive rail maintenance, aiming to boost revenue from $180M to $520M by 2027 while maintaining gross margins above 62%. This growth will be fueled by regulatory mandates, infrastructure investments, and RailVision's advanced sensor-fusion technology.</w:t>
      </w:r>
    </w:p>
    <w:p/>
    <w:p>
      <w:pPr>
        <w:pStyle w:val="ListBullet"/>
      </w:pPr>
      <w:r>
        <w:rPr>
          <w:b/>
        </w:rPr>
        <w:t xml:space="preserve">The critical move: </w:t>
      </w:r>
      <w:r>
        <w:t>Secure Union Pacific's pilot contract by Q2 2025, which could unlock $340M in future pipeline.</w:t>
      </w:r>
    </w:p>
    <w:p/>
    <w:p>
      <w:pPr>
        <w:pStyle w:val="Heading2"/>
      </w:pPr>
      <w:r>
        <w:rPr>
          <w:color w:val="4472C4"/>
          <w:sz w:val="32"/>
        </w:rPr>
        <w:t>Key Metrics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  <w:gridCol w:w="3024"/>
      </w:tblGrid>
      <w:tr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Metric</w:t>
            </w:r>
          </w:p>
        </w:tc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2024 Actual</w:t>
            </w:r>
          </w:p>
        </w:tc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2025 Target</w:t>
            </w:r>
          </w:p>
        </w:tc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2027 Target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Annual Revenue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$180M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$285M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$520M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Gross Margin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Customer Count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Net Revenue Retention (NRR)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125%</w:t>
            </w:r>
          </w:p>
        </w:tc>
      </w:tr>
    </w:tbl>
    <w:p/>
    <w:p>
      <w:pPr>
        <w:pStyle w:val="Heading3"/>
      </w:pPr>
      <w:r>
        <w:rPr>
          <w:color w:val="708EDA"/>
          <w:sz w:val="28"/>
        </w:rPr>
        <w:t>Revenue Growth Trajectory</w:t>
      </w:r>
    </w:p>
    <w:p>
      <w:pPr>
        <w:spacing w:before="120" w:after="120"/>
        <w:jc w:val="center"/>
      </w:pPr>
      <w:r>
        <w:t>2024 Actual: $180M  |  2025 Target: $285M  |  2026 Projected: $410M  |  2027 Target: $520M</w:t>
      </w:r>
    </w:p>
    <w:p/>
    <w:p>
      <w:pPr>
        <w:pStyle w:val="Heading1"/>
        <w:pBdr>
          <w:bottom w:val="single" w:sz="12" w:space="1" w:color="4472C4"/>
        </w:pBdr>
      </w:pPr>
      <w:r>
        <w:rPr>
          <w:color w:val="1F497D"/>
          <w:sz w:val="48"/>
        </w:rPr>
        <w:t>2. Situation Analysis</w:t>
      </w:r>
    </w:p>
    <w:p>
      <w:r>
        <w:t xml:space="preserve">RailVision currently holds a </w:t>
      </w:r>
      <w:r>
        <w:rPr>
          <w:b/>
        </w:rPr>
        <w:t xml:space="preserve">7.5% market share </w:t>
      </w:r>
      <w:r>
        <w:t>in the sensor-fusion predictive rail maintenance market. The industry is transitioning from visual inspections to predictive systems, driven by aging infrastructure and the need for modernization.</w:t>
      </w:r>
    </w:p>
    <w:p/>
    <w:p>
      <w:pPr>
        <w:pStyle w:val="Heading3"/>
      </w:pPr>
      <w:r>
        <w:rPr>
          <w:color w:val="708EDA"/>
          <w:sz w:val="28"/>
        </w:rPr>
        <w:t>Opportunities and Challenges</w:t>
      </w:r>
    </w:p>
    <w:p>
      <w:pPr>
        <w:pStyle w:val="ListBullet"/>
      </w:pPr>
      <w:r>
        <w:rPr>
          <w:b/>
        </w:rPr>
        <w:t xml:space="preserve">Opportunities: </w:t>
      </w:r>
      <w:r>
        <w:t>Expansion due to regulatory changes and rising demand for safe rail systems.</w:t>
      </w:r>
    </w:p>
    <w:p>
      <w:pPr>
        <w:pStyle w:val="ListBullet"/>
      </w:pPr>
      <w:r>
        <w:rPr>
          <w:b/>
        </w:rPr>
        <w:t xml:space="preserve">Challenges: </w:t>
      </w:r>
      <w:r>
        <w:t>Intense competition from established players and technological advancements.</w:t>
      </w:r>
    </w:p>
    <w:p/>
    <w:p>
      <w:pPr>
        <w:pStyle w:val="Heading3"/>
      </w:pPr>
      <w:r>
        <w:rPr>
          <w:color w:val="708EDA"/>
          <w:sz w:val="28"/>
        </w:rPr>
        <w:t>Industry Trends</w:t>
      </w:r>
    </w:p>
    <w:p>
      <w:pPr>
        <w:pStyle w:val="ListBullet"/>
      </w:pPr>
      <w:r>
        <w:t>Shift towards predictive maintenance.</w:t>
      </w:r>
    </w:p>
    <w:p>
      <w:pPr>
        <w:pStyle w:val="ListBullet"/>
      </w:pPr>
      <w:r>
        <w:t>Increased government spending on rail safety.</w:t>
      </w:r>
    </w:p>
    <w:p>
      <w:pPr>
        <w:pStyle w:val="ListBullet"/>
      </w:pPr>
      <w:r>
        <w:t>Adoption of AI technologies for rail system monitoring.</w:t>
      </w:r>
    </w:p>
    <w:p/>
    <w:p>
      <w:pPr>
        <w:pStyle w:val="Heading1"/>
        <w:pBdr>
          <w:bottom w:val="single" w:sz="12" w:space="1" w:color="4472C4"/>
        </w:pBdr>
      </w:pPr>
      <w:r>
        <w:rPr>
          <w:color w:val="1F497D"/>
          <w:sz w:val="48"/>
        </w:rPr>
        <w:t>3. Market Landscape</w:t>
      </w:r>
    </w:p>
    <w:p>
      <w:r>
        <w:t xml:space="preserve">The North American freight rail market is valued at </w:t>
      </w:r>
      <w:r>
        <w:rPr>
          <w:b/>
        </w:rPr>
        <w:t xml:space="preserve">$8.2B </w:t>
      </w:r>
      <w:r>
        <w:t>with a CAGR of 14.3%. RailVision's position as the third-largest player offers growth potential.</w:t>
      </w:r>
    </w:p>
    <w:p/>
    <w:p>
      <w:pPr>
        <w:pStyle w:val="Heading2"/>
      </w:pPr>
      <w:r>
        <w:rPr>
          <w:color w:val="4472C4"/>
          <w:sz w:val="32"/>
        </w:rPr>
        <w:t>Competitor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  <w:gridCol w:w="3024"/>
      </w:tblGrid>
      <w:tr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Competitor</w:t>
            </w:r>
          </w:p>
        </w:tc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Market Share</w:t>
            </w:r>
          </w:p>
        </w:tc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Strengths</w:t>
            </w:r>
          </w:p>
        </w:tc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Weaknesses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Wabtec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Scale, customer relationships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Legacy systems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Hitachi Rail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Global reach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Limited US presence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RailVision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Advanced AI analytics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Low brand awareness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Siemens Mobility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Strong in Europe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Late US entry</w:t>
            </w:r>
          </w:p>
        </w:tc>
      </w:tr>
    </w:tbl>
    <w:p/>
    <w:p>
      <w:pPr>
        <w:pStyle w:val="Heading3"/>
      </w:pPr>
      <w:r>
        <w:rPr>
          <w:color w:val="708EDA"/>
          <w:sz w:val="28"/>
        </w:rPr>
        <w:t>Market Trends</w:t>
      </w:r>
    </w:p>
    <w:p>
      <w:pPr>
        <w:pStyle w:val="ListBullet"/>
      </w:pPr>
      <w:r>
        <w:t>Consolidation of market leaders</w:t>
      </w:r>
    </w:p>
    <w:p>
      <w:pPr>
        <w:pStyle w:val="ListBullet"/>
      </w:pPr>
      <w:r>
        <w:t>Acceleration in tech adoption by rail operators</w:t>
      </w:r>
    </w:p>
    <w:p/>
    <w:p>
      <w:pPr>
        <w:pStyle w:val="Heading3"/>
      </w:pPr>
      <w:r>
        <w:rPr>
          <w:color w:val="708EDA"/>
          <w:sz w:val="28"/>
        </w:rPr>
        <w:t>Market Share Distribution</w:t>
      </w:r>
    </w:p>
    <w:p>
      <w:pPr>
        <w:jc w:val="center"/>
      </w:pPr>
      <w:r>
        <w:t>Wabtec: 22%  |  Hitachi Rail: 15%  |  RailVision: 7.5%  |  Siemens Mobility: 6%  |  Others: 49.5%</w:t>
      </w:r>
    </w:p>
    <w:p/>
    <w:p>
      <w:pPr>
        <w:pStyle w:val="Heading1"/>
        <w:pBdr>
          <w:bottom w:val="single" w:sz="12" w:space="1" w:color="4472C4"/>
        </w:pBdr>
      </w:pPr>
      <w:r>
        <w:rPr>
          <w:color w:val="1F497D"/>
          <w:sz w:val="48"/>
        </w:rPr>
        <w:t>4. Strategic Options</w:t>
      </w:r>
    </w:p>
    <w:p>
      <w:r>
        <w:t>RailVision has several strategic options, including geographic expansion, deepening product offerings, and forming strategic partnerships.</w:t>
      </w:r>
    </w:p>
    <w:p/>
    <w:p>
      <w:pPr>
        <w:pStyle w:val="Heading2"/>
      </w:pPr>
      <w:r>
        <w:rPr>
          <w:color w:val="4472C4"/>
          <w:sz w:val="32"/>
        </w:rPr>
        <w:t>Potential Strategies</w:t>
      </w:r>
    </w:p>
    <w:p>
      <w:pPr>
        <w:pStyle w:val="ListNumber"/>
      </w:pPr>
      <w:r>
        <w:rPr>
          <w:b/>
        </w:rPr>
        <w:t xml:space="preserve">Geographic Expansion: </w:t>
      </w:r>
      <w:r>
        <w:t>Increase presence in Midwest corridors.</w:t>
      </w:r>
    </w:p>
    <w:p>
      <w:pPr>
        <w:pStyle w:val="ListNumber"/>
      </w:pPr>
      <w:r>
        <w:rPr>
          <w:b/>
        </w:rPr>
        <w:t xml:space="preserve">Product Deepening: </w:t>
      </w:r>
      <w:r>
        <w:t>Enhance AI platform capabilities.</w:t>
      </w:r>
    </w:p>
    <w:p>
      <w:pPr>
        <w:pStyle w:val="ListNumber"/>
      </w:pPr>
      <w:r>
        <w:rPr>
          <w:b/>
        </w:rPr>
        <w:t xml:space="preserve">Strategic Partnerships: </w:t>
      </w:r>
      <w:r>
        <w:t>Establish alliances with Class I railroads.</w:t>
      </w:r>
    </w:p>
    <w:p/>
    <w:p>
      <w:pPr>
        <w:pStyle w:val="Heading3"/>
      </w:pPr>
      <w:r>
        <w:rPr>
          <w:color w:val="708EDA"/>
          <w:sz w:val="28"/>
        </w:rPr>
        <w:t>Implementation Considerations</w:t>
      </w:r>
    </w:p>
    <w:p>
      <w:pPr>
        <w:pStyle w:val="ListBullet"/>
      </w:pPr>
      <w:r>
        <w:t>Each strategy details implementation steps, expected outcomes, and resource allocation.</w:t>
      </w:r>
    </w:p>
    <w:p/>
    <w:p>
      <w:pPr>
        <w:pStyle w:val="Heading1"/>
        <w:pBdr>
          <w:bottom w:val="single" w:sz="12" w:space="1" w:color="4472C4"/>
        </w:pBdr>
      </w:pPr>
      <w:r>
        <w:rPr>
          <w:color w:val="1F497D"/>
          <w:sz w:val="48"/>
        </w:rPr>
        <w:t>5. Recommended Approach</w:t>
      </w:r>
    </w:p>
    <w:p>
      <w:r>
        <w:t>The recommended strategy involves a phased approach focusing on geographic expansion and strategic partnerships, with emphasis on securing anchor customers to validate technology and drive market momentum.</w:t>
      </w:r>
    </w:p>
    <w:p/>
    <w:p>
      <w:pPr>
        <w:pStyle w:val="Heading2"/>
      </w:pPr>
      <w:r>
        <w:rPr>
          <w:color w:val="4472C4"/>
          <w:sz w:val="32"/>
        </w:rPr>
        <w:t>Implementation Phases</w:t>
      </w:r>
    </w:p>
    <w:p>
      <w:pPr>
        <w:pStyle w:val="ListNumber"/>
      </w:pPr>
      <w:r>
        <w:rPr>
          <w:b/>
        </w:rPr>
        <w:t xml:space="preserve">Phase 1: </w:t>
      </w:r>
      <w:r>
        <w:t>Secure pilot contracts with key rail operators.</w:t>
      </w:r>
    </w:p>
    <w:p>
      <w:pPr>
        <w:pStyle w:val="ListNumber"/>
      </w:pPr>
      <w:r>
        <w:rPr>
          <w:b/>
        </w:rPr>
        <w:t xml:space="preserve">Phase 2: </w:t>
      </w:r>
      <w:r>
        <w:t>Scale operations across Midwest.</w:t>
      </w:r>
    </w:p>
    <w:p>
      <w:pPr>
        <w:pStyle w:val="ListNumber"/>
      </w:pPr>
      <w:r>
        <w:rPr>
          <w:b/>
        </w:rPr>
        <w:t xml:space="preserve">Phase 3: </w:t>
      </w:r>
      <w:r>
        <w:t>Expand globally with a focus on technological leadership.</w:t>
      </w:r>
    </w:p>
    <w:p/>
    <w:p>
      <w:pPr>
        <w:pStyle w:val="Heading2"/>
      </w:pPr>
      <w:r>
        <w:rPr>
          <w:color w:val="4472C4"/>
          <w:sz w:val="32"/>
        </w:rPr>
        <w:t>Phased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Phase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Timeline</w:t>
            </w:r>
          </w:p>
        </w:tc>
        <w:tc>
          <w:tcPr>
            <w:tcW w:type="dxa" w:w="288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Key Actions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Phase 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2025 Q1-Q2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Union Pacific contract, pilot projects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Phase 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2025 Q3-Q4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Midwest market entry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Phase 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2026-2027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Global expansion</w:t>
            </w:r>
          </w:p>
        </w:tc>
      </w:tr>
    </w:tbl>
    <w:p/>
    <w:p>
      <w:pPr>
        <w:pStyle w:val="Heading1"/>
        <w:pBdr>
          <w:bottom w:val="single" w:sz="12" w:space="1" w:color="4472C4"/>
        </w:pBdr>
      </w:pPr>
      <w:r>
        <w:rPr>
          <w:color w:val="1F497D"/>
          <w:sz w:val="48"/>
        </w:rPr>
        <w:t>6. Risk Assessment</w:t>
      </w:r>
    </w:p>
    <w:p>
      <w:r>
        <w:t>Risk management is critical to RailVision's strategy execution, identifying internal and external risks unique to rail technology deployment.</w:t>
      </w:r>
    </w:p>
    <w:p/>
    <w:p>
      <w:pPr>
        <w:pStyle w:val="Heading2"/>
      </w:pPr>
      <w:r>
        <w:rPr>
          <w:color w:val="4472C4"/>
          <w:sz w:val="32"/>
        </w:rPr>
        <w:t>Key Risks</w:t>
      </w:r>
    </w:p>
    <w:p>
      <w:pPr>
        <w:pStyle w:val="ListBullet"/>
      </w:pPr>
      <w:r>
        <w:rPr>
          <w:b/>
        </w:rPr>
        <w:t xml:space="preserve">Market Risks: </w:t>
      </w:r>
      <w:r>
        <w:t>Economic downturn affecting infrastructure investment.</w:t>
      </w:r>
    </w:p>
    <w:p>
      <w:pPr>
        <w:pStyle w:val="ListBullet"/>
      </w:pPr>
      <w:r>
        <w:rPr>
          <w:b/>
        </w:rPr>
        <w:t xml:space="preserve">Operational Risks: </w:t>
      </w:r>
      <w:r>
        <w:t>Deployment delays due to technology integration.</w:t>
      </w:r>
    </w:p>
    <w:p>
      <w:pPr>
        <w:pStyle w:val="ListBullet"/>
      </w:pPr>
      <w:r>
        <w:rPr>
          <w:b/>
        </w:rPr>
        <w:t xml:space="preserve">Strategic Risks: </w:t>
      </w:r>
      <w:r>
        <w:t>Inadequate partnerships or collaborations.</w:t>
      </w:r>
    </w:p>
    <w:p/>
    <w:p>
      <w:pPr>
        <w:pStyle w:val="Heading3"/>
      </w:pPr>
      <w:r>
        <w:rPr>
          <w:color w:val="708EDA"/>
          <w:sz w:val="28"/>
        </w:rPr>
        <w:t>Risk Mitigation Strategies</w:t>
      </w:r>
    </w:p>
    <w:p>
      <w:pPr>
        <w:pStyle w:val="ListBullet"/>
      </w:pPr>
      <w:r>
        <w:t>Diversify market presence to reduce dependency on any single client.</w:t>
      </w:r>
    </w:p>
    <w:p>
      <w:pPr>
        <w:pStyle w:val="ListBullet"/>
      </w:pPr>
      <w:r>
        <w:t>Strengthen technical support and training for implementation efficiency.</w:t>
      </w:r>
    </w:p>
    <w:p>
      <w:pPr>
        <w:pStyle w:val="ListBullet"/>
      </w:pPr>
      <w:r>
        <w:t>Build a robust partnership ecosystem to enhance market credibility.</w:t>
      </w:r>
    </w:p>
    <w:p/>
    <w:p>
      <w:pPr>
        <w:pStyle w:val="Heading2"/>
      </w:pPr>
      <w:r>
        <w:rPr>
          <w:color w:val="4472C4"/>
          <w:sz w:val="32"/>
        </w:rPr>
        <w:t>Risk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  <w:gridCol w:w="3024"/>
      </w:tblGrid>
      <w:tr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Risk</w:t>
            </w:r>
          </w:p>
        </w:tc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Probability</w:t>
            </w:r>
          </w:p>
        </w:tc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Impact</w:t>
            </w:r>
          </w:p>
        </w:tc>
        <w:tc>
          <w:tcPr>
            <w:tcW w:type="dxa" w:w="2160"/>
            <w:shd w:fill="D5E8F0"/>
          </w:tcPr>
          <w:p>
            <w:pPr>
              <w:jc w:val="center"/>
            </w:pPr>
            <w:r>
              <w:rPr>
                <w:b/>
                <w:color w:val="1F497D"/>
              </w:rPr>
              <w:t>Mitigation Strategy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Market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Diverse market presence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Operational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Enhancement of tech support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Strategic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Develop partnership networks</w:t>
            </w:r>
          </w:p>
        </w:tc>
      </w:tr>
    </w:tbl>
    <w:p/>
    <w:p>
      <w:pPr>
        <w:pStyle w:val="Heading1"/>
        <w:pBdr>
          <w:bottom w:val="single" w:sz="12" w:space="1" w:color="4472C4"/>
        </w:pBdr>
      </w:pPr>
      <w:r>
        <w:rPr>
          <w:color w:val="1F497D"/>
          <w:sz w:val="48"/>
        </w:rPr>
        <w:t>7. Next Steps &amp; Action Items</w:t>
      </w:r>
    </w:p>
    <w:p>
      <w:r>
        <w:t>To capitalize on strategic opportunities, the next steps involve:</w:t>
      </w:r>
    </w:p>
    <w:p/>
    <w:p>
      <w:pPr>
        <w:pStyle w:val="ListNumber"/>
      </w:pPr>
      <w:r>
        <w:rPr>
          <w:b/>
        </w:rPr>
        <w:t xml:space="preserve">Secure Key Contracts: </w:t>
      </w:r>
      <w:r>
        <w:t>Focus on large rail operators to validate technology.</w:t>
      </w:r>
    </w:p>
    <w:p>
      <w:pPr>
        <w:pStyle w:val="ListNumber"/>
      </w:pPr>
      <w:r>
        <w:rPr>
          <w:b/>
        </w:rPr>
        <w:t xml:space="preserve">Market Expansion: </w:t>
      </w:r>
      <w:r>
        <w:t>Penetrate the Midwest market aggressively.</w:t>
      </w:r>
    </w:p>
    <w:p>
      <w:pPr>
        <w:pStyle w:val="ListNumber"/>
      </w:pPr>
      <w:r>
        <w:rPr>
          <w:b/>
        </w:rPr>
        <w:t xml:space="preserve">Technology Innovation: </w:t>
      </w:r>
      <w:r>
        <w:t>Continue R&amp;D to enhance AI systems.</w:t>
      </w:r>
    </w:p>
    <w:p>
      <w:pPr>
        <w:pStyle w:val="ListNumber"/>
      </w:pPr>
      <w:r>
        <w:rPr>
          <w:b/>
        </w:rPr>
        <w:t xml:space="preserve">Partnership Development: </w:t>
      </w:r>
      <w:r>
        <w:t>Identify and secure strategic partners.</w:t>
      </w:r>
    </w:p>
    <w:p/>
    <w:p>
      <w:pPr>
        <w:pStyle w:val="Heading2"/>
      </w:pPr>
      <w:r>
        <w:rPr>
          <w:color w:val="4472C4"/>
          <w:sz w:val="32"/>
        </w:rPr>
        <w:t>Responsibilities and Timelines</w:t>
      </w:r>
    </w:p>
    <w:p>
      <w:pPr>
        <w:pStyle w:val="ListBullet"/>
      </w:pPr>
      <w:r>
        <w:t xml:space="preserve">Executive team to lead contract negotiations by </w:t>
      </w:r>
      <w:r>
        <w:rPr>
          <w:b/>
        </w:rPr>
        <w:t>Q2 2025</w:t>
      </w:r>
      <w:r>
        <w:t>.</w:t>
      </w:r>
    </w:p>
    <w:p>
      <w:pPr>
        <w:pStyle w:val="ListBullet"/>
      </w:pPr>
      <w:r>
        <w:t>Marketing and Sales to drive expansion initiatives through distinct regional strategies.</w:t>
      </w:r>
    </w:p>
    <w:p/>
    <w:p/>
    <w:p>
      <w:pPr>
        <w:jc w:val="center"/>
      </w:pPr>
      <w:r>
        <w:rPr>
          <w:color w:val="C0C0C0"/>
        </w:rPr>
        <w:t>---</w:t>
      </w:r>
    </w:p>
    <w:p>
      <w:pPr>
        <w:jc w:val="center"/>
      </w:pPr>
      <w:r>
        <w:rPr>
          <w:color w:val="808080"/>
          <w:sz w:val="18"/>
        </w:rPr>
        <w:t>Document prepared for RailVision Leadership Team | Strategic Planning Initiative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