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5B6"/>
          <w:sz w:val="56"/>
        </w:rPr>
        <w:t>RailVision Strategic Growth Report 2023-2025</w:t>
      </w:r>
    </w:p>
    <w:p>
      <w:pPr>
        <w:pStyle w:val="Heading1"/>
      </w:pPr>
      <w:r>
        <w:rPr>
          <w:color w:val="2E75B6"/>
        </w:rPr>
        <w:t>Executive Summary</w:t>
      </w:r>
    </w:p>
    <w:p>
      <w:r>
        <w:rPr>
          <w:b/>
        </w:rPr>
        <w:t>RailVision</w:t>
      </w:r>
      <w:r>
        <w:t xml:space="preserve"> faces a unique opportunity to expand its market presence in the predictive rail maintenance industry, projected to be worth </w:t>
      </w:r>
      <w:r>
        <w:rPr>
          <w:b/>
        </w:rPr>
        <w:t>$2.4 billion</w:t>
      </w:r>
      <w:r>
        <w:t xml:space="preserve">. Key strategies are proposed to achieve a </w:t>
      </w:r>
      <w:r>
        <w:rPr>
          <w:b/>
        </w:rPr>
        <w:t>340% market growth</w:t>
      </w:r>
      <w:r>
        <w:t>, outpacing industry averages by targeting technology innovations and geographic expansions. The recommended actions are based on comprehensive industry analyses, enhancing RailVision's competitive edge in a rapidly transforming field. The primary initiative focuses on securing strategic partnerships with major rail operators, which can potentially unlock $500M in revenue over three years.</w:t>
      </w:r>
    </w:p>
    <w:p>
      <w:pPr>
        <w:pStyle w:val="Heading1"/>
      </w:pPr>
      <w:r>
        <w:rPr>
          <w:color w:val="2E75B6"/>
        </w:rPr>
        <w:t>Situation Analysis</w:t>
      </w:r>
    </w:p>
    <w:p>
      <w:pPr>
        <w:pStyle w:val="Heading2"/>
      </w:pPr>
      <w:r>
        <w:t>Current Market Position</w:t>
      </w:r>
    </w:p>
    <w:p>
      <w:r>
        <w:t xml:space="preserve">RailVision is currently positioned as the </w:t>
      </w:r>
      <w:r>
        <w:rPr>
          <w:b/>
        </w:rPr>
        <w:t>#3 player</w:t>
      </w:r>
      <w:r>
        <w:t xml:space="preserve"> in the North American predictive rail maintenance market. With strengths in AI-driven technologies, the company enjoys a market share of 7.5%.</w:t>
      </w:r>
    </w:p>
    <w:p>
      <w:pPr>
        <w:pStyle w:val="Heading2"/>
      </w:pPr>
      <w:r>
        <w:t>Internal Strengths</w:t>
      </w:r>
    </w:p>
    <w:p>
      <w:pPr>
        <w:pStyle w:val="ListBullet"/>
      </w:pPr>
      <w:r>
        <w:rPr>
          <w:b/>
        </w:rPr>
        <w:t xml:space="preserve">Innovation: </w:t>
      </w:r>
      <w:r>
        <w:t xml:space="preserve">RailVision's sensor fusion technology offers a </w:t>
      </w:r>
      <w:r>
        <w:rPr>
          <w:b/>
        </w:rPr>
        <w:t>3.2x higher defect detection</w:t>
      </w:r>
      <w:r>
        <w:t xml:space="preserve"> than conventional systems.</w:t>
      </w:r>
    </w:p>
    <w:p>
      <w:pPr>
        <w:pStyle w:val="ListBullet"/>
      </w:pPr>
      <w:r>
        <w:rPr>
          <w:b/>
        </w:rPr>
        <w:t xml:space="preserve">Market Recognition: </w:t>
      </w:r>
      <w:r>
        <w:t xml:space="preserve">Our solutions are recognized for </w:t>
      </w:r>
      <w:r>
        <w:rPr>
          <w:b/>
        </w:rPr>
        <w:t>superior accuracy</w:t>
      </w:r>
      <w:r>
        <w:t xml:space="preserve"> and fast deployment timelines.</w:t>
      </w:r>
    </w:p>
    <w:p>
      <w:pPr>
        <w:pStyle w:val="Heading2"/>
      </w:pPr>
      <w:r>
        <w:t>Challenges</w:t>
      </w:r>
    </w:p>
    <w:p>
      <w:pPr>
        <w:pStyle w:val="ListBullet"/>
      </w:pPr>
      <w:r>
        <w:rPr>
          <w:b/>
        </w:rPr>
        <w:t xml:space="preserve">Brand Awareness: </w:t>
      </w:r>
      <w:r>
        <w:t>Increased efforts are needed to enhance market penetration and brand visibility.</w:t>
      </w:r>
    </w:p>
    <w:p>
      <w:pPr>
        <w:pStyle w:val="ListBullet"/>
      </w:pPr>
      <w:r>
        <w:rPr>
          <w:b/>
        </w:rPr>
        <w:t xml:space="preserve">Scalability: </w:t>
      </w:r>
      <w:r>
        <w:t>Focus on scalable solutions to meet increasing demand without compromising quality.</w:t>
      </w:r>
    </w:p>
    <w:p>
      <w:pPr>
        <w:pStyle w:val="Heading1"/>
      </w:pPr>
      <w:r>
        <w:rPr>
          <w:color w:val="2E75B6"/>
        </w:rPr>
        <w:t>Market Landscape</w:t>
      </w:r>
    </w:p>
    <w:p>
      <w:pPr>
        <w:pStyle w:val="Heading2"/>
      </w:pPr>
      <w:r>
        <w:t>Market Trends</w:t>
      </w:r>
    </w:p>
    <w:p>
      <w:r>
        <w:t>The predictive maintenance segment is undergoing significant transformation, driven by technology adoption and regulatory changes.</w:t>
      </w:r>
    </w:p>
    <w:p>
      <w:pPr>
        <w:pStyle w:val="Heading2"/>
      </w:pPr>
      <w:r>
        <w:t>Competitive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2E75B6"/>
          </w:tcPr>
          <w:p>
            <w:r>
              <w:rPr>
                <w:b/>
                <w:color w:val="FFFFFF"/>
              </w:rPr>
              <w:t>Company</w:t>
            </w:r>
          </w:p>
        </w:tc>
        <w:tc>
          <w:tcPr>
            <w:tcW w:type="dxa" w:w="1728"/>
            <w:shd w:fill="2E75B6"/>
          </w:tcPr>
          <w:p>
            <w:r>
              <w:rPr>
                <w:b/>
                <w:color w:val="FFFFFF"/>
              </w:rPr>
              <w:t>Market Share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Strengths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Weaknesses</w:t>
            </w:r>
          </w:p>
        </w:tc>
      </w:tr>
      <w:tr>
        <w:tc>
          <w:tcPr>
            <w:tcW w:type="dxa" w:w="2160"/>
          </w:tcPr>
          <w:p>
            <w:r>
              <w:t>Wabtec</w:t>
            </w:r>
          </w:p>
        </w:tc>
        <w:tc>
          <w:tcPr>
            <w:tcW w:type="dxa" w:w="1728"/>
          </w:tcPr>
          <w:p>
            <w:r>
              <w:t>22%</w:t>
            </w:r>
          </w:p>
        </w:tc>
        <w:tc>
          <w:tcPr>
            <w:tcW w:type="dxa" w:w="2880"/>
          </w:tcPr>
          <w:p>
            <w:r>
              <w:t>Established relationships, scale</w:t>
            </w:r>
          </w:p>
        </w:tc>
        <w:tc>
          <w:tcPr>
            <w:tcW w:type="dxa" w:w="2880"/>
          </w:tcPr>
          <w:p>
            <w:r>
              <w:t>Slow innovation, technology lag</w:t>
            </w:r>
          </w:p>
        </w:tc>
      </w:tr>
      <w:tr>
        <w:tc>
          <w:tcPr>
            <w:tcW w:type="dxa" w:w="2160"/>
          </w:tcPr>
          <w:p>
            <w:r>
              <w:t>Hitachi Rail</w:t>
            </w:r>
          </w:p>
        </w:tc>
        <w:tc>
          <w:tcPr>
            <w:tcW w:type="dxa" w:w="1728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Strong R&amp;D, global presence</w:t>
            </w:r>
          </w:p>
        </w:tc>
        <w:tc>
          <w:tcPr>
            <w:tcW w:type="dxa" w:w="2880"/>
          </w:tcPr>
          <w:p>
            <w:r>
              <w:t>Limited North American focus</w:t>
            </w:r>
          </w:p>
        </w:tc>
      </w:tr>
      <w:tr>
        <w:tc>
          <w:tcPr>
            <w:tcW w:type="dxa" w:w="2160"/>
          </w:tcPr>
          <w:p>
            <w:r>
              <w:t>RailVision</w:t>
            </w:r>
          </w:p>
        </w:tc>
        <w:tc>
          <w:tcPr>
            <w:tcW w:type="dxa" w:w="1728"/>
          </w:tcPr>
          <w:p>
            <w:r>
              <w:t>7.5%</w:t>
            </w:r>
          </w:p>
        </w:tc>
        <w:tc>
          <w:tcPr>
            <w:tcW w:type="dxa" w:w="2880"/>
          </w:tcPr>
          <w:p>
            <w:r>
              <w:t>Fast deployment, cost-effective</w:t>
            </w:r>
          </w:p>
        </w:tc>
        <w:tc>
          <w:tcPr>
            <w:tcW w:type="dxa" w:w="2880"/>
          </w:tcPr>
          <w:p>
            <w:r>
              <w:t>Lower brand recognition</w:t>
            </w:r>
          </w:p>
        </w:tc>
      </w:tr>
    </w:tbl>
    <w:p/>
    <w:p>
      <w:r>
        <w:rPr>
          <w:i/>
        </w:rPr>
        <w:t>Note: Market Share Distribution includes Siemens Mobility (6%) and Others (49.5%)</w:t>
      </w:r>
    </w:p>
    <w:p>
      <w:pPr>
        <w:pStyle w:val="Heading2"/>
      </w:pPr>
      <w:r>
        <w:t>Opportunities</w:t>
      </w:r>
    </w:p>
    <w:p>
      <w:r>
        <w:t>The expansion and modernization of North American rail infrastructure provide a strong platform for our AI-driven predictive maintenance solutions.</w:t>
      </w:r>
    </w:p>
    <w:p>
      <w:pPr>
        <w:pStyle w:val="Heading1"/>
      </w:pPr>
      <w:r>
        <w:rPr>
          <w:color w:val="2E75B6"/>
        </w:rPr>
        <w:t>Strategic Options</w:t>
      </w:r>
    </w:p>
    <w:p>
      <w:pPr>
        <w:pStyle w:val="Heading2"/>
      </w:pPr>
      <w:r>
        <w:t>Option 1: Geographic Expansion</w:t>
      </w:r>
    </w:p>
    <w:p>
      <w:r>
        <w:rPr>
          <w:b/>
        </w:rPr>
        <w:t xml:space="preserve">Scope: </w:t>
      </w:r>
      <w:r>
        <w:t>Enter new markets in the Midwest region.</w:t>
      </w:r>
    </w:p>
    <w:p>
      <w:r>
        <w:rPr>
          <w:b/>
        </w:rPr>
        <w:t xml:space="preserve">Benefit: </w:t>
      </w:r>
      <w:r>
        <w:t>Leverage underserved areas to expand market share.</w:t>
      </w:r>
    </w:p>
    <w:p>
      <w:pPr>
        <w:pStyle w:val="Heading2"/>
      </w:pPr>
      <w:r>
        <w:t>Option 2: Technology Partnerships</w:t>
      </w:r>
    </w:p>
    <w:p>
      <w:r>
        <w:rPr>
          <w:b/>
        </w:rPr>
        <w:t xml:space="preserve">Scope: </w:t>
      </w:r>
      <w:r>
        <w:t>Partner with technology firms to enhance AI capabilities.</w:t>
      </w:r>
    </w:p>
    <w:p>
      <w:r>
        <w:rPr>
          <w:b/>
        </w:rPr>
        <w:t xml:space="preserve">Benefit: </w:t>
      </w:r>
      <w:r>
        <w:t>Accelerate innovation and improve competitive positioning.</w:t>
      </w:r>
    </w:p>
    <w:p>
      <w:pPr>
        <w:pStyle w:val="Heading2"/>
      </w:pPr>
      <w:r>
        <w:t>Option 3: Diversification</w:t>
      </w:r>
    </w:p>
    <w:p>
      <w:r>
        <w:rPr>
          <w:b/>
        </w:rPr>
        <w:t xml:space="preserve">Scope: </w:t>
      </w:r>
      <w:r>
        <w:t>Diversify offerings to include rail maintenance solutions.</w:t>
      </w:r>
    </w:p>
    <w:p>
      <w:r>
        <w:rPr>
          <w:b/>
        </w:rPr>
        <w:t xml:space="preserve">Benefit: </w:t>
      </w:r>
      <w:r>
        <w:t>Enhance customer reach and reduce market risks.</w:t>
      </w:r>
    </w:p>
    <w:p>
      <w:pPr>
        <w:pStyle w:val="Heading1"/>
      </w:pPr>
      <w:r>
        <w:rPr>
          <w:color w:val="2E75B6"/>
        </w:rPr>
        <w:t>Recommended Approach</w:t>
      </w:r>
    </w:p>
    <w:p>
      <w:r>
        <w:t xml:space="preserve">Based on the analysis, </w:t>
      </w:r>
      <w:r>
        <w:rPr>
          <w:b/>
        </w:rPr>
        <w:t>Geographic Expansion</w:t>
      </w:r>
      <w:r>
        <w:t xml:space="preserve"> is recommended as the primary strategy. By focusing on the Midwest corridor, RailVision can penetrate new markets rapidly and increase its customer base.</w:t>
      </w:r>
    </w:p>
    <w:p>
      <w:pPr>
        <w:pStyle w:val="Heading2"/>
      </w:pPr>
      <w:r>
        <w:t>Why This Strategy?</w:t>
      </w:r>
    </w:p>
    <w:p>
      <w:pPr>
        <w:pStyle w:val="ListBullet"/>
      </w:pPr>
      <w:r>
        <w:rPr>
          <w:b/>
        </w:rPr>
        <w:t xml:space="preserve">Market Demand: </w:t>
      </w:r>
      <w:r>
        <w:t>Significant demand in underdeveloped routes ready for modernization.</w:t>
      </w:r>
    </w:p>
    <w:p>
      <w:pPr>
        <w:pStyle w:val="ListBullet"/>
      </w:pPr>
      <w:r>
        <w:rPr>
          <w:b/>
        </w:rPr>
        <w:t xml:space="preserve">Competitive Advantage: </w:t>
      </w:r>
      <w:r>
        <w:t>Our superior technology is aligned with needs in these regions.</w:t>
      </w:r>
    </w:p>
    <w:p>
      <w:pPr>
        <w:pStyle w:val="Heading1"/>
      </w:pPr>
      <w:r>
        <w:rPr>
          <w:color w:val="2E75B6"/>
        </w:rPr>
        <w:t>Implementation Roadmap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2E75B6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3600"/>
            <w:shd w:fill="2E75B6"/>
          </w:tcPr>
          <w:p>
            <w:r>
              <w:rPr>
                <w:b/>
                <w:color w:val="FFFFFF"/>
              </w:rPr>
              <w:t>Key Milestones</w:t>
            </w:r>
          </w:p>
        </w:tc>
        <w:tc>
          <w:tcPr>
            <w:tcW w:type="dxa" w:w="2160"/>
            <w:shd w:fill="2E75B6"/>
          </w:tcPr>
          <w:p>
            <w:r>
              <w:rPr>
                <w:b/>
                <w:color w:val="FFFFFF"/>
              </w:rPr>
              <w:t>Timeline</w:t>
            </w:r>
          </w:p>
        </w:tc>
      </w:tr>
      <w:tr>
        <w:tc>
          <w:tcPr>
            <w:tcW w:type="dxa" w:w="2160"/>
          </w:tcPr>
          <w:p>
            <w:r>
              <w:t>Phase 1</w:t>
            </w:r>
          </w:p>
        </w:tc>
        <w:tc>
          <w:tcPr>
            <w:tcW w:type="dxa" w:w="3600"/>
          </w:tcPr>
          <w:p>
            <w:r>
              <w:t>Assess Target Regions</w:t>
            </w:r>
          </w:p>
        </w:tc>
        <w:tc>
          <w:tcPr>
            <w:tcW w:type="dxa" w:w="2160"/>
          </w:tcPr>
          <w:p>
            <w:r>
              <w:t>Q1 2023</w:t>
            </w:r>
          </w:p>
        </w:tc>
      </w:tr>
      <w:tr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3600"/>
          </w:tcPr>
          <w:p>
            <w:r>
              <w:t>Secure Partnerships</w:t>
            </w:r>
          </w:p>
        </w:tc>
        <w:tc>
          <w:tcPr>
            <w:tcW w:type="dxa" w:w="2160"/>
          </w:tcPr>
          <w:p>
            <w:r>
              <w:t>Q2 2023</w:t>
            </w:r>
          </w:p>
        </w:tc>
      </w:tr>
      <w:tr>
        <w:tc>
          <w:tcPr>
            <w:tcW w:type="dxa" w:w="2160"/>
          </w:tcPr>
          <w:p>
            <w:r>
              <w:t>Phase 3</w:t>
            </w:r>
          </w:p>
        </w:tc>
        <w:tc>
          <w:tcPr>
            <w:tcW w:type="dxa" w:w="3600"/>
          </w:tcPr>
          <w:p>
            <w:r>
              <w:t>Launch Pilot Projects</w:t>
            </w:r>
          </w:p>
        </w:tc>
        <w:tc>
          <w:tcPr>
            <w:tcW w:type="dxa" w:w="2160"/>
          </w:tcPr>
          <w:p>
            <w:r>
              <w:t>Q3 2023</w:t>
            </w:r>
          </w:p>
        </w:tc>
      </w:tr>
      <w:tr>
        <w:tc>
          <w:tcPr>
            <w:tcW w:type="dxa" w:w="2160"/>
          </w:tcPr>
          <w:p>
            <w:r>
              <w:t>Phase 4</w:t>
            </w:r>
          </w:p>
        </w:tc>
        <w:tc>
          <w:tcPr>
            <w:tcW w:type="dxa" w:w="3600"/>
          </w:tcPr>
          <w:p>
            <w:r>
              <w:t>Full-scale Deployment</w:t>
            </w:r>
          </w:p>
        </w:tc>
        <w:tc>
          <w:tcPr>
            <w:tcW w:type="dxa" w:w="2160"/>
          </w:tcPr>
          <w:p>
            <w:r>
              <w:t>Q1 2024</w:t>
            </w:r>
          </w:p>
        </w:tc>
      </w:tr>
    </w:tbl>
    <w:p/>
    <w:p>
      <w:pPr>
        <w:pStyle w:val="Heading2"/>
      </w:pPr>
      <w:r>
        <w:t>Execution Details</w:t>
      </w:r>
    </w:p>
    <w:p>
      <w:r>
        <w:t>Each phase includes specific roles, resource allocations, and reporting mechanisms to ensure accountability and progress tracking.</w:t>
      </w:r>
    </w:p>
    <w:p>
      <w:pPr>
        <w:pStyle w:val="Heading1"/>
      </w:pPr>
      <w:r>
        <w:rPr>
          <w:color w:val="2E75B6"/>
        </w:rPr>
        <w:t>Risk Assessment</w:t>
      </w:r>
    </w:p>
    <w:p>
      <w:pPr>
        <w:pStyle w:val="Heading2"/>
      </w:pPr>
      <w:r>
        <w:t>Key Risks</w:t>
      </w:r>
    </w:p>
    <w:p>
      <w:pPr>
        <w:pStyle w:val="ListBullet"/>
      </w:pPr>
      <w:r>
        <w:rPr>
          <w:b/>
        </w:rPr>
        <w:t xml:space="preserve">Market Entry Delays: </w:t>
      </w:r>
      <w:r>
        <w:t>Potential regulatory hurdles in new regions.</w:t>
      </w:r>
    </w:p>
    <w:p>
      <w:pPr>
        <w:pStyle w:val="ListBullet"/>
      </w:pPr>
      <w:r>
        <w:rPr>
          <w:b/>
        </w:rPr>
        <w:t xml:space="preserve">Technology Adoption: </w:t>
      </w:r>
      <w:r>
        <w:t>Resistance from traditional operators.</w:t>
      </w:r>
    </w:p>
    <w:p>
      <w:pPr>
        <w:pStyle w:val="Heading2"/>
      </w:pPr>
      <w:r>
        <w:t>Mitigation Strategies</w:t>
      </w:r>
    </w:p>
    <w:p>
      <w:pPr>
        <w:pStyle w:val="ListBullet"/>
      </w:pPr>
      <w:r>
        <w:rPr>
          <w:b/>
        </w:rPr>
        <w:t xml:space="preserve">Regulatory Strategy: </w:t>
      </w:r>
      <w:r>
        <w:t>Early engagement with policymakers to streamline entry.</w:t>
      </w:r>
    </w:p>
    <w:p>
      <w:pPr>
        <w:pStyle w:val="ListBullet"/>
      </w:pPr>
      <w:r>
        <w:rPr>
          <w:b/>
        </w:rPr>
        <w:t xml:space="preserve">Adoption Incentives: </w:t>
      </w:r>
      <w:r>
        <w:t>Tailored solutions and incentives to encourage adoption.</w:t>
      </w:r>
    </w:p>
    <w:p>
      <w:pPr>
        <w:pStyle w:val="Heading1"/>
      </w:pPr>
      <w:r>
        <w:rPr>
          <w:color w:val="2E75B6"/>
        </w:rPr>
        <w:t>Next Steps &amp; Action Items</w:t>
      </w:r>
    </w:p>
    <w:p>
      <w:pPr>
        <w:pStyle w:val="ListBullet"/>
      </w:pPr>
      <w:r>
        <w:rPr>
          <w:b/>
        </w:rPr>
        <w:t xml:space="preserve">Immediate Focus: </w:t>
      </w:r>
      <w:r>
        <w:t>Begin engagement with Midwest regional operators and stakeholders.</w:t>
      </w:r>
    </w:p>
    <w:p>
      <w:pPr>
        <w:pStyle w:val="ListBullet"/>
      </w:pPr>
      <w:r>
        <w:rPr>
          <w:b/>
        </w:rPr>
        <w:t xml:space="preserve">Resource Allocation: </w:t>
      </w:r>
      <w:r>
        <w:t>Assemble a dedicated team for strategic expansion.</w:t>
      </w:r>
    </w:p>
    <w:p>
      <w:pPr>
        <w:pStyle w:val="ListBullet"/>
      </w:pPr>
      <w:r>
        <w:rPr>
          <w:b/>
        </w:rPr>
        <w:t xml:space="preserve">Tracking and Review: </w:t>
      </w:r>
      <w:r>
        <w:t>Set up quarterly review sessions to assess progress and make necessary adjustments.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