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Strategic Analysis Report for RailVision</w:t>
      </w:r>
    </w:p>
    <w:p>
      <w:pPr>
        <w:spacing w:after="240"/>
      </w:pPr>
    </w:p>
    <w:p>
      <w:pPr>
        <w:pStyle w:val="Heading1"/>
      </w:pPr>
      <w:r>
        <w:t xml:space="preserve">Executive Summary</w:t>
      </w:r>
    </w:p>
    <w:p>
      <w:pPr>
        <w:spacing w:after="200"/>
      </w:pPr>
      <w:r>
        <w:rPr>
          <w:b/>
          <w:bCs/>
        </w:rPr>
        <w:t xml:space="preserve">RailVision is strategically positioned</w:t>
      </w:r>
      <w:r>
        <w:t xml:space="preserve"> to expand its influence within the railway technology sector. This strategic analysis report unveils the key market dynamics, potential strategies, and a comprehensive roadmap for expansion targeting shortline and Class I railroads. Our focus is to leverage industry-leading technology for operational data and track performance monitoring.</w:t>
      </w:r>
    </w:p>
    <w:p>
      <w:pPr>
        <w:pStyle w:val="Heading1"/>
      </w:pPr>
      <w:r>
        <w:t xml:space="preserve">Situation Analysis</w:t>
      </w:r>
    </w:p>
    <w:p>
      <w:pPr>
        <w:spacing w:after="200"/>
      </w:pPr>
      <w:r>
        <w:t xml:space="preserve">RailVision has a competitive edge in offering locomotive-agnostic software platforms specifically focused on enhancing operational efficiency and track performance monitoring. Operating in a sector characterized by legacy systems and technological inertia, RailVision has leveraged its AI capabilities to outperform traditional hardware-heavy solutions like Wabtec's Trip Optimizer.</w:t>
      </w:r>
    </w:p>
    <w:p>
      <w:pPr>
        <w:pStyle w:val="Heading2"/>
      </w:pPr>
      <w:r>
        <w:t xml:space="preserve">Key Strengths</w:t>
      </w:r>
    </w:p>
    <w:p>
      <w:pPr>
        <w:pStyle w:val="ListParagraph"/>
        <w:numPr>
          <w:ilvl w:val="0"/>
          <w:numId w:val="2"/>
        </w:numPr>
      </w:pPr>
      <w:r>
        <w:t xml:space="preserve">Locomotive-agnostic technology</w:t>
      </w:r>
    </w:p>
    <w:p>
      <w:pPr>
        <w:pStyle w:val="ListParagraph"/>
        <w:numPr>
          <w:ilvl w:val="0"/>
          <w:numId w:val="2"/>
        </w:numPr>
      </w:pPr>
      <w:r>
        <w:t xml:space="preserve">Powerful AI capabilities</w:t>
      </w:r>
    </w:p>
    <w:p>
      <w:pPr>
        <w:pStyle w:val="ListParagraph"/>
        <w:numPr>
          <w:ilvl w:val="0"/>
          <w:numId w:val="2"/>
        </w:numPr>
        <w:spacing w:after="200"/>
      </w:pPr>
      <w:r>
        <w:t xml:space="preserve">Strong focus on shortline segment</w:t>
      </w:r>
    </w:p>
    <w:p>
      <w:pPr>
        <w:pBdr>
          <w:left w:val="single" w:color="D5E8F0" w:sz="24" w:space="1"/>
        </w:pBdr>
        <w:spacing w:after="240"/>
        <w:ind w:left="360"/>
      </w:pPr>
      <w:r>
        <w:rPr>
          <w:i/>
          <w:iCs/>
        </w:rPr>
        <w:t xml:space="preserve">RailVision's emphasis on AI and data-driven insights presents a formidable alternative to traditional inspection and maintenance models.</w:t>
      </w:r>
    </w:p>
    <w:p>
      <w:pPr>
        <w:pStyle w:val="Heading1"/>
      </w:pPr>
      <w:r>
        <w:t xml:space="preserve">Market Landscape</w:t>
      </w:r>
    </w:p>
    <w:p>
      <w:pPr>
        <w:spacing w:after="200"/>
      </w:pPr>
      <w:r>
        <w:t xml:space="preserve">The North American railway market is primarily dominated by Class I railroads with an annual recurring revenue (ARR) of approximately $134 billion. RailVision has identified a potential ARR from these market segments of $113M-$142M annually, primarily driven by the operational efficiencies introduced through our proprietary technology.</w:t>
      </w:r>
    </w:p>
    <w:p>
      <w:pPr>
        <w:pStyle w:val="Heading2"/>
      </w:pPr>
      <w:r>
        <w:t xml:space="preserve">Competitive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Competitor</w:t>
            </w:r>
          </w:p>
        </w:tc>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Market Share</w:t>
            </w:r>
          </w:p>
        </w:tc>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Strategic Focus</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Wabtec</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Leading</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Integrated hardware solutions</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RailVision</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Emerging</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Software-centric innovation</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Holland</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Prospective Partner</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Maintenance and service focus</w:t>
            </w:r>
          </w:p>
        </w:tc>
      </w:tr>
    </w:tbl>
    <w:p>
      <w:pPr>
        <w:spacing w:after="240"/>
      </w:pPr>
    </w:p>
    <w:p>
      <w:pPr>
        <w:pStyle w:val="Heading1"/>
      </w:pPr>
      <w:r>
        <w:t xml:space="preserve">Strategic Options</w:t>
      </w:r>
    </w:p>
    <w:p>
      <w:pPr>
        <w:spacing w:after="120"/>
      </w:pPr>
      <w:r>
        <w:t xml:space="preserve">Potential strategic pathways for RailVision include:</w:t>
      </w:r>
    </w:p>
    <w:p>
      <w:pPr>
        <w:pStyle w:val="ListParagraph"/>
        <w:numPr>
          <w:ilvl w:val="0"/>
          <w:numId w:val="3"/>
        </w:numPr>
      </w:pPr>
      <w:r>
        <w:rPr>
          <w:b/>
          <w:bCs/>
        </w:rPr>
        <w:t xml:space="preserve">Partnership Expansion: </w:t>
      </w:r>
      <w:r>
        <w:t xml:space="preserve">Forge alliances with companies like Holland to co-sell offering synergies in complementary services.</w:t>
      </w:r>
    </w:p>
    <w:p>
      <w:pPr>
        <w:pStyle w:val="ListParagraph"/>
        <w:numPr>
          <w:ilvl w:val="0"/>
          <w:numId w:val="3"/>
        </w:numPr>
      </w:pPr>
      <w:r>
        <w:rPr>
          <w:b/>
          <w:bCs/>
        </w:rPr>
        <w:t xml:space="preserve">Product Diversification: </w:t>
      </w:r>
      <w:r>
        <w:t xml:space="preserve">Enhance software capabilities into predictive analytics and expand into broader operational use cases.</w:t>
      </w:r>
    </w:p>
    <w:p>
      <w:pPr>
        <w:pStyle w:val="ListParagraph"/>
        <w:numPr>
          <w:ilvl w:val="0"/>
          <w:numId w:val="3"/>
        </w:numPr>
        <w:spacing w:after="240"/>
      </w:pPr>
      <w:r>
        <w:rPr>
          <w:b/>
          <w:bCs/>
        </w:rPr>
        <w:t xml:space="preserve">Market Penetration: </w:t>
      </w:r>
      <w:r>
        <w:t xml:space="preserve">Increase presence in the shortline segments, focusing on our locomotive-agnostic potential.</w:t>
      </w:r>
    </w:p>
    <w:p>
      <w:pPr>
        <w:pStyle w:val="Heading1"/>
      </w:pPr>
      <w:r>
        <w:t xml:space="preserve">Recommended Approach</w:t>
      </w:r>
    </w:p>
    <w:p>
      <w:pPr>
        <w:spacing w:after="240"/>
      </w:pPr>
      <w:r>
        <w:t xml:space="preserve">The recommended strategy is to pursue partnership expansion with established players such as Holland. This synergy will reduce entry barriers into new segments and leverage combined strengths in maintenance and innovation. Diverging from heavy hardware reliance, our approach emphasizes a shift towards AI-driven software solutions that align with evolving market demands.</w:t>
      </w:r>
    </w:p>
    <w:p>
      <w:pPr>
        <w:pStyle w:val="Heading1"/>
      </w:pPr>
      <w:r>
        <w:t xml:space="preserve">Implementation Roadmap</w:t>
      </w:r>
    </w:p>
    <w:p>
      <w:pPr>
        <w:spacing w:after="120"/>
      </w:pPr>
      <w:r>
        <w:t xml:space="preserve">Strategic execution will follow a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Phase</w:t>
            </w:r>
          </w:p>
        </w:tc>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Description</w:t>
            </w:r>
          </w:p>
        </w:tc>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Timeline</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Initiation</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Identify and approach potential partners</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Q1 2025</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Development</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Integrate and trial joint solutions</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Q3 2025</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Expansion</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Launch joint offerings in select markets</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Q4 2025</w:t>
            </w:r>
          </w:p>
        </w:tc>
      </w:tr>
    </w:tbl>
    <w:p>
      <w:pPr>
        <w:spacing w:after="120"/>
      </w:pPr>
    </w:p>
    <w:p>
      <w:pPr>
        <w:spacing w:after="240"/>
      </w:pPr>
      <w:r>
        <w:t xml:space="preserve">Our roadmap prioritizes initial collaborations for faster market penetration with reduced financial risk.</w:t>
      </w:r>
    </w:p>
    <w:p>
      <w:pPr>
        <w:pStyle w:val="Heading1"/>
      </w:pPr>
      <w:r>
        <w:t xml:space="preserve">Risk Assessment</w:t>
      </w:r>
    </w:p>
    <w:p>
      <w:pPr>
        <w:pStyle w:val="Heading2"/>
      </w:pPr>
      <w:r>
        <w:t xml:space="preserve">Key Risks</w:t>
      </w:r>
    </w:p>
    <w:p>
      <w:pPr>
        <w:pStyle w:val="ListParagraph"/>
        <w:numPr>
          <w:ilvl w:val="0"/>
          <w:numId w:val="2"/>
        </w:numPr>
      </w:pPr>
      <w:r>
        <w:rPr>
          <w:b/>
          <w:bCs/>
        </w:rPr>
        <w:t xml:space="preserve">Partnership Dependency: </w:t>
      </w:r>
      <w:r>
        <w:t xml:space="preserve">Over-reliance on a few key partners could reduce flexibility and control.</w:t>
      </w:r>
    </w:p>
    <w:p>
      <w:pPr>
        <w:pStyle w:val="ListParagraph"/>
        <w:numPr>
          <w:ilvl w:val="0"/>
          <w:numId w:val="2"/>
        </w:numPr>
      </w:pPr>
      <w:r>
        <w:rPr>
          <w:b/>
          <w:bCs/>
        </w:rPr>
        <w:t xml:space="preserve">Technology Adoption Rates: </w:t>
      </w:r>
      <w:r>
        <w:t xml:space="preserve">Market acceptance of AI-driven software versus legacy systems.</w:t>
      </w:r>
    </w:p>
    <w:p>
      <w:pPr>
        <w:pStyle w:val="ListParagraph"/>
        <w:numPr>
          <w:ilvl w:val="0"/>
          <w:numId w:val="2"/>
        </w:numPr>
        <w:spacing w:after="200"/>
      </w:pPr>
      <w:r>
        <w:rPr>
          <w:b/>
          <w:bCs/>
        </w:rPr>
        <w:t xml:space="preserve">Regulatory Changes: </w:t>
      </w:r>
      <w:r>
        <w:t xml:space="preserve">Potential impact on product development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Risk</w:t>
            </w:r>
          </w:p>
        </w:tc>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Severity</w:t>
            </w:r>
          </w:p>
        </w:tc>
        <w:tc>
          <w:tcPr>
            <w:tcW w:type="dxa" w:w="3120"/>
            <w:tcBorders>
              <w:top w:val="single" w:color="999999" w:sz="1"/>
              <w:left w:val="single" w:color="999999" w:sz="1"/>
              <w:bottom w:val="single" w:color="999999" w:sz="1"/>
              <w:right w:val="single" w:color="999999" w:sz="1"/>
            </w:tcBorders>
            <w:shd w:fill="2E5090" w:val="clear"/>
            <w:tcMar>
              <w:top w:type="dxa" w:w="80"/>
              <w:left w:type="dxa" w:w="120"/>
              <w:bottom w:type="dxa" w:w="80"/>
              <w:right w:type="dxa" w:w="120"/>
            </w:tcMar>
            <w:vAlign w:val="center"/>
          </w:tcPr>
          <w:p>
            <w:pPr>
              <w:jc w:val="center"/>
            </w:pPr>
            <w:r>
              <w:rPr>
                <w:b/>
                <w:bCs/>
                <w:color w:val="FFFFFF"/>
                <w:sz w:val="22"/>
                <w:szCs w:val="22"/>
              </w:rPr>
              <w:t xml:space="preserve">Mitigation Strategy</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Partner Reliability</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High</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Diversify partnership portfolio</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Adoption Delays</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Medium</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Conduct pilot programs to model benefits</w:t>
            </w:r>
          </w:p>
        </w:tc>
      </w:tr>
      <w:tr>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Regulatory Barriers</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Low</w:t>
            </w:r>
          </w:p>
        </w:tc>
        <w:tc>
          <w:tcPr>
            <w:tcW w:type="dxa" w:w="31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vAlign w:val="center"/>
          </w:tcPr>
          <w:p>
            <w:pPr>
              <w:jc w:val="center"/>
            </w:pPr>
            <w:r>
              <w:rPr>
                <w:b w:val="false"/>
                <w:bCs w:val="false"/>
                <w:color w:val="000000"/>
                <w:sz w:val="22"/>
                <w:szCs w:val="22"/>
              </w:rPr>
              <w:t xml:space="preserve">Develop agile compliance frameworks</w:t>
            </w:r>
          </w:p>
        </w:tc>
      </w:tr>
    </w:tbl>
    <w:p>
      <w:pPr>
        <w:spacing w:after="240"/>
      </w:pPr>
    </w:p>
    <w:p>
      <w:pPr>
        <w:pStyle w:val="Heading1"/>
      </w:pPr>
      <w:r>
        <w:t xml:space="preserve">Next Steps &amp; Action Items</w:t>
      </w:r>
    </w:p>
    <w:p>
      <w:pPr>
        <w:spacing w:after="120"/>
      </w:pPr>
      <w:r>
        <w:t xml:space="preserve">Immediate actions for RailVision include:</w:t>
      </w:r>
    </w:p>
    <w:p>
      <w:pPr>
        <w:pStyle w:val="ListParagraph"/>
        <w:numPr>
          <w:ilvl w:val="0"/>
          <w:numId w:val="3"/>
        </w:numPr>
      </w:pPr>
      <w:r>
        <w:t xml:space="preserve">Operationalize partnership discussions with Holland, focusing on co-sell agreements.</w:t>
      </w:r>
    </w:p>
    <w:p>
      <w:pPr>
        <w:pStyle w:val="ListParagraph"/>
        <w:numPr>
          <w:ilvl w:val="0"/>
          <w:numId w:val="3"/>
        </w:numPr>
      </w:pPr>
      <w:r>
        <w:t xml:space="preserve">Enhance product R&amp;D efforts focusing on predictive analytics.</w:t>
      </w:r>
    </w:p>
    <w:p>
      <w:pPr>
        <w:pStyle w:val="ListParagraph"/>
        <w:numPr>
          <w:ilvl w:val="0"/>
          <w:numId w:val="3"/>
        </w:numPr>
      </w:pPr>
      <w:r>
        <w:t xml:space="preserve">Allocate resources towards increasing market visibility and brand strengthening.</w:t>
      </w:r>
    </w:p>
    <w:p>
      <w:pPr>
        <w:spacing w:after="120"/>
      </w:pPr>
    </w:p>
    <w:p>
      <w:pPr>
        <w:spacing w:after="240"/>
      </w:pPr>
      <w:r>
        <w:t xml:space="preserve">These steps are crucial to fortifying our market position and achieving strategic objectives.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2026-04-05T06:02:13.331Z</dcterms:created>
  <dcterms:modified xsi:type="dcterms:W3CDTF">2026-04-05T06:02:13.332Z</dcterms:modified>
</cp:coreProperties>
</file>

<file path=docProps/custom.xml><?xml version="1.0" encoding="utf-8"?>
<Properties xmlns="http://schemas.openxmlformats.org/officeDocument/2006/custom-properties" xmlns:vt="http://schemas.openxmlformats.org/officeDocument/2006/docPropsVTypes"/>
</file>