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HITACHI RAIL</w:t>
      </w:r>
    </w:p>
    <w:p>
      <w:pPr>
        <w:pStyle w:val="Heading2"/>
      </w:pPr>
      <w:r>
        <w:t>Strategic Partnership Opportunity with RailVision Analytics</w:t>
      </w:r>
    </w:p>
    <w:p/>
    <w:p>
      <w:pPr>
        <w:pStyle w:val="Heading2"/>
      </w:pPr>
      <w:r>
        <w:t>The Synergy</w:t>
      </w:r>
    </w:p>
    <w:p>
      <w:pPr>
        <w:pStyle w:val="ListBullet"/>
      </w:pPr>
      <w:r>
        <w:t>Hitachi Rail focuses on rolling stock, signaling, and digital solutions but lacks North American freight optimization</w:t>
      </w:r>
    </w:p>
    <w:p>
      <w:pPr>
        <w:pStyle w:val="ListBullet"/>
      </w:pPr>
      <w:r>
        <w:t>RailVision provides software-first entry into $9.2M shortline market where Hitachi underrepresented</w:t>
      </w:r>
    </w:p>
    <w:p>
      <w:pPr>
        <w:pStyle w:val="ListBullet"/>
      </w:pPr>
      <w:r>
        <w:t>Natural integration: Hitachi's Lumada IoT platform + RailVision's operational AI = comprehensive digital rail solution</w:t>
      </w:r>
    </w:p>
    <w:p>
      <w:pPr>
        <w:pStyle w:val="ListBullet"/>
      </w:pPr>
      <w:r>
        <w:t>Strategic positioning: Compete with Siemens/Alstom by offering alternative to North American freight market</w:t>
      </w:r>
    </w:p>
    <w:p/>
    <w:p>
      <w:pPr>
        <w:pStyle w:val="Heading2"/>
      </w:pPr>
      <w:r>
        <w:t>Value-Add to HITACHI</w:t>
      </w:r>
    </w:p>
    <w:p>
      <w:pPr>
        <w:pStyle w:val="ListBullet"/>
      </w:pPr>
      <w:r>
        <w:rPr>
          <w:b/>
        </w:rPr>
        <w:t xml:space="preserve">North American Entry: </w:t>
      </w:r>
      <w:r>
        <w:t>RailVision provides proven technology and customer relationships in freight market where Hitachi building presence</w:t>
      </w:r>
    </w:p>
    <w:p>
      <w:pPr>
        <w:pStyle w:val="ListBullet"/>
      </w:pPr>
      <w:r>
        <w:rPr>
          <w:b/>
        </w:rPr>
        <w:t xml:space="preserve">Digital Rail Portfolio: </w:t>
      </w:r>
      <w:r>
        <w:t>RailVision operational AI complements Hitachi's Lumada platform for complete digital rail offering</w:t>
      </w:r>
    </w:p>
    <w:p>
      <w:pPr>
        <w:pStyle w:val="ListBullet"/>
      </w:pPr>
      <w:r>
        <w:rPr>
          <w:b/>
        </w:rPr>
        <w:t xml:space="preserve">Technology Integration: </w:t>
      </w:r>
      <w:r>
        <w:t>Combine RailVision fuel optimization with Hitachi's energy management systems for comprehensive efficiency solution</w:t>
      </w:r>
    </w:p>
    <w:p>
      <w:pPr>
        <w:pStyle w:val="ListBullet"/>
      </w:pPr>
      <w:r>
        <w:rPr>
          <w:b/>
        </w:rPr>
        <w:t xml:space="preserve">Market Differentiation: </w:t>
      </w:r>
      <w:r>
        <w:t>Software-first approach differentiates Hitachi from traditional hardware-focused competitors</w:t>
      </w:r>
    </w:p>
    <w:p>
      <w:pPr>
        <w:pStyle w:val="ListBullet"/>
      </w:pPr>
      <w:r>
        <w:rPr>
          <w:b/>
        </w:rPr>
        <w:t xml:space="preserve">Innovation Showcase: </w:t>
      </w:r>
      <w:r>
        <w:t>RailVision AI capabilities enhance Hitachi's digital rail credentials for global marketing</w:t>
      </w:r>
    </w:p>
    <w:p/>
    <w:p>
      <w:pPr>
        <w:pStyle w:val="Heading2"/>
      </w:pPr>
      <w:r>
        <w:t>Increasing Enterprise Value of RailVision</w:t>
      </w:r>
    </w:p>
    <w:p>
      <w:pPr>
        <w:pStyle w:val="ListBullet"/>
      </w:pPr>
      <w:r>
        <w:rPr>
          <w:b/>
        </w:rPr>
        <w:t xml:space="preserve">Global Giant: </w:t>
      </w:r>
      <w:r>
        <w:t>Hitachi Rail's presence in 38 countries and €10B+ revenue provides massive distribution platform</w:t>
      </w:r>
    </w:p>
    <w:p>
      <w:pPr>
        <w:pStyle w:val="ListBullet"/>
      </w:pPr>
      <w:r>
        <w:rPr>
          <w:b/>
        </w:rPr>
        <w:t xml:space="preserve">R&amp;D Resources: </w:t>
      </w:r>
      <w:r>
        <w:t>Access to Hitachi Group's advanced AI, IoT, and autonomous systems research</w:t>
      </w:r>
    </w:p>
    <w:p>
      <w:pPr>
        <w:pStyle w:val="ListBullet"/>
      </w:pPr>
      <w:r>
        <w:rPr>
          <w:b/>
        </w:rPr>
        <w:t xml:space="preserve">Japanese Engineering: </w:t>
      </w:r>
      <w:r>
        <w:t>Association with Hitachi brand enhances RailVision credibility in Asia-Pacific markets</w:t>
      </w:r>
    </w:p>
    <w:p>
      <w:pPr>
        <w:pStyle w:val="ListBullet"/>
      </w:pPr>
      <w:r>
        <w:rPr>
          <w:b/>
        </w:rPr>
        <w:t xml:space="preserve">Lumada Integration: </w:t>
      </w:r>
      <w:r>
        <w:t>RailVision becomes showcase application for Hitachi's Lumada IoT platform</w:t>
      </w:r>
    </w:p>
    <w:p/>
    <w:p>
      <w:pPr>
        <w:pStyle w:val="Heading2"/>
      </w:pPr>
      <w:r>
        <w:t>Executive Contacts</w:t>
      </w:r>
    </w:p>
    <w:p>
      <w:r>
        <w:rPr>
          <w:b/>
        </w:rPr>
        <w:t xml:space="preserve">CEO Hitachi Rail: </w:t>
      </w:r>
      <w:r>
        <w:t>Giuseppe Marino</w:t>
      </w:r>
    </w:p>
    <w:p>
      <w:r>
        <w:rPr>
          <w:i/>
        </w:rPr>
        <w:t xml:space="preserve">  Background: </w:t>
      </w:r>
      <w:r>
        <w:t>Former Ansaldo STS CEO, led Hitachi acquisition</w:t>
      </w:r>
    </w:p>
    <w:p>
      <w:r>
        <w:rPr>
          <w:i/>
        </w:rPr>
        <w:t xml:space="preserve">  Contact: </w:t>
      </w:r>
      <w:r>
        <w:t>Rome HQ: +39 06 5007 1</w:t>
      </w:r>
    </w:p>
    <w:p>
      <w:r>
        <w:rPr>
          <w:b/>
        </w:rPr>
        <w:t xml:space="preserve">CFO: </w:t>
      </w:r>
      <w:r>
        <w:t>Arnaud Salzmann</w:t>
      </w:r>
    </w:p>
    <w:p>
      <w:r>
        <w:rPr>
          <w:i/>
        </w:rPr>
        <w:t xml:space="preserve">  Background: </w:t>
      </w:r>
      <w:r>
        <w:t>Hitachi Rail Group CFO</w:t>
      </w:r>
    </w:p>
    <w:p>
      <w:r>
        <w:rPr>
          <w:i/>
        </w:rPr>
        <w:t xml:space="preserve">  Contact: </w:t>
      </w:r>
      <w:r>
        <w:t>Via investor relations</w:t>
      </w:r>
    </w:p>
    <w:p>
      <w:r>
        <w:rPr>
          <w:b/>
        </w:rPr>
        <w:t xml:space="preserve">CEO Hitachi Rail STS USA: </w:t>
      </w:r>
      <w:r>
        <w:t>Maurizio Manfredini</w:t>
      </w:r>
    </w:p>
    <w:p>
      <w:r>
        <w:rPr>
          <w:i/>
        </w:rPr>
        <w:t xml:space="preserve">  Background: </w:t>
      </w:r>
      <w:r>
        <w:t>North American operations</w:t>
      </w:r>
    </w:p>
    <w:p>
      <w:r>
        <w:rPr>
          <w:i/>
        </w:rPr>
        <w:t xml:space="preserve">  Contact: </w:t>
      </w:r>
      <w:r>
        <w:t>Pittsburgh office</w:t>
      </w:r>
    </w:p>
    <w:p>
      <w:r>
        <w:rPr>
          <w:b/>
        </w:rPr>
        <w:t xml:space="preserve">Strategy &amp; M&amp;A: </w:t>
      </w:r>
      <w:r>
        <w:t>Contact through corporate development</w:t>
      </w:r>
    </w:p>
    <w:p>
      <w:r>
        <w:rPr>
          <w:i/>
        </w:rPr>
        <w:t xml:space="preserve">  Background: </w:t>
      </w:r>
      <w:r>
        <w:t>Active acquirer in rail tech</w:t>
      </w:r>
    </w:p>
    <w:p>
      <w:r>
        <w:rPr>
          <w:i/>
        </w:rPr>
        <w:t xml:space="preserve">  Contact: </w:t>
      </w:r>
      <w:r>
        <w:t>www.hitachirail.com</w:t>
      </w:r>
    </w:p>
    <w:p/>
    <w:p>
      <w:pPr>
        <w:pStyle w:val="Heading2"/>
      </w:pPr>
      <w:r>
        <w:t>Use of $3M Strategic Funding</w:t>
      </w:r>
    </w:p>
    <w:p>
      <w:pPr>
        <w:pStyle w:val="ListBullet"/>
      </w:pPr>
      <w:r>
        <w:rPr>
          <w:b/>
        </w:rPr>
        <w:t xml:space="preserve">Technical Team &amp; Key Hires ($1.8M): </w:t>
      </w:r>
      <w:r>
        <w:t>Integration with HITACHI systems, joint product development</w:t>
      </w:r>
    </w:p>
    <w:p>
      <w:pPr>
        <w:pStyle w:val="ListBullet"/>
      </w:pPr>
      <w:r>
        <w:rPr>
          <w:b/>
        </w:rPr>
        <w:t xml:space="preserve">Field Rollout Costs ($1.2M): </w:t>
      </w:r>
      <w:r>
        <w:t>GWRR pilot deployment and co-marketing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