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PROGRESS RAIL (Caterpillar)</w:t>
      </w:r>
    </w:p>
    <w:p>
      <w:pPr>
        <w:pStyle w:val="Heading2"/>
      </w:pPr>
      <w:r>
        <w:t xml:space="preserve">Strategic Partnership Opportunity with RailVision Analytics</w:t>
      </w:r>
    </w:p>
    <w:p>
      <w:pPr>
        <w:spacing w:before="240"/>
      </w:pPr>
    </w:p>
    <w:p>
      <w:pPr>
        <w:pStyle w:val="Heading2"/>
      </w:pPr>
      <w:r>
        <w:t xml:space="preserve">The Synergy</w:t>
      </w:r>
    </w:p>
    <w:p>
      <w:pPr>
        <w:pStyle w:val="ListParagraph"/>
        <w:numPr>
          <w:ilvl w:val="0"/>
          <w:numId w:val="2"/>
        </w:numPr>
      </w:pPr>
      <w:r>
        <w:t xml:space="preserve">Progress Rail's locomotive rebuild/remanufacturing dominates North American shortlines but lacks software solutions for operational optimization</w:t>
      </w:r>
    </w:p>
    <w:p>
      <w:pPr>
        <w:pStyle w:val="ListParagraph"/>
        <w:numPr>
          <w:ilvl w:val="0"/>
          <w:numId w:val="2"/>
        </w:numPr>
      </w:pPr>
      <w:r>
        <w:t xml:space="preserve">RailVision's technology transforms each Progress Rail locomotive sale into a recurring revenue stream (8% verified fuel savings)</w:t>
      </w:r>
    </w:p>
    <w:p>
      <w:pPr>
        <w:pStyle w:val="ListParagraph"/>
        <w:numPr>
          <w:ilvl w:val="0"/>
          <w:numId w:val="2"/>
        </w:numPr>
      </w:pPr>
      <w:r>
        <w:t xml:space="preserve">Natural bundle opportunity: "Buy Progress Rail locomotives with built-in RailVision optimization—pay for fuel savings, not software"</w:t>
      </w:r>
    </w:p>
    <w:p>
      <w:pPr>
        <w:pStyle w:val="ListParagraph"/>
        <w:numPr>
          <w:ilvl w:val="0"/>
          <w:numId w:val="2"/>
        </w:numPr>
      </w:pPr>
      <w:r>
        <w:t xml:space="preserve">Caterpillar's sustainability mandate aligns perfectly with RailVision's green fuel reduction technology</w:t>
      </w:r>
    </w:p>
    <w:p>
      <w:pPr>
        <w:spacing w:before="240"/>
      </w:pPr>
    </w:p>
    <w:p>
      <w:pPr>
        <w:pStyle w:val="Heading2"/>
      </w:pPr>
      <w:r>
        <w:t xml:space="preserve">Value-Add to Progress Rail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Locomotive Sales Differentiator: </w:t>
      </w:r>
      <w:r>
        <w:t xml:space="preserve">Bundle RailVision with every locomotive as a value-add that pays for itself through fuel savings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Recurring Revenue Stream: </w:t>
      </w:r>
      <w:r>
        <w:t xml:space="preserve">Convert one-time equipment sales into ongoing software subscription revenue (30% of verified fuel savings)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Stickiness: </w:t>
      </w:r>
      <w:r>
        <w:t xml:space="preserve">Ongoing software relationship creates switching costs and strengthens locomotive service contracts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Sustainability Story: </w:t>
      </w:r>
      <w:r>
        <w:t xml:space="preserve">Caterpillar ESG goals enhanced by quantifiable fuel reduction (cheap/green/safe positioning)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Intelligence: </w:t>
      </w:r>
      <w:r>
        <w:t xml:space="preserve">RailVision deployment data provides Progress Rail with real-time insights into locomotive performance and customer operational patterns</w:t>
      </w:r>
    </w:p>
    <w:p>
      <w:pPr>
        <w:spacing w:before="240"/>
      </w:pPr>
    </w:p>
    <w:p>
      <w:pPr>
        <w:pStyle w:val="Heading2"/>
      </w:pPr>
      <w:r>
        <w:t xml:space="preserve">Increasing Enterprise Value of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Distribution Channel: </w:t>
      </w:r>
      <w:r>
        <w:t xml:space="preserve">Every Progress Rail locomotive sale becomes a RailVision deployment opportunity across 650+ shortlines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Caterpillar Brand Power: </w:t>
      </w:r>
      <w:r>
        <w:t xml:space="preserve">Association with Fortune 100 parent company eliminates customer concerns about startup viability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Integration: </w:t>
      </w:r>
      <w:r>
        <w:t xml:space="preserve">Progress Rail's service network provides ideal platform for RailVision field support and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Expansion Path: </w:t>
      </w:r>
      <w:r>
        <w:t xml:space="preserve">Caterpillar's international presence enables RailVision entry into heavy haul markets (Brazil, Australia, China)</w:t>
      </w:r>
    </w:p>
    <w:p>
      <w:pPr>
        <w:spacing w:before="240"/>
      </w:pPr>
    </w:p>
    <w:p>
      <w:pPr>
        <w:pStyle w:val="Heading2"/>
      </w:pPr>
      <w:r>
        <w:t xml:space="preserve">Use of $3M Strategic Funding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 xml:space="preserve">Integration with Progress Rail locomotive systems, hardware/software optimization, and expansion of technical support team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 xml:space="preserve">GWRR pilot with Progress Rail locomotives, co-marketing materials, and joint customer success program development</w:t>
      </w:r>
    </w:p>
    <w:p>
      <w:pPr>
        <w:spacing w:before="360"/>
      </w:pPr>
    </w:p>
    <w:p>
      <w:pPr>
        <w:jc w:val="center"/>
      </w:pPr>
      <w:r>
        <w:rPr>
          <w:b/>
          <w:bCs/>
          <w:color w:val="00C9A7"/>
          <w:sz w:val="26"/>
          <w:szCs w:val="26"/>
        </w:rPr>
        <w:t xml:space="preserve">Bundle Opportunity: RailVision Pre-Installed on Every Progress Rail Locomotive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A3D6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A3D6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2026-01-28T18:47:57.275Z</dcterms:created>
  <dcterms:modified xsi:type="dcterms:W3CDTF">2026-01-28T18:47:57.275Z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