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SIEMENS MOBILITY</w:t>
      </w:r>
    </w:p>
    <w:p>
      <w:pPr>
        <w:pStyle w:val="Heading2"/>
      </w:pPr>
      <w:r>
        <w:t xml:space="preserve">Strategic Partnership Opportunity with RailVision Analytics</w:t>
      </w:r>
    </w:p>
    <w:p>
      <w:pPr>
        <w:spacing w:before="240"/>
      </w:pPr>
    </w:p>
    <w:p>
      <w:pPr>
        <w:pStyle w:val="Heading2"/>
      </w:pPr>
      <w:r>
        <w:t xml:space="preserve">The Synergy</w:t>
      </w:r>
    </w:p>
    <w:p>
      <w:pPr>
        <w:pStyle w:val="ListParagraph"/>
        <w:numPr>
          <w:ilvl w:val="0"/>
          <w:numId w:val="2"/>
        </w:numPr>
      </w:pPr>
      <w:r>
        <w:t xml:space="preserve">Siemens Mobility focuses on signaling, electrification, and rolling stock but lacks shortline fuel optimization solution</w:t>
      </w:r>
    </w:p>
    <w:p>
      <w:pPr>
        <w:pStyle w:val="ListParagraph"/>
        <w:numPr>
          <w:ilvl w:val="0"/>
          <w:numId w:val="2"/>
        </w:numPr>
      </w:pPr>
      <w:r>
        <w:t xml:space="preserve">RailVision provides software-first entry into North American freight market where Siemens has limited presence</w:t>
      </w:r>
    </w:p>
    <w:p>
      <w:pPr>
        <w:pStyle w:val="ListParagraph"/>
        <w:numPr>
          <w:ilvl w:val="0"/>
          <w:numId w:val="2"/>
        </w:numPr>
      </w:pPr>
      <w:r>
        <w:t xml:space="preserve">Natural fit: Siemens' infrastructure expertise + RailVision's operational AI = comprehensive digital rail solution</w:t>
      </w:r>
    </w:p>
    <w:p>
      <w:pPr>
        <w:pStyle w:val="ListParagraph"/>
        <w:numPr>
          <w:ilvl w:val="0"/>
          <w:numId w:val="2"/>
        </w:numPr>
      </w:pPr>
      <w:r>
        <w:t xml:space="preserve">Strategic positioning: Compete with Wabtec/GE by offering alternative fuel optimization platform for Class II/III railroads</w:t>
      </w:r>
    </w:p>
    <w:p>
      <w:pPr>
        <w:spacing w:before="240"/>
      </w:pPr>
    </w:p>
    <w:p>
      <w:pPr>
        <w:pStyle w:val="Heading2"/>
      </w:pPr>
      <w:r>
        <w:t xml:space="preserve">Value-Add to SIEMENS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North American Freight Entry: </w:t>
      </w:r>
      <w:r>
        <w:t xml:space="preserve">RailVision provides proven technology and customer relationships in $9.2M shortline market where Siemens underrepresented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Rail Strategy: </w:t>
      </w:r>
      <w:r>
        <w:t xml:space="preserve">RailVision operational AI complements Siemens' signaling/automation for complete autonomous rail 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Passenger-to-Freight Bridge: </w:t>
      </w:r>
      <w:r>
        <w:t xml:space="preserve">Leverage Siemens' passenger rail dominance to cross-sell freight solutions with RailVision technology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 Showcase: </w:t>
      </w:r>
      <w:r>
        <w:t xml:space="preserve">RailVision's AI capabilities enhance Siemens' digital rail portfolio for global marketing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Response: </w:t>
      </w:r>
      <w:r>
        <w:t xml:space="preserve">Counter Wabtec/Alstom freight market dominance with differentiated software-first approach</w:t>
      </w:r>
    </w:p>
    <w:p>
      <w:pPr>
        <w:spacing w:before="240"/>
      </w:pPr>
    </w:p>
    <w:p>
      <w:pPr>
        <w:pStyle w:val="Heading2"/>
      </w:pPr>
      <w:r>
        <w:t xml:space="preserve">Increasing Enterprise Value of RailVision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Giant Scale: </w:t>
      </w:r>
      <w:r>
        <w:t xml:space="preserve">Siemens' €9B+ mobility division and 160+ countries provide massive distribution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R&amp;D Resources: </w:t>
      </w:r>
      <w:r>
        <w:t xml:space="preserve">Access to Siemens' autonomous rail research and AI/ML development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 Strength: </w:t>
      </w:r>
      <w:r>
        <w:t xml:space="preserve">Siemens backing provides credibility and capital for aggressive market expansion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Integration: </w:t>
      </w:r>
      <w:r>
        <w:t xml:space="preserve">Combine RailVision ops data with Siemens signaling creates next-gen train control system</w:t>
      </w:r>
    </w:p>
    <w:p>
      <w:pPr>
        <w:spacing w:before="240"/>
      </w:pPr>
    </w:p>
    <w:p>
      <w:pPr>
        <w:pStyle w:val="Heading2"/>
      </w:pPr>
      <w:r>
        <w:t xml:space="preserve">Executive Contacts</w:t>
      </w:r>
    </w:p>
    <w:p>
      <w:r>
        <w:rPr>
          <w:b/>
          <w:bCs/>
        </w:rPr>
        <w:t xml:space="preserve">CEO Siemens Mobility: </w:t>
      </w:r>
      <w:r>
        <w:t xml:space="preserve">Michael Peter</w:t>
      </w:r>
    </w:p>
    <w:p>
      <w:r>
        <w:rPr>
          <w:i/>
          <w:iCs/>
        </w:rPr>
        <w:t xml:space="preserve">  Background: </w:t>
      </w:r>
      <w:r>
        <w:t xml:space="preserve">Former Siemens Rail Systems CEO</w:t>
      </w:r>
    </w:p>
    <w:p>
      <w:r>
        <w:rPr>
          <w:i/>
          <w:iCs/>
        </w:rPr>
        <w:t xml:space="preserve">  Contact: </w:t>
      </w:r>
      <w:r>
        <w:t xml:space="preserve">Munich: +49 89 636-00</w:t>
      </w:r>
    </w:p>
    <w:p>
      <w:r>
        <w:rPr>
          <w:b/>
          <w:bCs/>
        </w:rPr>
        <w:t xml:space="preserve">CFO: </w:t>
      </w:r>
      <w:r>
        <w:t xml:space="preserve">Albrecht Neumann</w:t>
      </w:r>
    </w:p>
    <w:p>
      <w:r>
        <w:rPr>
          <w:i/>
          <w:iCs/>
        </w:rPr>
        <w:t xml:space="preserve">  Background: </w:t>
      </w:r>
      <w:r>
        <w:t xml:space="preserve">Siemens Mobility CFO</w:t>
      </w:r>
    </w:p>
    <w:p>
      <w:r>
        <w:rPr>
          <w:i/>
          <w:iCs/>
        </w:rPr>
        <w:t xml:space="preserve">  Contact: </w:t>
      </w:r>
      <w:r>
        <w:t xml:space="preserve">Via corporate relations</w:t>
      </w:r>
    </w:p>
    <w:p>
      <w:r>
        <w:rPr>
          <w:b/>
          <w:bCs/>
        </w:rPr>
        <w:t xml:space="preserve">CEO Siemens Mobility NA: </w:t>
      </w:r>
      <w:r>
        <w:t xml:space="preserve">Marc Buncher</w:t>
      </w:r>
    </w:p>
    <w:p>
      <w:r>
        <w:rPr>
          <w:i/>
          <w:iCs/>
        </w:rPr>
        <w:t xml:space="preserve">  Background: </w:t>
      </w:r>
      <w:r>
        <w:t xml:space="preserve">North America operations</w:t>
      </w:r>
    </w:p>
    <w:p>
      <w:r>
        <w:rPr>
          <w:i/>
          <w:iCs/>
        </w:rPr>
        <w:t xml:space="preserve">  Contact: </w:t>
      </w:r>
      <w:r>
        <w:t xml:space="preserve">Sacramento, CA office</w:t>
      </w:r>
    </w:p>
    <w:p>
      <w:r>
        <w:rPr>
          <w:b/>
          <w:bCs/>
        </w:rPr>
        <w:t xml:space="preserve">Strategy &amp; M&amp;A: </w:t>
      </w:r>
      <w:r>
        <w:t xml:space="preserve">Contact through corporate development</w:t>
      </w:r>
    </w:p>
    <w:p>
      <w:r>
        <w:rPr>
          <w:i/>
          <w:iCs/>
        </w:rPr>
        <w:t xml:space="preserve">  Background: </w:t>
      </w:r>
      <w:r>
        <w:t xml:space="preserve">Siemens has dedicated M&amp;A team</w:t>
      </w:r>
    </w:p>
    <w:p>
      <w:r>
        <w:rPr>
          <w:i/>
          <w:iCs/>
        </w:rPr>
        <w:t xml:space="preserve">  Contact: </w:t>
      </w:r>
      <w:r>
        <w:t xml:space="preserve">mobility.contact@siemens.com</w:t>
      </w:r>
    </w:p>
    <w:p>
      <w:pPr>
        <w:spacing w:before="240"/>
      </w:pPr>
    </w:p>
    <w:p>
      <w:pPr>
        <w:pStyle w:val="Heading2"/>
      </w:pPr>
      <w:r>
        <w:t xml:space="preserve">Use of $3M Strategic Funding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Team &amp; Key Hires ($1.8M): </w:t>
      </w:r>
      <w:r>
        <w:t xml:space="preserve">Integration with SIEMENS systems, joint product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Rollout Costs ($1.2M): </w:t>
      </w:r>
      <w:r>
        <w:t xml:space="preserve">GWRR pilot deployment and co-marketing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A3D6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A3D6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2026-01-28T20:41:10.236Z</dcterms:created>
  <dcterms:modified xsi:type="dcterms:W3CDTF">2026-01-28T20:41:10.236Z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