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WABTEC CORPORATION</w:t>
      </w:r>
    </w:p>
    <w:p>
      <w:pPr>
        <w:pStyle w:val="Heading2"/>
      </w:pPr>
      <w:r>
        <w:t xml:space="preserve">Strategic Partnership Opportunity with RailVision Analytics</w:t>
      </w:r>
    </w:p>
    <w:p>
      <w:pPr>
        <w:spacing w:before="240"/>
      </w:pPr>
    </w:p>
    <w:p>
      <w:pPr>
        <w:pStyle w:val="Heading2"/>
      </w:pPr>
      <w:r>
        <w:t xml:space="preserve">The Synergy</w:t>
      </w:r>
    </w:p>
    <w:p>
      <w:pPr>
        <w:pStyle w:val="ListParagraph"/>
        <w:numPr>
          <w:ilvl w:val="0"/>
          <w:numId w:val="2"/>
        </w:numPr>
      </w:pPr>
      <w:r>
        <w:t xml:space="preserve">Wabtec's Trip Optimizer dominates Class I railroads ($13.4B ARR market) but faces deployment challenges in the shortline segment</w:t>
      </w:r>
    </w:p>
    <w:p>
      <w:pPr>
        <w:pStyle w:val="ListParagraph"/>
        <w:numPr>
          <w:ilvl w:val="0"/>
          <w:numId w:val="2"/>
        </w:numPr>
      </w:pPr>
      <w:r>
        <w:t xml:space="preserve">RailVision's software-first, tablet-based solution is purpose-built for shortlines ($9.2M ARR) with 90-day deployment vs. multi-year hardware installations</w:t>
      </w:r>
    </w:p>
    <w:p>
      <w:pPr>
        <w:pStyle w:val="ListParagraph"/>
        <w:numPr>
          <w:ilvl w:val="0"/>
          <w:numId w:val="2"/>
        </w:numPr>
      </w:pPr>
      <w:r>
        <w:t xml:space="preserve">Combined offering creates a complete portfolio: Trip Optimizer for Class I heavy automation, RailVision for agile shortline deployment</w:t>
      </w:r>
    </w:p>
    <w:p>
      <w:pPr>
        <w:pStyle w:val="ListParagraph"/>
        <w:numPr>
          <w:ilvl w:val="0"/>
          <w:numId w:val="2"/>
        </w:numPr>
      </w:pPr>
      <w:r>
        <w:t xml:space="preserve">Immediate traction: Genesee &amp; Wyoming (112 properties, $2.7M ARR potential) pilot already underway with 90-day validation timeline</w:t>
      </w:r>
    </w:p>
    <w:p>
      <w:pPr>
        <w:spacing w:before="240"/>
      </w:pPr>
    </w:p>
    <w:p>
      <w:pPr>
        <w:pStyle w:val="Heading2"/>
      </w:pPr>
      <w:r>
        <w:t xml:space="preserve">Value-Add to Wabtec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Complete Market Coverage: </w:t>
      </w:r>
      <w:r>
        <w:t xml:space="preserve">Plug the gap in Wabtec's portfolio—650+ shortlines currently underserved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Accelerated Go-to-Market: </w:t>
      </w:r>
      <w:r>
        <w:t xml:space="preserve">RailVision brings validated technology with CEO Jamie O'Rourke's 20-year railroad sales infrastructure and industry relationships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Proven ROI Model: </w:t>
      </w:r>
      <w:r>
        <w:t xml:space="preserve">30% gainshare on verified 8% fuel savings eliminates customer risk and accelerates sales cycles from 2+ years to 90 days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Cross-Sell Opportunity: </w:t>
      </w:r>
      <w:r>
        <w:t xml:space="preserve">Shortline relationships create natural pathways to Wabtec's broader product portfolio (braking systems, locomotive components)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Strategic Defense: </w:t>
      </w:r>
      <w:r>
        <w:t xml:space="preserve">Prevent competitors from establishing shortline footholds while strengthening Wabtec's position as the comprehensive rail technology leader</w:t>
      </w:r>
    </w:p>
    <w:p>
      <w:pPr>
        <w:spacing w:before="240"/>
      </w:pPr>
    </w:p>
    <w:p>
      <w:pPr>
        <w:pStyle w:val="Heading2"/>
      </w:pPr>
      <w:r>
        <w:t xml:space="preserve">Increasing Enterprise Value of RailVision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Brand Credibility: </w:t>
      </w:r>
      <w:r>
        <w:t xml:space="preserve">Wabtec partnership instantly validates RailVision technology to conservative railroad buyers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Sales Infrastructure: </w:t>
      </w:r>
      <w:r>
        <w:t xml:space="preserve">Access to Wabtec's global railroad sales network and customer support infrastructure accelerates market penetration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Technical Integration: </w:t>
      </w:r>
      <w:r>
        <w:t xml:space="preserve">Joint development opportunities with Trip Optimizer create unified platform for future autonomous operations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Capital Efficiency: </w:t>
      </w:r>
      <w:r>
        <w:t xml:space="preserve">Wabtec's resources enable faster scaling without dilutive fundraising</w:t>
      </w:r>
    </w:p>
    <w:p>
      <w:pPr>
        <w:spacing w:before="240"/>
      </w:pPr>
    </w:p>
    <w:p>
      <w:pPr>
        <w:pStyle w:val="Heading2"/>
      </w:pPr>
      <w:r>
        <w:t xml:space="preserve">Use of $3M Strategic Funding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Technical Team &amp; Key Hires ($1.8M): </w:t>
      </w:r>
      <w:r>
        <w:t xml:space="preserve">Continued product development, API integration with Wabtec systems, and 2-3 strategic engineering hires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Field Rollout Costs ($1.2M): </w:t>
      </w:r>
      <w:r>
        <w:t xml:space="preserve">GWRR pilot deployment (3 properties), validation support, and scaling to 15+ properties by Q4 2026</w:t>
      </w:r>
    </w:p>
    <w:p>
      <w:pPr>
        <w:spacing w:before="360"/>
      </w:pPr>
    </w:p>
    <w:p>
      <w:pPr>
        <w:jc w:val="center"/>
      </w:pPr>
      <w:r>
        <w:rPr>
          <w:b/>
          <w:bCs/>
          <w:color w:val="00C9A7"/>
          <w:sz w:val="26"/>
          <w:szCs w:val="26"/>
        </w:rPr>
        <w:t xml:space="preserve">12-Month Target: $2.5M ARR | Exit Valuation: $50M-$100M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80"/>
      <w:outlineLvl w:val="0"/>
    </w:pPr>
    <w:rPr>
      <w:rFonts w:ascii="Arial" w:cs="Arial" w:eastAsia="Arial" w:hAnsi="Arial"/>
      <w:b/>
      <w:bCs/>
      <w:color w:val="0A3D6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0A3D6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2026-01-28T18:47:57.266Z</dcterms:created>
  <dcterms:modified xsi:type="dcterms:W3CDTF">2026-01-28T18:47:57.267Z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