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3A86C8"/>
          <w:sz w:val="28"/>
        </w:rPr>
        <w:t>━━━━━━━━━━━━━━━━━━━━━━━━━━━━━━━━━━━━━━━━</w:t>
      </w:r>
    </w:p>
    <w:p>
      <w:pPr>
        <w:spacing w:before="240" w:after="240"/>
        <w:jc w:val="center"/>
      </w:pPr>
      <w:r>
        <w:rPr>
          <w:rFonts w:ascii="Calibri" w:hAnsi="Calibri"/>
          <w:b/>
          <w:color w:val="1B2A4A"/>
          <w:sz w:val="56"/>
        </w:rPr>
        <w:t>RailVision Analytics — CCO Commercial Strategy Report FY2025–2026</w:t>
      </w:r>
    </w:p>
    <w:p>
      <w:pPr>
        <w:jc w:val="center"/>
      </w:pPr>
      <w:r>
        <w:rPr>
          <w:color w:val="3A86C8"/>
          <w:sz w:val="28"/>
        </w:rPr>
        <w:t>━━━━━━━━━━━━━━━━━━━━━━━━━━━━━━━━━━━━━━━━</w:t>
      </w:r>
    </w:p>
    <w:p>
      <w:pPr>
        <w:spacing w:before="480"/>
        <w:jc w:val="center"/>
      </w:pPr>
      <w:r>
        <w:rPr>
          <w:rFonts w:ascii="Calibri" w:hAnsi="Calibri"/>
          <w:color w:val="6B707B"/>
          <w:sz w:val="24"/>
        </w:rPr>
        <w:t>April 04, 2026</w:t>
      </w:r>
    </w:p>
    <w:p>
      <w:pPr>
        <w:spacing w:before="960"/>
        <w:jc w:val="center"/>
      </w:pPr>
      <w:r>
        <w:rPr>
          <w:rFonts w:ascii="Calibri" w:hAnsi="Calibri"/>
          <w:i/>
          <w:color w:val="6B707B"/>
          <w:sz w:val="18"/>
        </w:rPr>
        <w:t>CONFIDENTIAL</w:t>
      </w:r>
    </w:p>
    <w:p>
      <w:r>
        <w:br w:type="page"/>
      </w:r>
    </w:p>
    <w:p>
      <w:pPr>
        <w:pStyle w:val="Heading1"/>
      </w:pPr>
      <w:r>
        <w:t>Table of Contents</w:t>
      </w:r>
    </w:p>
    <w:p/>
    <w:p>
      <w:pPr>
        <w:spacing w:after="80" w:before="40"/>
      </w:pPr>
      <w:r>
        <w:rPr>
          <w:rFonts w:ascii="Calibri" w:hAnsi="Calibri"/>
          <w:b/>
          <w:color w:val="3A86C8"/>
          <w:sz w:val="22"/>
        </w:rPr>
        <w:t xml:space="preserve">1.  </w:t>
      </w:r>
      <w:r>
        <w:rPr>
          <w:rFonts w:ascii="Calibri" w:hAnsi="Calibri"/>
          <w:color w:val="2D2D2D"/>
          <w:sz w:val="22"/>
        </w:rPr>
        <w:t>Executive Summary</w:t>
      </w:r>
    </w:p>
    <w:p>
      <w:pPr>
        <w:spacing w:after="80" w:before="40"/>
      </w:pPr>
      <w:r>
        <w:rPr>
          <w:rFonts w:ascii="Calibri" w:hAnsi="Calibri"/>
          <w:b/>
          <w:color w:val="3A86C8"/>
          <w:sz w:val="22"/>
        </w:rPr>
        <w:t xml:space="preserve">2.  </w:t>
      </w:r>
      <w:r>
        <w:rPr>
          <w:rFonts w:ascii="Calibri" w:hAnsi="Calibri"/>
          <w:color w:val="2D2D2D"/>
          <w:sz w:val="22"/>
        </w:rPr>
        <w:t>Revenue &amp; ARR Status</w:t>
      </w:r>
    </w:p>
    <w:p>
      <w:pPr>
        <w:spacing w:after="80" w:before="40"/>
      </w:pPr>
      <w:r>
        <w:rPr>
          <w:rFonts w:ascii="Calibri" w:hAnsi="Calibri"/>
          <w:b/>
          <w:color w:val="3A86C8"/>
          <w:sz w:val="22"/>
        </w:rPr>
        <w:t xml:space="preserve">3.  </w:t>
      </w:r>
      <w:r>
        <w:rPr>
          <w:rFonts w:ascii="Calibri" w:hAnsi="Calibri"/>
          <w:color w:val="2D2D2D"/>
          <w:sz w:val="22"/>
        </w:rPr>
        <w:t>Customer Acquisition</w:t>
      </w:r>
    </w:p>
    <w:p>
      <w:pPr>
        <w:spacing w:after="80" w:before="40"/>
      </w:pPr>
      <w:r>
        <w:rPr>
          <w:rFonts w:ascii="Calibri" w:hAnsi="Calibri"/>
          <w:b/>
          <w:color w:val="3A86C8"/>
          <w:sz w:val="22"/>
        </w:rPr>
        <w:t xml:space="preserve">4.  </w:t>
      </w:r>
      <w:r>
        <w:rPr>
          <w:rFonts w:ascii="Calibri" w:hAnsi="Calibri"/>
          <w:color w:val="2D2D2D"/>
          <w:sz w:val="22"/>
        </w:rPr>
        <w:t>Pipeline &amp; Deals</w:t>
      </w:r>
    </w:p>
    <w:p>
      <w:pPr>
        <w:spacing w:after="80" w:before="40"/>
      </w:pPr>
      <w:r>
        <w:rPr>
          <w:rFonts w:ascii="Calibri" w:hAnsi="Calibri"/>
          <w:b/>
          <w:color w:val="3A86C8"/>
          <w:sz w:val="22"/>
        </w:rPr>
        <w:t xml:space="preserve">5.  </w:t>
      </w:r>
      <w:r>
        <w:rPr>
          <w:rFonts w:ascii="Calibri" w:hAnsi="Calibri"/>
          <w:color w:val="2D2D2D"/>
          <w:sz w:val="22"/>
        </w:rPr>
        <w:t>Contract Execution &amp; Gainshare Model</w:t>
      </w:r>
    </w:p>
    <w:p>
      <w:pPr>
        <w:spacing w:after="80" w:before="40"/>
      </w:pPr>
      <w:r>
        <w:rPr>
          <w:rFonts w:ascii="Calibri" w:hAnsi="Calibri"/>
          <w:b/>
          <w:color w:val="3A86C8"/>
          <w:sz w:val="22"/>
        </w:rPr>
        <w:t xml:space="preserve">6.  </w:t>
      </w:r>
      <w:r>
        <w:rPr>
          <w:rFonts w:ascii="Calibri" w:hAnsi="Calibri"/>
          <w:color w:val="2D2D2D"/>
          <w:sz w:val="22"/>
        </w:rPr>
        <w:t>Go-To-Market Strategy</w:t>
      </w:r>
    </w:p>
    <w:p>
      <w:pPr>
        <w:spacing w:after="80" w:before="40"/>
      </w:pPr>
      <w:r>
        <w:rPr>
          <w:rFonts w:ascii="Calibri" w:hAnsi="Calibri"/>
          <w:b/>
          <w:color w:val="3A86C8"/>
          <w:sz w:val="22"/>
        </w:rPr>
        <w:t xml:space="preserve">7.  </w:t>
      </w:r>
      <w:r>
        <w:rPr>
          <w:rFonts w:ascii="Calibri" w:hAnsi="Calibri"/>
          <w:color w:val="2D2D2D"/>
          <w:sz w:val="22"/>
        </w:rPr>
        <w:t>Partnership &amp; Channel Strategy</w:t>
      </w:r>
    </w:p>
    <w:p>
      <w:pPr>
        <w:spacing w:after="80" w:before="40"/>
      </w:pPr>
      <w:r>
        <w:rPr>
          <w:rFonts w:ascii="Calibri" w:hAnsi="Calibri"/>
          <w:b/>
          <w:color w:val="3A86C8"/>
          <w:sz w:val="22"/>
        </w:rPr>
        <w:t xml:space="preserve">8.  </w:t>
      </w:r>
      <w:r>
        <w:rPr>
          <w:rFonts w:ascii="Calibri" w:hAnsi="Calibri"/>
          <w:color w:val="2D2D2D"/>
          <w:sz w:val="22"/>
        </w:rPr>
        <w:t>Competitive Positioning</w:t>
      </w:r>
    </w:p>
    <w:p>
      <w:pPr>
        <w:spacing w:after="80" w:before="40"/>
      </w:pPr>
      <w:r>
        <w:rPr>
          <w:rFonts w:ascii="Calibri" w:hAnsi="Calibri"/>
          <w:b/>
          <w:color w:val="3A86C8"/>
          <w:sz w:val="22"/>
        </w:rPr>
        <w:t xml:space="preserve">9.  </w:t>
      </w:r>
      <w:r>
        <w:rPr>
          <w:rFonts w:ascii="Calibri" w:hAnsi="Calibri"/>
          <w:color w:val="2D2D2D"/>
          <w:sz w:val="22"/>
        </w:rPr>
        <w:t>Key Commercial Risks</w:t>
      </w:r>
    </w:p>
    <w:p>
      <w:pPr>
        <w:spacing w:after="80" w:before="40"/>
      </w:pPr>
      <w:r>
        <w:rPr>
          <w:rFonts w:ascii="Calibri" w:hAnsi="Calibri"/>
          <w:b/>
          <w:color w:val="3A86C8"/>
          <w:sz w:val="22"/>
        </w:rPr>
        <w:t xml:space="preserve">10.  </w:t>
      </w:r>
      <w:r>
        <w:rPr>
          <w:rFonts w:ascii="Calibri" w:hAnsi="Calibri"/>
          <w:color w:val="2D2D2D"/>
          <w:sz w:val="22"/>
        </w:rPr>
        <w:t>CCO Strategic Recommendations — Top 5 Priorities</w:t>
      </w:r>
    </w:p>
    <w:p>
      <w:pPr>
        <w:spacing w:after="80" w:before="40"/>
      </w:pPr>
      <w:r>
        <w:rPr>
          <w:rFonts w:ascii="Calibri" w:hAnsi="Calibri"/>
          <w:b/>
          <w:color w:val="3A86C8"/>
          <w:sz w:val="22"/>
        </w:rPr>
        <w:t xml:space="preserve">11.  </w:t>
      </w:r>
      <w:r>
        <w:rPr>
          <w:rFonts w:ascii="Calibri" w:hAnsi="Calibri"/>
          <w:color w:val="2D2D2D"/>
          <w:sz w:val="22"/>
        </w:rPr>
        <w:t>Data Confidence Flags</w:t>
      </w:r>
    </w:p>
    <w:p>
      <w:pPr>
        <w:spacing w:after="80" w:before="40"/>
      </w:pPr>
      <w:r>
        <w:rPr>
          <w:rFonts w:ascii="Calibri" w:hAnsi="Calibri"/>
          <w:b/>
          <w:color w:val="3A86C8"/>
          <w:sz w:val="22"/>
        </w:rPr>
        <w:t xml:space="preserve">12.  </w:t>
      </w:r>
      <w:r>
        <w:rPr>
          <w:rFonts w:ascii="Calibri" w:hAnsi="Calibri"/>
          <w:color w:val="2D2D2D"/>
          <w:sz w:val="22"/>
        </w:rPr>
        <w:t>Closing Statement — Chief Strategy Officer</w:t>
      </w:r>
    </w:p>
    <w:p/>
    <w:p>
      <w:r>
        <w:br w:type="page"/>
      </w:r>
    </w:p>
    <w:p>
      <w:pPr>
        <w:pStyle w:val="Heading1"/>
      </w:pPr>
      <w:r>
        <w:t>Executive Summary</w:t>
      </w:r>
    </w:p>
    <w:p>
      <w:pPr>
        <w:spacing w:after="120" w:before="40" w:line="276" w:lineRule="auto"/>
        <w:jc w:val="both"/>
      </w:pPr>
      <w:r>
        <w:rPr>
          <w:rFonts w:ascii="Calibri" w:hAnsi="Calibri"/>
          <w:b/>
          <w:color w:val="2D2D2D"/>
          <w:sz w:val="22"/>
        </w:rPr>
        <w:t>RailVision Analytics is a pre-recurring-revenue AI-powered railroad optimization company operating in the North American shortline rail market.</w:t>
      </w:r>
      <w:r>
        <w:rPr>
          <w:rFonts w:ascii="Calibri" w:hAnsi="Calibri"/>
          <w:color w:val="2D2D2D"/>
          <w:sz w:val="22"/>
        </w:rPr>
        <w:t xml:space="preserve"> This report provides a comprehensive commercial intelligence briefing covering revenue pipeline, customer acquisition, go-to-market execution, partnership strategy, competitive positioning, and strategic risks. It represents the CCO's unvarnished assessment of where the company stands commercially — and what must happen next.</w:t>
      </w:r>
    </w:p>
    <w:p>
      <w:pPr>
        <w:spacing w:after="120" w:before="40" w:line="276" w:lineRule="auto"/>
        <w:jc w:val="both"/>
      </w:pPr>
      <w:r>
        <w:rPr>
          <w:rFonts w:ascii="Calibri" w:hAnsi="Calibri"/>
          <w:color w:val="2D2D2D"/>
          <w:sz w:val="22"/>
        </w:rPr>
        <w:t xml:space="preserve">The commercial picture is defined by a single structural reality: RailVision has a compelling product, a validated value proposition, and a $20M+ identified pipeline — but </w:t>
      </w:r>
      <w:r>
        <w:rPr>
          <w:rFonts w:ascii="Calibri" w:hAnsi="Calibri"/>
          <w:b/>
          <w:color w:val="2D2D2D"/>
          <w:sz w:val="22"/>
        </w:rPr>
        <w:t>everything converges on the successful validation of one pilot</w:t>
      </w:r>
      <w:r>
        <w:rPr>
          <w:rFonts w:ascii="Calibri" w:hAnsi="Calibri"/>
          <w:color w:val="2D2D2D"/>
          <w:sz w:val="22"/>
        </w:rPr>
        <w:t>. The Genesee &amp; Wyoming Railroad (GWRR) 90-day pilot across 3 properties is not merely a customer engagement; it is the foundational proof event that unlocks the entire commercial roadmap, the $3M strategic fundraise, and every partnership conversation currently in motion.</w:t>
      </w:r>
    </w:p>
    <w:p>
      <w:pPr>
        <w:spacing w:before="120" w:after="120"/>
        <w:ind w:left="720"/>
        <w:pBdr>
          <w:left w:val="single" w:sz="12" w:space="8" w:color="3A86C8"/>
        </w:pBdr>
      </w:pPr>
      <w:r>
        <w:rPr>
          <w:rFonts w:ascii="Calibri" w:hAnsi="Calibri"/>
          <w:i/>
          <w:color w:val="4A5A6A"/>
          <w:sz w:val="22"/>
        </w:rPr>
        <w:t>**Critical Dependency:** The GWRR pilot validation is the single most important commercial event in the company's history. Failure or delay cascades directly into fundraise collapse, pipeline stall, and partnership erosion.</w:t>
      </w:r>
    </w:p>
    <w:p>
      <w:pPr>
        <w:pStyle w:val="Heading2"/>
      </w:pPr>
      <w:r>
        <w:t>Key Commercial Highlights</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Metric</w:t>
            </w:r>
          </w:p>
        </w:tc>
        <w:tc>
          <w:tcPr>
            <w:tcW w:type="dxa" w:w="4680"/>
            <w:shd w:fill="1B2A4A" w:val="clear"/>
          </w:tcPr>
          <w:p>
            <w:pPr>
              <w:spacing w:before="60" w:after="60"/>
              <w:jc w:val="left"/>
            </w:pPr>
            <w:r/>
            <w:r>
              <w:rPr>
                <w:rFonts w:ascii="Calibri" w:hAnsi="Calibri"/>
                <w:b/>
                <w:color w:val="FFFFFF"/>
                <w:sz w:val="20"/>
              </w:rPr>
              <w:t>Value</w:t>
            </w:r>
          </w:p>
        </w:tc>
      </w:tr>
      <w:tr>
        <w:tc>
          <w:tcPr>
            <w:tcW w:type="dxa" w:w="4680"/>
          </w:tcPr>
          <w:p>
            <w:pPr>
              <w:spacing w:before="60" w:after="60"/>
              <w:jc w:val="left"/>
            </w:pPr>
            <w:r/>
            <w:r>
              <w:rPr>
                <w:rFonts w:ascii="Calibri" w:hAnsi="Calibri"/>
                <w:color w:val="2D2D2D"/>
                <w:sz w:val="20"/>
              </w:rPr>
              <w:t>**12-Month ARR Target**</w:t>
            </w:r>
          </w:p>
        </w:tc>
        <w:tc>
          <w:tcPr>
            <w:tcW w:type="dxa" w:w="4680"/>
          </w:tcPr>
          <w:p>
            <w:pPr>
              <w:spacing w:before="60" w:after="60"/>
              <w:jc w:val="left"/>
            </w:pPr>
            <w:r/>
            <w:r>
              <w:rPr>
                <w:rFonts w:ascii="Calibri" w:hAnsi="Calibri"/>
                <w:color w:val="2D2D2D"/>
                <w:sz w:val="20"/>
              </w:rPr>
              <w:t>**$2.5M**</w:t>
            </w:r>
          </w:p>
        </w:tc>
      </w:tr>
      <w:tr>
        <w:tc>
          <w:tcPr>
            <w:tcW w:type="dxa" w:w="4680"/>
            <w:shd w:fill="F0F4F8" w:val="clear"/>
          </w:tcPr>
          <w:p>
            <w:pPr>
              <w:spacing w:before="60" w:after="60"/>
              <w:jc w:val="left"/>
            </w:pPr>
            <w:r/>
            <w:r>
              <w:rPr>
                <w:rFonts w:ascii="Calibri" w:hAnsi="Calibri"/>
                <w:color w:val="2D2D2D"/>
                <w:sz w:val="20"/>
              </w:rPr>
              <w:t>**Total Identified Pipeline**</w:t>
            </w:r>
          </w:p>
        </w:tc>
        <w:tc>
          <w:tcPr>
            <w:tcW w:type="dxa" w:w="4680"/>
            <w:shd w:fill="F0F4F8" w:val="clear"/>
          </w:tcPr>
          <w:p>
            <w:pPr>
              <w:spacing w:before="60" w:after="60"/>
              <w:jc w:val="left"/>
            </w:pPr>
            <w:r/>
            <w:r>
              <w:rPr>
                <w:rFonts w:ascii="Calibri" w:hAnsi="Calibri"/>
                <w:color w:val="2D2D2D"/>
                <w:sz w:val="20"/>
              </w:rPr>
              <w:t>**$20M+** across 5 named accounts</w:t>
            </w:r>
          </w:p>
        </w:tc>
      </w:tr>
      <w:tr>
        <w:tc>
          <w:tcPr>
            <w:tcW w:type="dxa" w:w="4680"/>
          </w:tcPr>
          <w:p>
            <w:pPr>
              <w:spacing w:before="60" w:after="60"/>
              <w:jc w:val="left"/>
            </w:pPr>
            <w:r/>
            <w:r>
              <w:rPr>
                <w:rFonts w:ascii="Calibri" w:hAnsi="Calibri"/>
                <w:color w:val="2D2D2D"/>
                <w:sz w:val="20"/>
              </w:rPr>
              <w:t>**Primary Revenue Model**</w:t>
            </w:r>
          </w:p>
        </w:tc>
        <w:tc>
          <w:tcPr>
            <w:tcW w:type="dxa" w:w="4680"/>
          </w:tcPr>
          <w:p>
            <w:pPr>
              <w:spacing w:before="60" w:after="60"/>
              <w:jc w:val="left"/>
            </w:pPr>
            <w:r/>
            <w:r>
              <w:rPr>
                <w:rFonts w:ascii="Calibri" w:hAnsi="Calibri"/>
                <w:color w:val="2D2D2D"/>
                <w:sz w:val="20"/>
              </w:rPr>
              <w:t>Gainshare — 30% of verified fuel savings, zero upfront cost</w:t>
            </w:r>
          </w:p>
        </w:tc>
      </w:tr>
      <w:tr>
        <w:tc>
          <w:tcPr>
            <w:tcW w:type="dxa" w:w="4680"/>
            <w:shd w:fill="F0F4F8" w:val="clear"/>
          </w:tcPr>
          <w:p>
            <w:pPr>
              <w:spacing w:before="60" w:after="60"/>
              <w:jc w:val="left"/>
            </w:pPr>
            <w:r/>
            <w:r>
              <w:rPr>
                <w:rFonts w:ascii="Calibri" w:hAnsi="Calibri"/>
                <w:color w:val="2D2D2D"/>
                <w:sz w:val="20"/>
              </w:rPr>
              <w:t>**Active Pilot**</w:t>
            </w:r>
          </w:p>
        </w:tc>
        <w:tc>
          <w:tcPr>
            <w:tcW w:type="dxa" w:w="4680"/>
            <w:shd w:fill="F0F4F8" w:val="clear"/>
          </w:tcPr>
          <w:p>
            <w:pPr>
              <w:spacing w:before="60" w:after="60"/>
              <w:jc w:val="left"/>
            </w:pPr>
            <w:r/>
            <w:r>
              <w:rPr>
                <w:rFonts w:ascii="Calibri" w:hAnsi="Calibri"/>
                <w:color w:val="2D2D2D"/>
                <w:sz w:val="20"/>
              </w:rPr>
              <w:t>Genesee &amp; Wyoming — 3 properties, 90-day validation in progress</w:t>
            </w:r>
          </w:p>
        </w:tc>
      </w:tr>
      <w:tr>
        <w:tc>
          <w:tcPr>
            <w:tcW w:type="dxa" w:w="4680"/>
          </w:tcPr>
          <w:p>
            <w:pPr>
              <w:spacing w:before="60" w:after="60"/>
              <w:jc w:val="left"/>
            </w:pPr>
            <w:r/>
            <w:r>
              <w:rPr>
                <w:rFonts w:ascii="Calibri" w:hAnsi="Calibri"/>
                <w:color w:val="2D2D2D"/>
                <w:sz w:val="20"/>
              </w:rPr>
              <w:t>**Signed Term Sheet**</w:t>
            </w:r>
          </w:p>
        </w:tc>
        <w:tc>
          <w:tcPr>
            <w:tcW w:type="dxa" w:w="4680"/>
          </w:tcPr>
          <w:p>
            <w:pPr>
              <w:spacing w:before="60" w:after="60"/>
              <w:jc w:val="left"/>
            </w:pPr>
            <w:r/>
            <w:r>
              <w:rPr>
                <w:rFonts w:ascii="Calibri" w:hAnsi="Calibri"/>
                <w:color w:val="2D2D2D"/>
                <w:sz w:val="20"/>
              </w:rPr>
              <w:t>OmniTrax — pilot underway</w:t>
            </w:r>
          </w:p>
        </w:tc>
      </w:tr>
      <w:tr>
        <w:tc>
          <w:tcPr>
            <w:tcW w:type="dxa" w:w="4680"/>
            <w:shd w:fill="F0F4F8" w:val="clear"/>
          </w:tcPr>
          <w:p>
            <w:pPr>
              <w:spacing w:before="60" w:after="60"/>
              <w:jc w:val="left"/>
            </w:pPr>
            <w:r/>
            <w:r>
              <w:rPr>
                <w:rFonts w:ascii="Calibri" w:hAnsi="Calibri"/>
                <w:color w:val="2D2D2D"/>
                <w:sz w:val="20"/>
              </w:rPr>
              <w:t>**Priority Partnership**</w:t>
            </w:r>
          </w:p>
        </w:tc>
        <w:tc>
          <w:tcPr>
            <w:tcW w:type="dxa" w:w="4680"/>
            <w:shd w:fill="F0F4F8" w:val="clear"/>
          </w:tcPr>
          <w:p>
            <w:pPr>
              <w:spacing w:before="60" w:after="60"/>
              <w:jc w:val="left"/>
            </w:pPr>
            <w:r/>
            <w:r>
              <w:rPr>
                <w:rFonts w:ascii="Calibri" w:hAnsi="Calibri"/>
                <w:color w:val="2D2D2D"/>
                <w:sz w:val="20"/>
              </w:rPr>
              <w:t>Wabtec — fills their 650+ shortline coverage gap</w:t>
            </w:r>
          </w:p>
        </w:tc>
      </w:tr>
      <w:tr>
        <w:tc>
          <w:tcPr>
            <w:tcW w:type="dxa" w:w="4680"/>
          </w:tcPr>
          <w:p>
            <w:pPr>
              <w:spacing w:before="60" w:after="60"/>
              <w:jc w:val="left"/>
            </w:pPr>
            <w:r/>
            <w:r>
              <w:rPr>
                <w:rFonts w:ascii="Calibri" w:hAnsi="Calibri"/>
                <w:color w:val="2D2D2D"/>
                <w:sz w:val="20"/>
              </w:rPr>
              <w:t>**Critical Dependency**</w:t>
            </w:r>
          </w:p>
        </w:tc>
        <w:tc>
          <w:tcPr>
            <w:tcW w:type="dxa" w:w="4680"/>
          </w:tcPr>
          <w:p>
            <w:pPr>
              <w:spacing w:before="60" w:after="60"/>
              <w:jc w:val="left"/>
            </w:pPr>
            <w:r/>
            <w:r>
              <w:rPr>
                <w:rFonts w:ascii="Calibri" w:hAnsi="Calibri"/>
                <w:color w:val="2D2D2D"/>
                <w:sz w:val="20"/>
              </w:rPr>
              <w:t>GWRR pilot validation — unlocks fundraise, pipeline, and partnerships</w:t>
            </w:r>
          </w:p>
        </w:tc>
      </w:tr>
    </w:tbl>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tmprthxqdy3.png"/>
                    <pic:cNvPicPr/>
                  </pic:nvPicPr>
                  <pic:blipFill>
                    <a:blip r:embed="rId11"/>
                    <a:stretch>
                      <a:fillRect/>
                    </a:stretch>
                  </pic:blipFill>
                  <pic:spPr>
                    <a:xfrm>
                      <a:off x="0" y="0"/>
                      <a:ext cx="5029200" cy="3143250"/>
                    </a:xfrm>
                    <a:prstGeom prst="rect"/>
                  </pic:spPr>
                </pic:pic>
              </a:graphicData>
            </a:graphic>
          </wp:inline>
        </w:drawing>
      </w:r>
    </w:p>
    <w:p/>
    <w:p>
      <w:pPr>
        <w:spacing w:after="120" w:before="40" w:line="276" w:lineRule="auto"/>
        <w:jc w:val="both"/>
      </w:pPr>
      <w:r>
        <w:rPr>
          <w:rFonts w:ascii="Calibri" w:hAnsi="Calibri"/>
          <w:color w:val="2D2D2D"/>
          <w:sz w:val="22"/>
        </w:rPr>
        <w:t xml:space="preserve">The commercial strategy for the next 6–12 months is organized around five imperatives: </w:t>
      </w:r>
      <w:r>
        <w:rPr>
          <w:rFonts w:ascii="Calibri" w:hAnsi="Calibri"/>
          <w:b/>
          <w:color w:val="2D2D2D"/>
          <w:sz w:val="22"/>
        </w:rPr>
        <w:t>Validate</w:t>
      </w:r>
      <w:r>
        <w:rPr>
          <w:rFonts w:ascii="Calibri" w:hAnsi="Calibri"/>
          <w:color w:val="2D2D2D"/>
          <w:sz w:val="22"/>
        </w:rPr>
        <w:t xml:space="preserve"> the GWRR pilot, </w:t>
      </w:r>
      <w:r>
        <w:rPr>
          <w:rFonts w:ascii="Calibri" w:hAnsi="Calibri"/>
          <w:b/>
          <w:color w:val="2D2D2D"/>
          <w:sz w:val="22"/>
        </w:rPr>
        <w:t>Convert</w:t>
      </w:r>
      <w:r>
        <w:rPr>
          <w:rFonts w:ascii="Calibri" w:hAnsi="Calibri"/>
          <w:color w:val="2D2D2D"/>
          <w:sz w:val="22"/>
        </w:rPr>
        <w:t xml:space="preserve"> OmniTrax to revenue, </w:t>
      </w:r>
      <w:r>
        <w:rPr>
          <w:rFonts w:ascii="Calibri" w:hAnsi="Calibri"/>
          <w:b/>
          <w:color w:val="2D2D2D"/>
          <w:sz w:val="22"/>
        </w:rPr>
        <w:t>Scale</w:t>
      </w:r>
      <w:r>
        <w:rPr>
          <w:rFonts w:ascii="Calibri" w:hAnsi="Calibri"/>
          <w:color w:val="2D2D2D"/>
          <w:sz w:val="22"/>
        </w:rPr>
        <w:t xml:space="preserve"> the first repeatable sales motion, </w:t>
      </w:r>
      <w:r>
        <w:rPr>
          <w:rFonts w:ascii="Calibri" w:hAnsi="Calibri"/>
          <w:b/>
          <w:color w:val="2D2D2D"/>
          <w:sz w:val="22"/>
        </w:rPr>
        <w:t>Partner</w:t>
      </w:r>
      <w:r>
        <w:rPr>
          <w:rFonts w:ascii="Calibri" w:hAnsi="Calibri"/>
          <w:color w:val="2D2D2D"/>
          <w:sz w:val="22"/>
        </w:rPr>
        <w:t xml:space="preserve"> strategically with Wabtec, and </w:t>
      </w:r>
      <w:r>
        <w:rPr>
          <w:rFonts w:ascii="Calibri" w:hAnsi="Calibri"/>
          <w:b/>
          <w:color w:val="2D2D2D"/>
          <w:sz w:val="22"/>
        </w:rPr>
        <w:t>Discipline</w:t>
      </w:r>
      <w:r>
        <w:rPr>
          <w:rFonts w:ascii="Calibri" w:hAnsi="Calibri"/>
          <w:color w:val="2D2D2D"/>
          <w:sz w:val="22"/>
        </w:rPr>
        <w:t xml:space="preserve"> projections for investor credibility.</w:t>
      </w:r>
    </w:p>
    <w:p>
      <w:pPr>
        <w:spacing w:before="200" w:after="200"/>
        <w:jc w:val="center"/>
      </w:pPr>
      <w:r>
        <w:rPr>
          <w:color w:val="D0D5DD"/>
          <w:sz w:val="12"/>
        </w:rPr>
        <w:t>──────────────────────────────────────────────────────────────────────</w:t>
      </w:r>
    </w:p>
    <w:p>
      <w:pPr>
        <w:spacing w:after="120" w:before="40" w:line="276" w:lineRule="auto"/>
        <w:jc w:val="both"/>
      </w:pPr>
      <w:r>
        <w:rPr>
          <w:rFonts w:ascii="Calibri" w:hAnsi="Calibri"/>
          <w:b/>
          <w:color w:val="2D2D2D"/>
          <w:sz w:val="22"/>
        </w:rPr>
        <w:t>Bottom line from the CCO:</w:t>
      </w:r>
      <w:r>
        <w:rPr>
          <w:rFonts w:ascii="Calibri" w:hAnsi="Calibri"/>
          <w:color w:val="2D2D2D"/>
          <w:sz w:val="22"/>
        </w:rPr>
        <w:t xml:space="preserve"> </w:t>
      </w:r>
      <w:r>
        <w:rPr>
          <w:rFonts w:ascii="Calibri" w:hAnsi="Calibri"/>
          <w:i/>
          <w:color w:val="2D2D2D"/>
          <w:sz w:val="22"/>
        </w:rPr>
        <w:t>The $2.5M ARR target is achievable — but it is not inevitable. It requires flawless pilot execution, rapid OmniTrax conversion, and at least 3–5 additional property deployments before Q4 2026. There is no margin for error on the GWRR timeline.</w:t>
      </w:r>
    </w:p>
    <w:p>
      <w:pPr>
        <w:spacing w:before="160" w:after="160"/>
        <w:jc w:val="center"/>
      </w:pPr>
      <w:r>
        <w:rPr>
          <w:color w:val="D0D5DD"/>
          <w:sz w:val="16"/>
        </w:rPr>
        <w:t>────────────────────────────────────────────────────────────</w:t>
      </w:r>
    </w:p>
    <w:p>
      <w:pPr>
        <w:pStyle w:val="Heading1"/>
      </w:pPr>
      <w:r>
        <w:t>Revenue &amp; ARR Status</w:t>
      </w:r>
    </w:p>
    <w:p>
      <w:pPr>
        <w:pStyle w:val="Heading2"/>
      </w:pPr>
      <w:r>
        <w:t>Current State</w:t>
      </w:r>
    </w:p>
    <w:p>
      <w:pPr>
        <w:spacing w:after="120" w:before="40" w:line="276" w:lineRule="auto"/>
        <w:jc w:val="both"/>
      </w:pPr>
      <w:r>
        <w:rPr>
          <w:rFonts w:ascii="Calibri" w:hAnsi="Calibri"/>
          <w:color w:val="2D2D2D"/>
          <w:sz w:val="22"/>
        </w:rPr>
        <w:t xml:space="preserve">RailVision Analytics is in a </w:t>
      </w:r>
      <w:r>
        <w:rPr>
          <w:rFonts w:ascii="Calibri" w:hAnsi="Calibri"/>
          <w:b/>
          <w:color w:val="2D2D2D"/>
          <w:sz w:val="22"/>
        </w:rPr>
        <w:t>pre-recurring-revenue stage</w:t>
      </w:r>
      <w:r>
        <w:rPr>
          <w:rFonts w:ascii="Calibri" w:hAnsi="Calibri"/>
          <w:color w:val="2D2D2D"/>
          <w:sz w:val="22"/>
        </w:rPr>
        <w:t>, actively conducting pilot validation with its first customers. The company has not yet recognized recurring revenue under its gainshare model, though the economic framework — 30% of verified fuel savings with zero upfront customer cost — has been contractually established with GWRR and OmniTrax.</w:t>
      </w:r>
    </w:p>
    <w:p>
      <w:pPr>
        <w:pStyle w:val="Heading2"/>
      </w:pPr>
      <w:r>
        <w:t>ARR Targets &amp; Market Sizing</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Metric</w:t>
            </w:r>
          </w:p>
        </w:tc>
        <w:tc>
          <w:tcPr>
            <w:tcW w:type="dxa" w:w="4680"/>
            <w:shd w:fill="1B2A4A" w:val="clear"/>
          </w:tcPr>
          <w:p>
            <w:pPr>
              <w:spacing w:before="60" w:after="60"/>
              <w:jc w:val="left"/>
            </w:pPr>
            <w:r/>
            <w:r>
              <w:rPr>
                <w:rFonts w:ascii="Calibri" w:hAnsi="Calibri"/>
                <w:b/>
                <w:color w:val="FFFFFF"/>
                <w:sz w:val="20"/>
              </w:rPr>
              <w:t>Value</w:t>
            </w:r>
          </w:p>
        </w:tc>
      </w:tr>
      <w:tr>
        <w:tc>
          <w:tcPr>
            <w:tcW w:type="dxa" w:w="4680"/>
          </w:tcPr>
          <w:p>
            <w:pPr>
              <w:spacing w:before="60" w:after="60"/>
              <w:jc w:val="left"/>
            </w:pPr>
            <w:r/>
            <w:r>
              <w:rPr>
                <w:rFonts w:ascii="Calibri" w:hAnsi="Calibri"/>
                <w:color w:val="2D2D2D"/>
                <w:sz w:val="20"/>
              </w:rPr>
              <w:t>**12-Month ARR Target**</w:t>
            </w:r>
          </w:p>
        </w:tc>
        <w:tc>
          <w:tcPr>
            <w:tcW w:type="dxa" w:w="4680"/>
          </w:tcPr>
          <w:p>
            <w:pPr>
              <w:spacing w:before="60" w:after="60"/>
              <w:jc w:val="left"/>
            </w:pPr>
            <w:r/>
            <w:r>
              <w:rPr>
                <w:rFonts w:ascii="Calibri" w:hAnsi="Calibri"/>
                <w:color w:val="2D2D2D"/>
                <w:sz w:val="20"/>
              </w:rPr>
              <w:t>**$2.5M**</w:t>
            </w:r>
          </w:p>
        </w:tc>
      </w:tr>
      <w:tr>
        <w:tc>
          <w:tcPr>
            <w:tcW w:type="dxa" w:w="4680"/>
            <w:shd w:fill="F0F4F8" w:val="clear"/>
          </w:tcPr>
          <w:p>
            <w:pPr>
              <w:spacing w:before="60" w:after="60"/>
              <w:jc w:val="left"/>
            </w:pPr>
            <w:r/>
            <w:r>
              <w:rPr>
                <w:rFonts w:ascii="Calibri" w:hAnsi="Calibri"/>
                <w:color w:val="2D2D2D"/>
                <w:sz w:val="20"/>
              </w:rPr>
              <w:t>North American Shortline TAM</w:t>
            </w:r>
          </w:p>
        </w:tc>
        <w:tc>
          <w:tcPr>
            <w:tcW w:type="dxa" w:w="4680"/>
            <w:shd w:fill="F0F4F8" w:val="clear"/>
          </w:tcPr>
          <w:p>
            <w:pPr>
              <w:spacing w:before="60" w:after="60"/>
              <w:jc w:val="left"/>
            </w:pPr>
            <w:r/>
            <w:r>
              <w:rPr>
                <w:rFonts w:ascii="Calibri" w:hAnsi="Calibri"/>
                <w:color w:val="2D2D2D"/>
                <w:sz w:val="20"/>
              </w:rPr>
              <w:t>$9.2M ARR</w:t>
            </w:r>
          </w:p>
        </w:tc>
      </w:tr>
      <w:tr>
        <w:tc>
          <w:tcPr>
            <w:tcW w:type="dxa" w:w="4680"/>
          </w:tcPr>
          <w:p>
            <w:pPr>
              <w:spacing w:before="60" w:after="60"/>
              <w:jc w:val="left"/>
            </w:pPr>
            <w:r/>
            <w:r>
              <w:rPr>
                <w:rFonts w:ascii="Calibri" w:hAnsi="Calibri"/>
                <w:color w:val="2D2D2D"/>
                <w:sz w:val="20"/>
              </w:rPr>
              <w:t>Broader Shortline Addressable Market</w:t>
            </w:r>
          </w:p>
        </w:tc>
        <w:tc>
          <w:tcPr>
            <w:tcW w:type="dxa" w:w="4680"/>
          </w:tcPr>
          <w:p>
            <w:pPr>
              <w:spacing w:before="60" w:after="60"/>
              <w:jc w:val="left"/>
            </w:pPr>
            <w:r/>
            <w:r>
              <w:rPr>
                <w:rFonts w:ascii="Calibri" w:hAnsi="Calibri"/>
                <w:color w:val="2D2D2D"/>
                <w:sz w:val="20"/>
              </w:rPr>
              <w:t>$300–375M (from $600–750M fuel spend, 650 railroads)</w:t>
            </w:r>
          </w:p>
        </w:tc>
      </w:tr>
      <w:tr>
        <w:tc>
          <w:tcPr>
            <w:tcW w:type="dxa" w:w="4680"/>
            <w:shd w:fill="F0F4F8" w:val="clear"/>
          </w:tcPr>
          <w:p>
            <w:pPr>
              <w:spacing w:before="60" w:after="60"/>
              <w:jc w:val="left"/>
            </w:pPr>
            <w:r/>
            <w:r>
              <w:rPr>
                <w:rFonts w:ascii="Calibri" w:hAnsi="Calibri"/>
                <w:color w:val="2D2D2D"/>
                <w:sz w:val="20"/>
              </w:rPr>
              <w:t>North American Shortline ARR Potential</w:t>
            </w:r>
          </w:p>
        </w:tc>
        <w:tc>
          <w:tcPr>
            <w:tcW w:type="dxa" w:w="4680"/>
            <w:shd w:fill="F0F4F8" w:val="clear"/>
          </w:tcPr>
          <w:p>
            <w:pPr>
              <w:spacing w:before="60" w:after="60"/>
              <w:jc w:val="left"/>
            </w:pPr>
            <w:r/>
            <w:r>
              <w:rPr>
                <w:rFonts w:ascii="Calibri" w:hAnsi="Calibri"/>
                <w:color w:val="2D2D2D"/>
                <w:sz w:val="20"/>
              </w:rPr>
              <w:t>$7.2–10.8M</w:t>
            </w:r>
          </w:p>
        </w:tc>
      </w:tr>
      <w:tr>
        <w:tc>
          <w:tcPr>
            <w:tcW w:type="dxa" w:w="4680"/>
          </w:tcPr>
          <w:p>
            <w:pPr>
              <w:spacing w:before="60" w:after="60"/>
              <w:jc w:val="left"/>
            </w:pPr>
            <w:r/>
            <w:r>
              <w:rPr>
                <w:rFonts w:ascii="Calibri" w:hAnsi="Calibri"/>
                <w:color w:val="2D2D2D"/>
                <w:sz w:val="20"/>
              </w:rPr>
              <w:t>Class I Market (Long-Term)</w:t>
            </w:r>
          </w:p>
        </w:tc>
        <w:tc>
          <w:tcPr>
            <w:tcW w:type="dxa" w:w="4680"/>
          </w:tcPr>
          <w:p>
            <w:pPr>
              <w:spacing w:before="60" w:after="60"/>
              <w:jc w:val="left"/>
            </w:pPr>
            <w:r/>
            <w:r>
              <w:rPr>
                <w:rFonts w:ascii="Calibri" w:hAnsi="Calibri"/>
                <w:color w:val="2D2D2D"/>
                <w:sz w:val="20"/>
              </w:rPr>
              <w:t>$113–142M ARR potential</w:t>
            </w:r>
          </w:p>
        </w:tc>
      </w:tr>
      <w:tr>
        <w:tc>
          <w:tcPr>
            <w:tcW w:type="dxa" w:w="4680"/>
            <w:shd w:fill="F0F4F8" w:val="clear"/>
          </w:tcPr>
          <w:p>
            <w:pPr>
              <w:spacing w:before="60" w:after="60"/>
              <w:jc w:val="left"/>
            </w:pPr>
            <w:r/>
            <w:r>
              <w:rPr>
                <w:rFonts w:ascii="Calibri" w:hAnsi="Calibri"/>
                <w:color w:val="2D2D2D"/>
                <w:sz w:val="20"/>
              </w:rPr>
              <w:t>Global Market (Total)</w:t>
            </w:r>
          </w:p>
        </w:tc>
        <w:tc>
          <w:tcPr>
            <w:tcW w:type="dxa" w:w="4680"/>
            <w:shd w:fill="F0F4F8" w:val="clear"/>
          </w:tcPr>
          <w:p>
            <w:pPr>
              <w:spacing w:before="60" w:after="60"/>
              <w:jc w:val="left"/>
            </w:pPr>
            <w:r/>
            <w:r>
              <w:rPr>
                <w:rFonts w:ascii="Calibri" w:hAnsi="Calibri"/>
                <w:color w:val="2D2D2D"/>
                <w:sz w:val="20"/>
              </w:rPr>
              <w:t>~$2.5B USD</w:t>
            </w:r>
          </w:p>
        </w:tc>
      </w:tr>
      <w:tr>
        <w:tc>
          <w:tcPr>
            <w:tcW w:type="dxa" w:w="4680"/>
          </w:tcPr>
          <w:p>
            <w:pPr>
              <w:spacing w:before="60" w:after="60"/>
              <w:jc w:val="left"/>
            </w:pPr>
            <w:r/>
            <w:r>
              <w:rPr>
                <w:rFonts w:ascii="Calibri" w:hAnsi="Calibri"/>
                <w:color w:val="2D2D2D"/>
                <w:sz w:val="20"/>
              </w:rPr>
              <w:t>Exit Valuation Target</w:t>
            </w:r>
          </w:p>
        </w:tc>
        <w:tc>
          <w:tcPr>
            <w:tcW w:type="dxa" w:w="4680"/>
          </w:tcPr>
          <w:p>
            <w:pPr>
              <w:spacing w:before="60" w:after="60"/>
              <w:jc w:val="left"/>
            </w:pPr>
            <w:r/>
            <w:r>
              <w:rPr>
                <w:rFonts w:ascii="Calibri" w:hAnsi="Calibri"/>
                <w:color w:val="2D2D2D"/>
                <w:sz w:val="20"/>
              </w:rPr>
              <w:t>$50M–$100M</w:t>
            </w:r>
          </w:p>
        </w:tc>
      </w:tr>
    </w:tbl>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tmpvaf3hxbq.png"/>
                    <pic:cNvPicPr/>
                  </pic:nvPicPr>
                  <pic:blipFill>
                    <a:blip r:embed="rId12"/>
                    <a:stretch>
                      <a:fillRect/>
                    </a:stretch>
                  </pic:blipFill>
                  <pic:spPr>
                    <a:xfrm>
                      <a:off x="0" y="0"/>
                      <a:ext cx="5029200" cy="3143250"/>
                    </a:xfrm>
                    <a:prstGeom prst="rect"/>
                  </pic:spPr>
                </pic:pic>
              </a:graphicData>
            </a:graphic>
          </wp:inline>
        </w:drawing>
      </w:r>
    </w:p>
    <w:p/>
    <w:p>
      <w:pPr>
        <w:spacing w:before="120" w:after="120"/>
        <w:ind w:left="720"/>
        <w:pBdr>
          <w:left w:val="single" w:sz="12" w:space="8" w:color="3A86C8"/>
        </w:pBdr>
      </w:pPr>
      <w:r>
        <w:rPr>
          <w:rFonts w:ascii="Calibri" w:hAnsi="Calibri"/>
          <w:i/>
          <w:color w:val="4A5A6A"/>
          <w:sz w:val="22"/>
        </w:rPr>
        <w:t>**Important caveat:** Class I and Global market figures are aspirational, long-term projections. Near-term commercial planning should be grounded exclusively in the North American shortline TAM of $9.2M ARR.</w:t>
      </w:r>
    </w:p>
    <w:p>
      <w:pPr>
        <w:pStyle w:val="Heading2"/>
      </w:pPr>
      <w:r>
        <w:t>ARR Pipeline by Account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Account</w:t>
            </w:r>
          </w:p>
        </w:tc>
        <w:tc>
          <w:tcPr>
            <w:tcW w:type="dxa" w:w="3120"/>
            <w:shd w:fill="1B2A4A" w:val="clear"/>
          </w:tcPr>
          <w:p>
            <w:pPr>
              <w:spacing w:before="60" w:after="60"/>
              <w:jc w:val="left"/>
            </w:pPr>
            <w:r/>
            <w:r>
              <w:rPr>
                <w:rFonts w:ascii="Calibri" w:hAnsi="Calibri"/>
                <w:b/>
                <w:color w:val="FFFFFF"/>
                <w:sz w:val="20"/>
              </w:rPr>
              <w:t>ARR Potential</w:t>
            </w:r>
          </w:p>
        </w:tc>
        <w:tc>
          <w:tcPr>
            <w:tcW w:type="dxa" w:w="3120"/>
            <w:shd w:fill="1B2A4A" w:val="clear"/>
          </w:tcPr>
          <w:p>
            <w:pPr>
              <w:spacing w:before="60" w:after="60"/>
              <w:jc w:val="left"/>
            </w:pPr>
            <w:r/>
            <w:r>
              <w:rPr>
                <w:rFonts w:ascii="Calibri" w:hAnsi="Calibri"/>
                <w:b/>
                <w:color w:val="FFFFFF"/>
                <w:sz w:val="20"/>
              </w:rPr>
              <w:t>Status</w:t>
            </w:r>
          </w:p>
        </w:tc>
      </w:tr>
      <w:tr>
        <w:tc>
          <w:tcPr>
            <w:tcW w:type="dxa" w:w="3120"/>
          </w:tcPr>
          <w:p>
            <w:pPr>
              <w:spacing w:before="60" w:after="60"/>
              <w:jc w:val="left"/>
            </w:pPr>
            <w:r/>
            <w:r>
              <w:rPr>
                <w:rFonts w:ascii="Calibri" w:hAnsi="Calibri"/>
                <w:color w:val="2D2D2D"/>
                <w:sz w:val="20"/>
              </w:rPr>
              <w:t>**Genesee &amp; Wyoming (G&amp;W)**</w:t>
            </w:r>
          </w:p>
        </w:tc>
        <w:tc>
          <w:tcPr>
            <w:tcW w:type="dxa" w:w="3120"/>
          </w:tcPr>
          <w:p>
            <w:pPr>
              <w:spacing w:before="60" w:after="60"/>
              <w:jc w:val="left"/>
            </w:pPr>
            <w:r/>
            <w:r>
              <w:rPr>
                <w:rFonts w:ascii="Calibri" w:hAnsi="Calibri"/>
                <w:color w:val="2D2D2D"/>
                <w:sz w:val="20"/>
              </w:rPr>
              <w:t>**$10M (full), $2.7M (near-term)**</w:t>
            </w:r>
          </w:p>
        </w:tc>
        <w:tc>
          <w:tcPr>
            <w:tcW w:type="dxa" w:w="3120"/>
          </w:tcPr>
          <w:p>
            <w:pPr>
              <w:spacing w:before="60" w:after="60"/>
              <w:jc w:val="left"/>
            </w:pPr>
            <w:r/>
            <w:r>
              <w:rPr>
                <w:rFonts w:ascii="Calibri" w:hAnsi="Calibri"/>
                <w:color w:val="2D2D2D"/>
                <w:sz w:val="20"/>
              </w:rPr>
              <w:t>**Active pilot — 3 properties, 90-day validation**</w:t>
            </w:r>
          </w:p>
        </w:tc>
      </w:tr>
      <w:tr>
        <w:tc>
          <w:tcPr>
            <w:tcW w:type="dxa" w:w="3120"/>
            <w:shd w:fill="F0F4F8" w:val="clear"/>
          </w:tcPr>
          <w:p>
            <w:pPr>
              <w:spacing w:before="60" w:after="60"/>
              <w:jc w:val="left"/>
            </w:pPr>
            <w:r/>
            <w:r>
              <w:rPr>
                <w:rFonts w:ascii="Calibri" w:hAnsi="Calibri"/>
                <w:color w:val="2D2D2D"/>
                <w:sz w:val="20"/>
              </w:rPr>
              <w:t>Watco</w:t>
            </w:r>
          </w:p>
        </w:tc>
        <w:tc>
          <w:tcPr>
            <w:tcW w:type="dxa" w:w="3120"/>
            <w:shd w:fill="F0F4F8" w:val="clear"/>
          </w:tcPr>
          <w:p>
            <w:pPr>
              <w:spacing w:before="60" w:after="60"/>
              <w:jc w:val="left"/>
            </w:pPr>
            <w:r/>
            <w:r>
              <w:rPr>
                <w:rFonts w:ascii="Calibri" w:hAnsi="Calibri"/>
                <w:color w:val="2D2D2D"/>
                <w:sz w:val="20"/>
              </w:rPr>
              <w:t>$5M</w:t>
            </w:r>
          </w:p>
        </w:tc>
        <w:tc>
          <w:tcPr>
            <w:tcW w:type="dxa" w:w="3120"/>
            <w:shd w:fill="F0F4F8" w:val="clear"/>
          </w:tcPr>
          <w:p>
            <w:pPr>
              <w:spacing w:before="60" w:after="60"/>
              <w:jc w:val="left"/>
            </w:pPr>
            <w:r/>
            <w:r>
              <w:rPr>
                <w:rFonts w:ascii="Calibri" w:hAnsi="Calibri"/>
                <w:color w:val="2D2D2D"/>
                <w:sz w:val="20"/>
              </w:rPr>
              <w:t>Prospect — 45 railroads</w:t>
            </w:r>
          </w:p>
        </w:tc>
      </w:tr>
      <w:tr>
        <w:tc>
          <w:tcPr>
            <w:tcW w:type="dxa" w:w="3120"/>
          </w:tcPr>
          <w:p>
            <w:pPr>
              <w:spacing w:before="60" w:after="60"/>
              <w:jc w:val="left"/>
            </w:pPr>
            <w:r/>
            <w:r>
              <w:rPr>
                <w:rFonts w:ascii="Calibri" w:hAnsi="Calibri"/>
                <w:color w:val="2D2D2D"/>
                <w:sz w:val="20"/>
              </w:rPr>
              <w:t>Via Rail</w:t>
            </w:r>
          </w:p>
        </w:tc>
        <w:tc>
          <w:tcPr>
            <w:tcW w:type="dxa" w:w="3120"/>
          </w:tcPr>
          <w:p>
            <w:pPr>
              <w:spacing w:before="60" w:after="60"/>
              <w:jc w:val="left"/>
            </w:pPr>
            <w:r/>
            <w:r>
              <w:rPr>
                <w:rFonts w:ascii="Calibri" w:hAnsi="Calibri"/>
                <w:color w:val="2D2D2D"/>
                <w:sz w:val="20"/>
              </w:rPr>
              <w:t>$3.5M</w:t>
            </w:r>
          </w:p>
        </w:tc>
        <w:tc>
          <w:tcPr>
            <w:tcW w:type="dxa" w:w="3120"/>
          </w:tcPr>
          <w:p>
            <w:pPr>
              <w:spacing w:before="60" w:after="60"/>
              <w:jc w:val="left"/>
            </w:pPr>
            <w:r/>
            <w:r>
              <w:rPr>
                <w:rFonts w:ascii="Calibri" w:hAnsi="Calibri"/>
                <w:color w:val="2D2D2D"/>
                <w:sz w:val="20"/>
              </w:rPr>
              <w:t>Prospect — largest passenger railroad in Canada</w:t>
            </w:r>
          </w:p>
        </w:tc>
      </w:tr>
      <w:tr>
        <w:tc>
          <w:tcPr>
            <w:tcW w:type="dxa" w:w="3120"/>
            <w:shd w:fill="F0F4F8" w:val="clear"/>
          </w:tcPr>
          <w:p>
            <w:pPr>
              <w:spacing w:before="60" w:after="60"/>
              <w:jc w:val="left"/>
            </w:pPr>
            <w:r/>
            <w:r>
              <w:rPr>
                <w:rFonts w:ascii="Calibri" w:hAnsi="Calibri"/>
                <w:color w:val="2D2D2D"/>
                <w:sz w:val="20"/>
              </w:rPr>
              <w:t>Wheeling &amp; Lake Erie</w:t>
            </w:r>
          </w:p>
        </w:tc>
        <w:tc>
          <w:tcPr>
            <w:tcW w:type="dxa" w:w="3120"/>
            <w:shd w:fill="F0F4F8" w:val="clear"/>
          </w:tcPr>
          <w:p>
            <w:pPr>
              <w:spacing w:before="60" w:after="60"/>
              <w:jc w:val="left"/>
            </w:pPr>
            <w:r/>
            <w:r>
              <w:rPr>
                <w:rFonts w:ascii="Calibri" w:hAnsi="Calibri"/>
                <w:color w:val="2D2D2D"/>
                <w:sz w:val="20"/>
              </w:rPr>
              <w:t>$1.5M</w:t>
            </w:r>
          </w:p>
        </w:tc>
        <w:tc>
          <w:tcPr>
            <w:tcW w:type="dxa" w:w="3120"/>
            <w:shd w:fill="F0F4F8" w:val="clear"/>
          </w:tcPr>
          <w:p>
            <w:pPr>
              <w:spacing w:before="60" w:after="60"/>
              <w:jc w:val="left"/>
            </w:pPr>
            <w:r/>
            <w:r>
              <w:rPr>
                <w:rFonts w:ascii="Calibri" w:hAnsi="Calibri"/>
                <w:color w:val="2D2D2D"/>
                <w:sz w:val="20"/>
              </w:rPr>
              <w:t>Prospect — Major Class II</w:t>
            </w:r>
          </w:p>
        </w:tc>
      </w:tr>
      <w:tr>
        <w:tc>
          <w:tcPr>
            <w:tcW w:type="dxa" w:w="3120"/>
          </w:tcPr>
          <w:p>
            <w:pPr>
              <w:spacing w:before="60" w:after="60"/>
              <w:jc w:val="left"/>
            </w:pPr>
            <w:r/>
            <w:r>
              <w:rPr>
                <w:rFonts w:ascii="Calibri" w:hAnsi="Calibri"/>
                <w:color w:val="2D2D2D"/>
                <w:sz w:val="20"/>
              </w:rPr>
              <w:t>**Total Identified Pipeline**</w:t>
            </w:r>
          </w:p>
        </w:tc>
        <w:tc>
          <w:tcPr>
            <w:tcW w:type="dxa" w:w="3120"/>
          </w:tcPr>
          <w:p>
            <w:pPr>
              <w:spacing w:before="60" w:after="60"/>
              <w:jc w:val="left"/>
            </w:pPr>
            <w:r/>
            <w:r>
              <w:rPr>
                <w:rFonts w:ascii="Calibri" w:hAnsi="Calibri"/>
                <w:color w:val="2D2D2D"/>
                <w:sz w:val="20"/>
              </w:rPr>
              <w:t>**$20M+**</w:t>
            </w:r>
          </w:p>
        </w:tc>
        <w:tc>
          <w:tcPr>
            <w:tcW w:type="dxa" w:w="3120"/>
          </w:tcPr>
          <w:p>
            <w:pPr>
              <w:spacing w:before="60" w:after="60"/>
              <w:jc w:val="left"/>
            </w:pPr>
            <w:r/>
            <w:r>
              <w:rPr>
                <w:rFonts w:ascii="Calibri" w:hAnsi="Calibri"/>
                <w:color w:val="2D2D2D"/>
                <w:sz w:val="20"/>
              </w:rPr>
              <w:t>**Mixed stages**</w:t>
            </w:r>
          </w:p>
        </w:tc>
      </w:tr>
    </w:tbl>
    <w:p/>
    <w:p>
      <w:pPr>
        <w:pStyle w:val="Heading2"/>
      </w:pPr>
      <w:r>
        <w:t>Revenue Model Economics</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Revenue Metric</w:t>
            </w:r>
          </w:p>
        </w:tc>
        <w:tc>
          <w:tcPr>
            <w:tcW w:type="dxa" w:w="4680"/>
            <w:shd w:fill="1B2A4A" w:val="clear"/>
          </w:tcPr>
          <w:p>
            <w:pPr>
              <w:spacing w:before="60" w:after="60"/>
              <w:jc w:val="left"/>
            </w:pPr>
            <w:r/>
            <w:r>
              <w:rPr>
                <w:rFonts w:ascii="Calibri" w:hAnsi="Calibri"/>
                <w:b/>
                <w:color w:val="FFFFFF"/>
                <w:sz w:val="20"/>
              </w:rPr>
              <w:t>Value</w:t>
            </w:r>
          </w:p>
        </w:tc>
      </w:tr>
      <w:tr>
        <w:tc>
          <w:tcPr>
            <w:tcW w:type="dxa" w:w="4680"/>
          </w:tcPr>
          <w:p>
            <w:pPr>
              <w:spacing w:before="60" w:after="60"/>
              <w:jc w:val="left"/>
            </w:pPr>
            <w:r/>
            <w:r>
              <w:rPr>
                <w:rFonts w:ascii="Calibri" w:hAnsi="Calibri"/>
                <w:color w:val="2D2D2D"/>
                <w:sz w:val="20"/>
              </w:rPr>
              <w:t>Gainshare Rate</w:t>
            </w:r>
          </w:p>
        </w:tc>
        <w:tc>
          <w:tcPr>
            <w:tcW w:type="dxa" w:w="4680"/>
          </w:tcPr>
          <w:p>
            <w:pPr>
              <w:spacing w:before="60" w:after="60"/>
              <w:jc w:val="left"/>
            </w:pPr>
            <w:r/>
            <w:r>
              <w:rPr>
                <w:rFonts w:ascii="Calibri" w:hAnsi="Calibri"/>
                <w:color w:val="2D2D2D"/>
                <w:sz w:val="20"/>
              </w:rPr>
              <w:t>30% of verified fuel savings</w:t>
            </w:r>
          </w:p>
        </w:tc>
      </w:tr>
      <w:tr>
        <w:tc>
          <w:tcPr>
            <w:tcW w:type="dxa" w:w="4680"/>
            <w:shd w:fill="F0F4F8" w:val="clear"/>
          </w:tcPr>
          <w:p>
            <w:pPr>
              <w:spacing w:before="60" w:after="60"/>
              <w:jc w:val="left"/>
            </w:pPr>
            <w:r/>
            <w:r>
              <w:rPr>
                <w:rFonts w:ascii="Calibri" w:hAnsi="Calibri"/>
                <w:color w:val="2D2D2D"/>
                <w:sz w:val="20"/>
              </w:rPr>
              <w:t>Fuel Savings — Model Verified</w:t>
            </w:r>
          </w:p>
        </w:tc>
        <w:tc>
          <w:tcPr>
            <w:tcW w:type="dxa" w:w="4680"/>
            <w:shd w:fill="F0F4F8" w:val="clear"/>
          </w:tcPr>
          <w:p>
            <w:pPr>
              <w:spacing w:before="60" w:after="60"/>
              <w:jc w:val="left"/>
            </w:pPr>
            <w:r/>
            <w:r>
              <w:rPr>
                <w:rFonts w:ascii="Calibri" w:hAnsi="Calibri"/>
                <w:color w:val="2D2D2D"/>
                <w:sz w:val="20"/>
              </w:rPr>
              <w:t>8%</w:t>
            </w:r>
          </w:p>
        </w:tc>
      </w:tr>
      <w:tr>
        <w:tc>
          <w:tcPr>
            <w:tcW w:type="dxa" w:w="4680"/>
          </w:tcPr>
          <w:p>
            <w:pPr>
              <w:spacing w:before="60" w:after="60"/>
              <w:jc w:val="left"/>
            </w:pPr>
            <w:r/>
            <w:r>
              <w:rPr>
                <w:rFonts w:ascii="Calibri" w:hAnsi="Calibri"/>
                <w:color w:val="2D2D2D"/>
                <w:sz w:val="20"/>
              </w:rPr>
              <w:t>Fuel Savings — Average Live</w:t>
            </w:r>
          </w:p>
        </w:tc>
        <w:tc>
          <w:tcPr>
            <w:tcW w:type="dxa" w:w="4680"/>
          </w:tcPr>
          <w:p>
            <w:pPr>
              <w:spacing w:before="60" w:after="60"/>
              <w:jc w:val="left"/>
            </w:pPr>
            <w:r/>
            <w:r>
              <w:rPr>
                <w:rFonts w:ascii="Calibri" w:hAnsi="Calibri"/>
                <w:color w:val="2D2D2D"/>
                <w:sz w:val="20"/>
              </w:rPr>
              <w:t>7%</w:t>
            </w:r>
          </w:p>
        </w:tc>
      </w:tr>
      <w:tr>
        <w:tc>
          <w:tcPr>
            <w:tcW w:type="dxa" w:w="4680"/>
            <w:shd w:fill="F0F4F8" w:val="clear"/>
          </w:tcPr>
          <w:p>
            <w:pPr>
              <w:spacing w:before="60" w:after="60"/>
              <w:jc w:val="left"/>
            </w:pPr>
            <w:r/>
            <w:r>
              <w:rPr>
                <w:rFonts w:ascii="Calibri" w:hAnsi="Calibri"/>
                <w:color w:val="2D2D2D"/>
                <w:sz w:val="20"/>
              </w:rPr>
              <w:t>Fuel Savings — Max Live (Human-Operated)</w:t>
            </w:r>
          </w:p>
        </w:tc>
        <w:tc>
          <w:tcPr>
            <w:tcW w:type="dxa" w:w="4680"/>
            <w:shd w:fill="F0F4F8" w:val="clear"/>
          </w:tcPr>
          <w:p>
            <w:pPr>
              <w:spacing w:before="60" w:after="60"/>
              <w:jc w:val="left"/>
            </w:pPr>
            <w:r/>
            <w:r>
              <w:rPr>
                <w:rFonts w:ascii="Calibri" w:hAnsi="Calibri"/>
                <w:color w:val="2D2D2D"/>
                <w:sz w:val="20"/>
              </w:rPr>
              <w:t>Up to 15%</w:t>
            </w:r>
          </w:p>
        </w:tc>
      </w:tr>
      <w:tr>
        <w:tc>
          <w:tcPr>
            <w:tcW w:type="dxa" w:w="4680"/>
          </w:tcPr>
          <w:p>
            <w:pPr>
              <w:spacing w:before="60" w:after="60"/>
              <w:jc w:val="left"/>
            </w:pPr>
            <w:r/>
            <w:r>
              <w:rPr>
                <w:rFonts w:ascii="Calibri" w:hAnsi="Calibri"/>
                <w:color w:val="2D2D2D"/>
                <w:sz w:val="20"/>
              </w:rPr>
              <w:t>Fuel Savings — Max Simulation (Machine-Operated)</w:t>
            </w:r>
          </w:p>
        </w:tc>
        <w:tc>
          <w:tcPr>
            <w:tcW w:type="dxa" w:w="4680"/>
          </w:tcPr>
          <w:p>
            <w:pPr>
              <w:spacing w:before="60" w:after="60"/>
              <w:jc w:val="left"/>
            </w:pPr>
            <w:r/>
            <w:r>
              <w:rPr>
                <w:rFonts w:ascii="Calibri" w:hAnsi="Calibri"/>
                <w:color w:val="2D2D2D"/>
                <w:sz w:val="20"/>
              </w:rPr>
              <w:t>Up to 25%</w:t>
            </w:r>
          </w:p>
        </w:tc>
      </w:tr>
      <w:tr>
        <w:tc>
          <w:tcPr>
            <w:tcW w:type="dxa" w:w="4680"/>
            <w:shd w:fill="F0F4F8" w:val="clear"/>
          </w:tcPr>
          <w:p>
            <w:pPr>
              <w:spacing w:before="60" w:after="60"/>
              <w:jc w:val="left"/>
            </w:pPr>
            <w:r/>
            <w:r>
              <w:rPr>
                <w:rFonts w:ascii="Calibri" w:hAnsi="Calibri"/>
                <w:color w:val="2D2D2D"/>
                <w:sz w:val="20"/>
              </w:rPr>
              <w:t>Alternative Model</w:t>
            </w:r>
          </w:p>
        </w:tc>
        <w:tc>
          <w:tcPr>
            <w:tcW w:type="dxa" w:w="4680"/>
            <w:shd w:fill="F0F4F8" w:val="clear"/>
          </w:tcPr>
          <w:p>
            <w:pPr>
              <w:spacing w:before="60" w:after="60"/>
              <w:jc w:val="left"/>
            </w:pPr>
            <w:r/>
            <w:r>
              <w:rPr>
                <w:rFonts w:ascii="Calibri" w:hAnsi="Calibri"/>
                <w:color w:val="2D2D2D"/>
                <w:sz w:val="20"/>
              </w:rPr>
              <w:t>Flat subscription option available</w:t>
            </w:r>
          </w:p>
        </w:tc>
      </w:tr>
    </w:tbl>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tmpfbqldf19.png"/>
                    <pic:cNvPicPr/>
                  </pic:nvPicPr>
                  <pic:blipFill>
                    <a:blip r:embed="rId13"/>
                    <a:stretch>
                      <a:fillRect/>
                    </a:stretch>
                  </pic:blipFill>
                  <pic:spPr>
                    <a:xfrm>
                      <a:off x="0" y="0"/>
                      <a:ext cx="5029200" cy="3143250"/>
                    </a:xfrm>
                    <a:prstGeom prst="rect"/>
                  </pic:spPr>
                </pic:pic>
              </a:graphicData>
            </a:graphic>
          </wp:inline>
        </w:drawing>
      </w:r>
    </w:p>
    <w:p/>
    <w:p>
      <w:pPr>
        <w:spacing w:before="200" w:after="200"/>
        <w:jc w:val="center"/>
      </w:pPr>
      <w:r>
        <w:rPr>
          <w:color w:val="D0D5DD"/>
          <w:sz w:val="12"/>
        </w:rPr>
        <w:t>──────────────────────────────────────────────────────────────────────</w:t>
      </w:r>
    </w:p>
    <w:p>
      <w:pPr>
        <w:pStyle w:val="Heading2"/>
      </w:pPr>
      <w:r>
        <w:t>CCO Assessment</w:t>
      </w:r>
    </w:p>
    <w:p>
      <w:pPr>
        <w:spacing w:before="120" w:after="120"/>
        <w:ind w:left="720"/>
        <w:pBdr>
          <w:left w:val="single" w:sz="12" w:space="8" w:color="3A86C8"/>
        </w:pBdr>
      </w:pPr>
      <w:r>
        <w:rPr>
          <w:rFonts w:ascii="Calibri" w:hAnsi="Calibri"/>
          <w:i/>
          <w:color w:val="4A5A6A"/>
          <w:sz w:val="22"/>
        </w:rPr>
        <w:t>**The $2.5M 12-month target is achievable if and only if the GWRR pilot validates on schedule and 3–5 additional properties convert before Q4 2026.** G&amp;W represents &gt;50% of near-term ARR, creating concentration risk that requires immediate mitigation through parallel pipeline development.</w:t>
      </w:r>
    </w:p>
    <w:p>
      <w:pPr>
        <w:spacing w:before="160" w:after="160"/>
        <w:jc w:val="center"/>
      </w:pPr>
      <w:r>
        <w:rPr>
          <w:color w:val="D0D5DD"/>
          <w:sz w:val="16"/>
        </w:rPr>
        <w:t>────────────────────────────────────────────────────────────</w:t>
      </w:r>
    </w:p>
    <w:p>
      <w:pPr>
        <w:pStyle w:val="Heading1"/>
      </w:pPr>
      <w:r>
        <w:t>Customer Acquisition</w:t>
      </w:r>
    </w:p>
    <w:p>
      <w:pPr>
        <w:pStyle w:val="Heading2"/>
      </w:pPr>
      <w:r>
        <w:t>Current Customer Base</w:t>
      </w:r>
    </w:p>
    <w:p>
      <w:pPr>
        <w:spacing w:after="120" w:before="40" w:line="276" w:lineRule="auto"/>
        <w:jc w:val="both"/>
      </w:pPr>
      <w:r>
        <w:rPr>
          <w:rFonts w:ascii="Calibri" w:hAnsi="Calibri"/>
          <w:color w:val="2D2D2D"/>
          <w:sz w:val="22"/>
        </w:rPr>
        <w:t xml:space="preserve">RailVision's customer base is in its earliest formation stage with </w:t>
      </w:r>
      <w:r>
        <w:rPr>
          <w:rFonts w:ascii="Calibri" w:hAnsi="Calibri"/>
          <w:b/>
          <w:color w:val="2D2D2D"/>
          <w:sz w:val="22"/>
        </w:rPr>
        <w:t>three named accounts</w:t>
      </w:r>
      <w:r>
        <w:rPr>
          <w:rFonts w:ascii="Calibri" w:hAnsi="Calibri"/>
          <w:color w:val="2D2D2D"/>
          <w:sz w:val="22"/>
        </w:rPr>
        <w:t xml:space="preserve"> at varying levels of engagement.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Customer</w:t>
            </w:r>
          </w:p>
        </w:tc>
        <w:tc>
          <w:tcPr>
            <w:tcW w:type="dxa" w:w="2340"/>
            <w:shd w:fill="1B2A4A" w:val="clear"/>
          </w:tcPr>
          <w:p>
            <w:pPr>
              <w:spacing w:before="60" w:after="60"/>
              <w:jc w:val="left"/>
            </w:pPr>
            <w:r/>
            <w:r>
              <w:rPr>
                <w:rFonts w:ascii="Calibri" w:hAnsi="Calibri"/>
                <w:b/>
                <w:color w:val="FFFFFF"/>
                <w:sz w:val="20"/>
              </w:rPr>
              <w:t>Type</w:t>
            </w:r>
          </w:p>
        </w:tc>
        <w:tc>
          <w:tcPr>
            <w:tcW w:type="dxa" w:w="2340"/>
            <w:shd w:fill="1B2A4A" w:val="clear"/>
          </w:tcPr>
          <w:p>
            <w:pPr>
              <w:spacing w:before="60" w:after="60"/>
              <w:jc w:val="left"/>
            </w:pPr>
            <w:r/>
            <w:r>
              <w:rPr>
                <w:rFonts w:ascii="Calibri" w:hAnsi="Calibri"/>
                <w:b/>
                <w:color w:val="FFFFFF"/>
                <w:sz w:val="20"/>
              </w:rPr>
              <w:t>Status</w:t>
            </w:r>
          </w:p>
        </w:tc>
        <w:tc>
          <w:tcPr>
            <w:tcW w:type="dxa" w:w="2340"/>
            <w:shd w:fill="1B2A4A" w:val="clear"/>
          </w:tcPr>
          <w:p>
            <w:pPr>
              <w:spacing w:before="60" w:after="60"/>
              <w:jc w:val="left"/>
            </w:pPr>
            <w:r/>
            <w:r>
              <w:rPr>
                <w:rFonts w:ascii="Calibri" w:hAnsi="Calibri"/>
                <w:b/>
                <w:color w:val="FFFFFF"/>
                <w:sz w:val="20"/>
              </w:rPr>
              <w:t>Detail</w:t>
            </w:r>
          </w:p>
        </w:tc>
      </w:tr>
      <w:tr>
        <w:tc>
          <w:tcPr>
            <w:tcW w:type="dxa" w:w="2340"/>
          </w:tcPr>
          <w:p>
            <w:pPr>
              <w:spacing w:before="60" w:after="60"/>
              <w:jc w:val="left"/>
            </w:pPr>
            <w:r/>
            <w:r>
              <w:rPr>
                <w:rFonts w:ascii="Calibri" w:hAnsi="Calibri"/>
                <w:color w:val="2D2D2D"/>
                <w:sz w:val="20"/>
              </w:rPr>
              <w:t>**Genesee &amp; Wyoming (GWRR)**</w:t>
            </w:r>
          </w:p>
        </w:tc>
        <w:tc>
          <w:tcPr>
            <w:tcW w:type="dxa" w:w="2340"/>
          </w:tcPr>
          <w:p>
            <w:pPr>
              <w:spacing w:before="60" w:after="60"/>
              <w:jc w:val="left"/>
            </w:pPr>
            <w:r/>
            <w:r>
              <w:rPr>
                <w:rFonts w:ascii="Calibri" w:hAnsi="Calibri"/>
                <w:color w:val="2D2D2D"/>
                <w:sz w:val="20"/>
              </w:rPr>
              <w:t>Shortline Holding Co.</w:t>
            </w:r>
          </w:p>
        </w:tc>
        <w:tc>
          <w:tcPr>
            <w:tcW w:type="dxa" w:w="2340"/>
          </w:tcPr>
          <w:p>
            <w:pPr>
              <w:spacing w:before="60" w:after="60"/>
              <w:jc w:val="left"/>
            </w:pPr>
            <w:r/>
            <w:r>
              <w:rPr>
                <w:rFonts w:ascii="Calibri" w:hAnsi="Calibri"/>
                <w:color w:val="2D2D2D"/>
                <w:sz w:val="20"/>
              </w:rPr>
              <w:t>**Active Pilot**</w:t>
            </w:r>
          </w:p>
        </w:tc>
        <w:tc>
          <w:tcPr>
            <w:tcW w:type="dxa" w:w="2340"/>
          </w:tcPr>
          <w:p>
            <w:pPr>
              <w:spacing w:before="60" w:after="60"/>
              <w:jc w:val="left"/>
            </w:pPr>
            <w:r/>
            <w:r>
              <w:rPr>
                <w:rFonts w:ascii="Calibri" w:hAnsi="Calibri"/>
                <w:color w:val="2D2D2D"/>
                <w:sz w:val="20"/>
              </w:rPr>
              <w:t>3 properties in 90-day validation; 112 total properties, ~2,000 customers, 13,000+ track-miles</w:t>
            </w:r>
          </w:p>
        </w:tc>
      </w:tr>
      <w:tr>
        <w:tc>
          <w:tcPr>
            <w:tcW w:type="dxa" w:w="2340"/>
            <w:shd w:fill="F0F4F8" w:val="clear"/>
          </w:tcPr>
          <w:p>
            <w:pPr>
              <w:spacing w:before="60" w:after="60"/>
              <w:jc w:val="left"/>
            </w:pPr>
            <w:r/>
            <w:r>
              <w:rPr>
                <w:rFonts w:ascii="Calibri" w:hAnsi="Calibri"/>
                <w:color w:val="2D2D2D"/>
                <w:sz w:val="20"/>
              </w:rPr>
              <w:t>**OmniTrax**</w:t>
            </w:r>
          </w:p>
        </w:tc>
        <w:tc>
          <w:tcPr>
            <w:tcW w:type="dxa" w:w="2340"/>
            <w:shd w:fill="F0F4F8" w:val="clear"/>
          </w:tcPr>
          <w:p>
            <w:pPr>
              <w:spacing w:before="60" w:after="60"/>
              <w:jc w:val="left"/>
            </w:pPr>
            <w:r/>
            <w:r>
              <w:rPr>
                <w:rFonts w:ascii="Calibri" w:hAnsi="Calibri"/>
                <w:color w:val="2D2D2D"/>
                <w:sz w:val="20"/>
              </w:rPr>
              <w:t>Shortline Holding Co.</w:t>
            </w:r>
          </w:p>
        </w:tc>
        <w:tc>
          <w:tcPr>
            <w:tcW w:type="dxa" w:w="2340"/>
            <w:shd w:fill="F0F4F8" w:val="clear"/>
          </w:tcPr>
          <w:p>
            <w:pPr>
              <w:spacing w:before="60" w:after="60"/>
              <w:jc w:val="left"/>
            </w:pPr>
            <w:r/>
            <w:r>
              <w:rPr>
                <w:rFonts w:ascii="Calibri" w:hAnsi="Calibri"/>
                <w:color w:val="2D2D2D"/>
                <w:sz w:val="20"/>
              </w:rPr>
              <w:t>**Term Sheet Signed**</w:t>
            </w:r>
          </w:p>
        </w:tc>
        <w:tc>
          <w:tcPr>
            <w:tcW w:type="dxa" w:w="2340"/>
            <w:shd w:fill="F0F4F8" w:val="clear"/>
          </w:tcPr>
          <w:p>
            <w:pPr>
              <w:spacing w:before="60" w:after="60"/>
              <w:jc w:val="left"/>
            </w:pPr>
            <w:r/>
            <w:r>
              <w:rPr>
                <w:rFonts w:ascii="Calibri" w:hAnsi="Calibri"/>
                <w:color w:val="2D2D2D"/>
                <w:sz w:val="20"/>
              </w:rPr>
              <w:t>Pilot underway</w:t>
            </w:r>
          </w:p>
        </w:tc>
      </w:tr>
      <w:tr>
        <w:tc>
          <w:tcPr>
            <w:tcW w:type="dxa" w:w="2340"/>
          </w:tcPr>
          <w:p>
            <w:pPr>
              <w:spacing w:before="60" w:after="60"/>
              <w:jc w:val="left"/>
            </w:pPr>
            <w:r/>
            <w:r>
              <w:rPr>
                <w:rFonts w:ascii="Calibri" w:hAnsi="Calibri"/>
                <w:color w:val="2D2D2D"/>
                <w:sz w:val="20"/>
              </w:rPr>
              <w:t>**Vermont Rail System**</w:t>
            </w:r>
          </w:p>
        </w:tc>
        <w:tc>
          <w:tcPr>
            <w:tcW w:type="dxa" w:w="2340"/>
          </w:tcPr>
          <w:p>
            <w:pPr>
              <w:spacing w:before="60" w:after="60"/>
              <w:jc w:val="left"/>
            </w:pPr>
            <w:r/>
            <w:r>
              <w:rPr>
                <w:rFonts w:ascii="Calibri" w:hAnsi="Calibri"/>
                <w:color w:val="2D2D2D"/>
                <w:sz w:val="20"/>
              </w:rPr>
              <w:t>Regional</w:t>
            </w:r>
          </w:p>
        </w:tc>
        <w:tc>
          <w:tcPr>
            <w:tcW w:type="dxa" w:w="2340"/>
          </w:tcPr>
          <w:p>
            <w:pPr>
              <w:spacing w:before="60" w:after="60"/>
              <w:jc w:val="left"/>
            </w:pPr>
            <w:r/>
            <w:r>
              <w:rPr>
                <w:rFonts w:ascii="Calibri" w:hAnsi="Calibri"/>
                <w:color w:val="2D2D2D"/>
                <w:sz w:val="20"/>
              </w:rPr>
              <w:t>Validation Data</w:t>
            </w:r>
          </w:p>
        </w:tc>
        <w:tc>
          <w:tcPr>
            <w:tcW w:type="dxa" w:w="2340"/>
          </w:tcPr>
          <w:p>
            <w:pPr>
              <w:spacing w:before="60" w:after="60"/>
              <w:jc w:val="left"/>
            </w:pPr>
            <w:r/>
            <w:r>
              <w:rPr>
                <w:rFonts w:ascii="Calibri" w:hAnsi="Calibri"/>
                <w:color w:val="2D2D2D"/>
                <w:sz w:val="20"/>
              </w:rPr>
              <w:t>400+ miles of track; fuel savings data used for proof</w:t>
            </w:r>
          </w:p>
        </w:tc>
      </w:tr>
    </w:tbl>
    <w:p/>
    <w:p>
      <w:pPr>
        <w:spacing w:after="120" w:before="40" w:line="276" w:lineRule="auto"/>
        <w:jc w:val="both"/>
      </w:pPr>
      <w:r>
        <w:rPr>
          <w:rFonts w:ascii="Calibri" w:hAnsi="Calibri"/>
          <w:color w:val="2D2D2D"/>
          <w:sz w:val="22"/>
        </w:rPr>
        <w:t xml:space="preserve">The GWRR relationship is the crown jewel. With 112 properties, approximately 2,000 customers, and over 13,000 track-miles, a successful pilot-to-production conversion at GWRR alone could generate </w:t>
      </w:r>
      <w:r>
        <w:rPr>
          <w:rFonts w:ascii="Calibri" w:hAnsi="Calibri"/>
          <w:b/>
          <w:color w:val="2D2D2D"/>
          <w:sz w:val="22"/>
        </w:rPr>
        <w:t>$10M in full-deployment ARR</w:t>
      </w:r>
      <w:r>
        <w:rPr>
          <w:rFonts w:ascii="Calibri" w:hAnsi="Calibri"/>
          <w:color w:val="2D2D2D"/>
          <w:sz w:val="22"/>
        </w:rPr>
        <w:t>. However, the current engagement is limited to 3 properties — the gap between $2.7M near-term and $10M full potential should not be conflated in board discussions.</w:t>
      </w:r>
    </w:p>
    <w:p>
      <w:pPr>
        <w:pStyle w:val="Heading2"/>
      </w:pPr>
      <w:r>
        <w:t>Active Prospects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Prospect</w:t>
            </w:r>
          </w:p>
        </w:tc>
        <w:tc>
          <w:tcPr>
            <w:tcW w:type="dxa" w:w="2340"/>
            <w:shd w:fill="1B2A4A" w:val="clear"/>
          </w:tcPr>
          <w:p>
            <w:pPr>
              <w:spacing w:before="60" w:after="60"/>
              <w:jc w:val="left"/>
            </w:pPr>
            <w:r/>
            <w:r>
              <w:rPr>
                <w:rFonts w:ascii="Calibri" w:hAnsi="Calibri"/>
                <w:b/>
                <w:color w:val="FFFFFF"/>
                <w:sz w:val="20"/>
              </w:rPr>
              <w:t>Segment</w:t>
            </w:r>
          </w:p>
        </w:tc>
        <w:tc>
          <w:tcPr>
            <w:tcW w:type="dxa" w:w="2340"/>
            <w:shd w:fill="1B2A4A" w:val="clear"/>
          </w:tcPr>
          <w:p>
            <w:pPr>
              <w:spacing w:before="60" w:after="60"/>
              <w:jc w:val="left"/>
            </w:pPr>
            <w:r/>
            <w:r>
              <w:rPr>
                <w:rFonts w:ascii="Calibri" w:hAnsi="Calibri"/>
                <w:b/>
                <w:color w:val="FFFFFF"/>
                <w:sz w:val="20"/>
              </w:rPr>
              <w:t>ARR Potential</w:t>
            </w:r>
          </w:p>
        </w:tc>
        <w:tc>
          <w:tcPr>
            <w:tcW w:type="dxa" w:w="2340"/>
            <w:shd w:fill="1B2A4A" w:val="clear"/>
          </w:tcPr>
          <w:p>
            <w:pPr>
              <w:spacing w:before="60" w:after="60"/>
              <w:jc w:val="left"/>
            </w:pPr>
            <w:r/>
            <w:r>
              <w:rPr>
                <w:rFonts w:ascii="Calibri" w:hAnsi="Calibri"/>
                <w:b/>
                <w:color w:val="FFFFFF"/>
                <w:sz w:val="20"/>
              </w:rPr>
              <w:t>Notes</w:t>
            </w:r>
          </w:p>
        </w:tc>
      </w:tr>
      <w:tr>
        <w:tc>
          <w:tcPr>
            <w:tcW w:type="dxa" w:w="2340"/>
          </w:tcPr>
          <w:p>
            <w:pPr>
              <w:spacing w:before="60" w:after="60"/>
              <w:jc w:val="left"/>
            </w:pPr>
            <w:r/>
            <w:r>
              <w:rPr>
                <w:rFonts w:ascii="Calibri" w:hAnsi="Calibri"/>
                <w:color w:val="2D2D2D"/>
                <w:sz w:val="20"/>
              </w:rPr>
              <w:t>**Watco**</w:t>
            </w:r>
          </w:p>
        </w:tc>
        <w:tc>
          <w:tcPr>
            <w:tcW w:type="dxa" w:w="2340"/>
          </w:tcPr>
          <w:p>
            <w:pPr>
              <w:spacing w:before="60" w:after="60"/>
              <w:jc w:val="left"/>
            </w:pPr>
            <w:r/>
            <w:r>
              <w:rPr>
                <w:rFonts w:ascii="Calibri" w:hAnsi="Calibri"/>
                <w:color w:val="2D2D2D"/>
                <w:sz w:val="20"/>
              </w:rPr>
              <w:t>Shortline (45 RRs)</w:t>
            </w:r>
          </w:p>
        </w:tc>
        <w:tc>
          <w:tcPr>
            <w:tcW w:type="dxa" w:w="2340"/>
          </w:tcPr>
          <w:p>
            <w:pPr>
              <w:spacing w:before="60" w:after="60"/>
              <w:jc w:val="left"/>
            </w:pPr>
            <w:r/>
            <w:r>
              <w:rPr>
                <w:rFonts w:ascii="Calibri" w:hAnsi="Calibri"/>
                <w:color w:val="2D2D2D"/>
                <w:sz w:val="20"/>
              </w:rPr>
              <w:t>$5M</w:t>
            </w:r>
          </w:p>
        </w:tc>
        <w:tc>
          <w:tcPr>
            <w:tcW w:type="dxa" w:w="2340"/>
          </w:tcPr>
          <w:p>
            <w:pPr>
              <w:spacing w:before="60" w:after="60"/>
              <w:jc w:val="left"/>
            </w:pPr>
            <w:r/>
            <w:r>
              <w:rPr>
                <w:rFonts w:ascii="Calibri" w:hAnsi="Calibri"/>
                <w:color w:val="2D2D2D"/>
                <w:sz w:val="20"/>
              </w:rPr>
              <w:t>Major multi-property shortline operator</w:t>
            </w:r>
          </w:p>
        </w:tc>
      </w:tr>
      <w:tr>
        <w:tc>
          <w:tcPr>
            <w:tcW w:type="dxa" w:w="2340"/>
            <w:shd w:fill="F0F4F8" w:val="clear"/>
          </w:tcPr>
          <w:p>
            <w:pPr>
              <w:spacing w:before="60" w:after="60"/>
              <w:jc w:val="left"/>
            </w:pPr>
            <w:r/>
            <w:r>
              <w:rPr>
                <w:rFonts w:ascii="Calibri" w:hAnsi="Calibri"/>
                <w:color w:val="2D2D2D"/>
                <w:sz w:val="20"/>
              </w:rPr>
              <w:t>**Via Rail**</w:t>
            </w:r>
          </w:p>
        </w:tc>
        <w:tc>
          <w:tcPr>
            <w:tcW w:type="dxa" w:w="2340"/>
            <w:shd w:fill="F0F4F8" w:val="clear"/>
          </w:tcPr>
          <w:p>
            <w:pPr>
              <w:spacing w:before="60" w:after="60"/>
              <w:jc w:val="left"/>
            </w:pPr>
            <w:r/>
            <w:r>
              <w:rPr>
                <w:rFonts w:ascii="Calibri" w:hAnsi="Calibri"/>
                <w:color w:val="2D2D2D"/>
                <w:sz w:val="20"/>
              </w:rPr>
              <w:t>Passenger</w:t>
            </w:r>
          </w:p>
        </w:tc>
        <w:tc>
          <w:tcPr>
            <w:tcW w:type="dxa" w:w="2340"/>
            <w:shd w:fill="F0F4F8" w:val="clear"/>
          </w:tcPr>
          <w:p>
            <w:pPr>
              <w:spacing w:before="60" w:after="60"/>
              <w:jc w:val="left"/>
            </w:pPr>
            <w:r/>
            <w:r>
              <w:rPr>
                <w:rFonts w:ascii="Calibri" w:hAnsi="Calibri"/>
                <w:color w:val="2D2D2D"/>
                <w:sz w:val="20"/>
              </w:rPr>
              <w:t>$3.5M</w:t>
            </w:r>
          </w:p>
        </w:tc>
        <w:tc>
          <w:tcPr>
            <w:tcW w:type="dxa" w:w="2340"/>
            <w:shd w:fill="F0F4F8" w:val="clear"/>
          </w:tcPr>
          <w:p>
            <w:pPr>
              <w:spacing w:before="60" w:after="60"/>
              <w:jc w:val="left"/>
            </w:pPr>
            <w:r/>
            <w:r>
              <w:rPr>
                <w:rFonts w:ascii="Calibri" w:hAnsi="Calibri"/>
                <w:color w:val="2D2D2D"/>
                <w:sz w:val="20"/>
              </w:rPr>
              <w:t>Largest passenger railroad in Canada</w:t>
            </w:r>
          </w:p>
        </w:tc>
      </w:tr>
      <w:tr>
        <w:tc>
          <w:tcPr>
            <w:tcW w:type="dxa" w:w="2340"/>
          </w:tcPr>
          <w:p>
            <w:pPr>
              <w:spacing w:before="60" w:after="60"/>
              <w:jc w:val="left"/>
            </w:pPr>
            <w:r/>
            <w:r>
              <w:rPr>
                <w:rFonts w:ascii="Calibri" w:hAnsi="Calibri"/>
                <w:color w:val="2D2D2D"/>
                <w:sz w:val="20"/>
              </w:rPr>
              <w:t>**Wheeling &amp; Lake Erie**</w:t>
            </w:r>
          </w:p>
        </w:tc>
        <w:tc>
          <w:tcPr>
            <w:tcW w:type="dxa" w:w="2340"/>
          </w:tcPr>
          <w:p>
            <w:pPr>
              <w:spacing w:before="60" w:after="60"/>
              <w:jc w:val="left"/>
            </w:pPr>
            <w:r/>
            <w:r>
              <w:rPr>
                <w:rFonts w:ascii="Calibri" w:hAnsi="Calibri"/>
                <w:color w:val="2D2D2D"/>
                <w:sz w:val="20"/>
              </w:rPr>
              <w:t>Class II Regional</w:t>
            </w:r>
          </w:p>
        </w:tc>
        <w:tc>
          <w:tcPr>
            <w:tcW w:type="dxa" w:w="2340"/>
          </w:tcPr>
          <w:p>
            <w:pPr>
              <w:spacing w:before="60" w:after="60"/>
              <w:jc w:val="left"/>
            </w:pPr>
            <w:r/>
            <w:r>
              <w:rPr>
                <w:rFonts w:ascii="Calibri" w:hAnsi="Calibri"/>
                <w:color w:val="2D2D2D"/>
                <w:sz w:val="20"/>
              </w:rPr>
              <w:t>$1.5M</w:t>
            </w:r>
          </w:p>
        </w:tc>
        <w:tc>
          <w:tcPr>
            <w:tcW w:type="dxa" w:w="2340"/>
          </w:tcPr>
          <w:p>
            <w:pPr>
              <w:spacing w:before="60" w:after="60"/>
              <w:jc w:val="left"/>
            </w:pPr>
            <w:r/>
            <w:r>
              <w:rPr>
                <w:rFonts w:ascii="Calibri" w:hAnsi="Calibri"/>
                <w:color w:val="2D2D2D"/>
                <w:sz w:val="20"/>
              </w:rPr>
              <w:t>Major Class II railroad</w:t>
            </w:r>
          </w:p>
        </w:tc>
      </w:tr>
    </w:tbl>
    <w:p/>
    <w:p>
      <w:pPr>
        <w:spacing w:after="120" w:before="40" w:line="276" w:lineRule="auto"/>
        <w:jc w:val="both"/>
      </w:pPr>
      <w:r>
        <w:rPr>
          <w:rFonts w:ascii="Calibri" w:hAnsi="Calibri"/>
          <w:color w:val="2D2D2D"/>
          <w:sz w:val="22"/>
        </w:rPr>
        <w:t xml:space="preserve">All three prospects are in </w:t>
      </w:r>
      <w:r>
        <w:rPr>
          <w:rFonts w:ascii="Calibri" w:hAnsi="Calibri"/>
          <w:b/>
          <w:color w:val="2D2D2D"/>
          <w:sz w:val="22"/>
        </w:rPr>
        <w:t>early-stage prospecting</w:t>
      </w:r>
      <w:r>
        <w:rPr>
          <w:rFonts w:ascii="Calibri" w:hAnsi="Calibri"/>
          <w:color w:val="2D2D2D"/>
          <w:sz w:val="22"/>
        </w:rPr>
        <w:t xml:space="preserve"> with no confirmed active engagement beyond initial conversations. The CCO assessment is that none of these accounts will convert to pilot without the GWRR proof point in hand.</w:t>
      </w:r>
    </w:p>
    <w:p>
      <w:pPr>
        <w:pStyle w:val="Heading2"/>
      </w:pPr>
      <w:r>
        <w:t>Customer Segmentation</w:t>
      </w:r>
    </w:p>
    <w:p>
      <w:pPr>
        <w:pStyle w:val="ListBullet"/>
        <w:spacing w:after="40" w:before="20"/>
      </w:pPr>
      <w:r>
        <w:rPr>
          <w:rFonts w:ascii="Calibri" w:hAnsi="Calibri"/>
          <w:b/>
          <w:color w:val="2D2D2D"/>
          <w:sz w:val="22"/>
        </w:rPr>
        <w:t>Class III Shortlines (600–650 railroads):</w:t>
      </w:r>
      <w:r>
        <w:rPr>
          <w:rFonts w:ascii="Calibri" w:hAnsi="Calibri"/>
          <w:color w:val="2D2D2D"/>
          <w:sz w:val="22"/>
        </w:rPr>
        <w:t xml:space="preserve"> Primary beachhead market. Conservative, cost-conscious, chronically underserved by technology vendors.</w:t>
      </w:r>
    </w:p>
    <w:p>
      <w:pPr>
        <w:pStyle w:val="ListBullet"/>
        <w:spacing w:after="40" w:before="20"/>
      </w:pPr>
      <w:r>
        <w:rPr>
          <w:rFonts w:ascii="Calibri" w:hAnsi="Calibri"/>
          <w:b/>
          <w:color w:val="2D2D2D"/>
          <w:sz w:val="22"/>
        </w:rPr>
        <w:t>Class II Regionals (~20 railroads):</w:t>
      </w:r>
      <w:r>
        <w:rPr>
          <w:rFonts w:ascii="Calibri" w:hAnsi="Calibri"/>
          <w:color w:val="2D2D2D"/>
          <w:sz w:val="22"/>
        </w:rPr>
        <w:t xml:space="preserve"> Larger operations with higher fuel spend per railroad. More sophisticated buyers but still underserved.</w:t>
      </w:r>
    </w:p>
    <w:p>
      <w:pPr>
        <w:pStyle w:val="ListBullet"/>
        <w:spacing w:after="40" w:before="20"/>
      </w:pPr>
      <w:r>
        <w:rPr>
          <w:rFonts w:ascii="Calibri" w:hAnsi="Calibri"/>
          <w:b/>
          <w:color w:val="2D2D2D"/>
          <w:sz w:val="22"/>
        </w:rPr>
        <w:t>Passenger Railroads (Select targets):</w:t>
      </w:r>
      <w:r>
        <w:rPr>
          <w:rFonts w:ascii="Calibri" w:hAnsi="Calibri"/>
          <w:color w:val="2D2D2D"/>
          <w:sz w:val="22"/>
        </w:rPr>
        <w:t xml:space="preserve"> Via Rail represents the entry point. Different operating characteristics but strong fuel optimization use case.</w:t>
      </w:r>
    </w:p>
    <w:p>
      <w:pPr>
        <w:pStyle w:val="ListBullet"/>
        <w:spacing w:after="40" w:before="20"/>
      </w:pPr>
      <w:r>
        <w:rPr>
          <w:rFonts w:ascii="Calibri" w:hAnsi="Calibri"/>
          <w:b/>
          <w:color w:val="2D2D2D"/>
          <w:sz w:val="22"/>
        </w:rPr>
        <w:t>Conservative Railroad Buyers (Industry-wide archetype):</w:t>
      </w:r>
      <w:r>
        <w:rPr>
          <w:rFonts w:ascii="Calibri" w:hAnsi="Calibri"/>
          <w:color w:val="2D2D2D"/>
          <w:sz w:val="22"/>
        </w:rPr>
        <w:t xml:space="preserve"> Risk-averse, skeptical of technology, deeply relationship-driven.</w:t>
      </w:r>
    </w:p>
    <w:p>
      <w:pPr>
        <w:pStyle w:val="Heading2"/>
      </w:pPr>
      <w:r>
        <w:t>Sales Cycle Compression</w:t>
      </w:r>
    </w:p>
    <w:p>
      <w:pPr>
        <w:spacing w:before="120" w:after="120"/>
        <w:ind w:left="720"/>
        <w:pBdr>
          <w:left w:val="single" w:sz="12" w:space="8" w:color="3A86C8"/>
        </w:pBdr>
      </w:pPr>
      <w:r>
        <w:rPr>
          <w:rFonts w:ascii="Calibri" w:hAnsi="Calibri"/>
          <w:i/>
          <w:color w:val="4A5A6A"/>
          <w:sz w:val="22"/>
        </w:rPr>
        <w:t>**Industry norm:** 2+ years for technology adoption in railroad operations.</w:t>
      </w:r>
    </w:p>
    <w:p>
      <w:pPr>
        <w:spacing w:before="120" w:after="120"/>
        <w:ind w:left="720"/>
        <w:pBdr>
          <w:left w:val="single" w:sz="12" w:space="8" w:color="3A86C8"/>
        </w:pBdr>
      </w:pPr>
      <w:r>
        <w:rPr>
          <w:rFonts w:ascii="Calibri" w:hAnsi="Calibri"/>
          <w:i/>
          <w:color w:val="4A5A6A"/>
          <w:sz w:val="22"/>
        </w:rPr>
        <w:t>**RailVision model:** 90 days from contract to live, revenue-generating deployment.</w:t>
      </w:r>
    </w:p>
    <w:p>
      <w:pPr>
        <w:spacing w:after="120" w:before="40" w:line="276" w:lineRule="auto"/>
        <w:jc w:val="both"/>
      </w:pPr>
      <w:r>
        <w:rPr>
          <w:rFonts w:ascii="Calibri" w:hAnsi="Calibri"/>
          <w:color w:val="2D2D2D"/>
          <w:sz w:val="22"/>
        </w:rPr>
        <w:t xml:space="preserve">This </w:t>
      </w:r>
      <w:r>
        <w:rPr>
          <w:rFonts w:ascii="Calibri" w:hAnsi="Calibri"/>
          <w:b/>
          <w:color w:val="2D2D2D"/>
          <w:sz w:val="22"/>
        </w:rPr>
        <w:t>8x compression</w:t>
      </w:r>
      <w:r>
        <w:rPr>
          <w:rFonts w:ascii="Calibri" w:hAnsi="Calibri"/>
          <w:color w:val="2D2D2D"/>
          <w:sz w:val="22"/>
        </w:rPr>
        <w:t xml:space="preserve"> is enabled by: (1) zero upfront cost eliminates procurement delays, (2) tablet-based deployment eliminates hardware timelines, and (3) the pilot itself IS the sales process. This compression is a genuine competitive advantage, but it only works when the initial relationship exists.</w:t>
      </w:r>
    </w:p>
    <w:p>
      <w:pPr>
        <w:spacing w:before="160" w:after="160"/>
        <w:jc w:val="center"/>
      </w:pPr>
      <w:r>
        <w:rPr>
          <w:color w:val="D0D5DD"/>
          <w:sz w:val="16"/>
        </w:rPr>
        <w:t>────────────────────────────────────────────────────────────</w:t>
      </w:r>
    </w:p>
    <w:p>
      <w:pPr>
        <w:pStyle w:val="Heading1"/>
      </w:pPr>
      <w:r>
        <w:t>Pipeline &amp; Deals</w:t>
      </w:r>
    </w:p>
    <w:p>
      <w:pPr>
        <w:pStyle w:val="Heading2"/>
      </w:pPr>
      <w:r>
        <w:t>Active Deal Pipeline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A4A" w:val="clear"/>
          </w:tcPr>
          <w:p>
            <w:pPr>
              <w:spacing w:before="60" w:after="60"/>
              <w:jc w:val="left"/>
            </w:pPr>
            <w:r/>
            <w:r>
              <w:rPr>
                <w:rFonts w:ascii="Calibri" w:hAnsi="Calibri"/>
                <w:b/>
                <w:color w:val="FFFFFF"/>
                <w:sz w:val="20"/>
              </w:rPr>
              <w:t>Deal</w:t>
            </w:r>
          </w:p>
        </w:tc>
        <w:tc>
          <w:tcPr>
            <w:tcW w:type="dxa" w:w="1872"/>
            <w:shd w:fill="1B2A4A" w:val="clear"/>
          </w:tcPr>
          <w:p>
            <w:pPr>
              <w:spacing w:before="60" w:after="60"/>
              <w:jc w:val="left"/>
            </w:pPr>
            <w:r/>
            <w:r>
              <w:rPr>
                <w:rFonts w:ascii="Calibri" w:hAnsi="Calibri"/>
                <w:b/>
                <w:color w:val="FFFFFF"/>
                <w:sz w:val="20"/>
              </w:rPr>
              <w:t>Stage</w:t>
            </w:r>
          </w:p>
        </w:tc>
        <w:tc>
          <w:tcPr>
            <w:tcW w:type="dxa" w:w="1872"/>
            <w:shd w:fill="1B2A4A" w:val="clear"/>
          </w:tcPr>
          <w:p>
            <w:pPr>
              <w:spacing w:before="60" w:after="60"/>
              <w:jc w:val="left"/>
            </w:pPr>
            <w:r/>
            <w:r>
              <w:rPr>
                <w:rFonts w:ascii="Calibri" w:hAnsi="Calibri"/>
                <w:b/>
                <w:color w:val="FFFFFF"/>
                <w:sz w:val="20"/>
              </w:rPr>
              <w:t>Timeline</w:t>
            </w:r>
          </w:p>
        </w:tc>
        <w:tc>
          <w:tcPr>
            <w:tcW w:type="dxa" w:w="1872"/>
            <w:shd w:fill="1B2A4A" w:val="clear"/>
          </w:tcPr>
          <w:p>
            <w:pPr>
              <w:spacing w:before="60" w:after="60"/>
              <w:jc w:val="left"/>
            </w:pPr>
            <w:r/>
            <w:r>
              <w:rPr>
                <w:rFonts w:ascii="Calibri" w:hAnsi="Calibri"/>
                <w:b/>
                <w:color w:val="FFFFFF"/>
                <w:sz w:val="20"/>
              </w:rPr>
              <w:t>Value</w:t>
            </w:r>
          </w:p>
        </w:tc>
        <w:tc>
          <w:tcPr>
            <w:tcW w:type="dxa" w:w="1872"/>
            <w:shd w:fill="1B2A4A" w:val="clear"/>
          </w:tcPr>
          <w:p>
            <w:pPr>
              <w:spacing w:before="60" w:after="60"/>
              <w:jc w:val="left"/>
            </w:pPr>
            <w:r/>
            <w:r>
              <w:rPr>
                <w:rFonts w:ascii="Calibri" w:hAnsi="Calibri"/>
                <w:b/>
                <w:color w:val="FFFFFF"/>
                <w:sz w:val="20"/>
              </w:rPr>
              <w:t>Key Milestone</w:t>
            </w:r>
          </w:p>
        </w:tc>
      </w:tr>
      <w:tr>
        <w:tc>
          <w:tcPr>
            <w:tcW w:type="dxa" w:w="1872"/>
          </w:tcPr>
          <w:p>
            <w:pPr>
              <w:spacing w:before="60" w:after="60"/>
              <w:jc w:val="left"/>
            </w:pPr>
            <w:r/>
            <w:r>
              <w:rPr>
                <w:rFonts w:ascii="Calibri" w:hAnsi="Calibri"/>
                <w:color w:val="2D2D2D"/>
                <w:sz w:val="20"/>
              </w:rPr>
              <w:t>**GWRR Pilot (3 properties)**</w:t>
            </w:r>
          </w:p>
        </w:tc>
        <w:tc>
          <w:tcPr>
            <w:tcW w:type="dxa" w:w="1872"/>
          </w:tcPr>
          <w:p>
            <w:pPr>
              <w:spacing w:before="60" w:after="60"/>
              <w:jc w:val="left"/>
            </w:pPr>
            <w:r/>
            <w:r>
              <w:rPr>
                <w:rFonts w:ascii="Calibri" w:hAnsi="Calibri"/>
                <w:color w:val="2D2D2D"/>
                <w:sz w:val="20"/>
              </w:rPr>
              <w:t>**Active Pilot**</w:t>
            </w:r>
          </w:p>
        </w:tc>
        <w:tc>
          <w:tcPr>
            <w:tcW w:type="dxa" w:w="1872"/>
          </w:tcPr>
          <w:p>
            <w:pPr>
              <w:spacing w:before="60" w:after="60"/>
              <w:jc w:val="left"/>
            </w:pPr>
            <w:r/>
            <w:r>
              <w:rPr>
                <w:rFonts w:ascii="Calibri" w:hAnsi="Calibri"/>
                <w:color w:val="2D2D2D"/>
                <w:sz w:val="20"/>
              </w:rPr>
              <w:t>**90-day validation in progress**</w:t>
            </w:r>
          </w:p>
        </w:tc>
        <w:tc>
          <w:tcPr>
            <w:tcW w:type="dxa" w:w="1872"/>
          </w:tcPr>
          <w:p>
            <w:pPr>
              <w:spacing w:before="60" w:after="60"/>
              <w:jc w:val="left"/>
            </w:pPr>
            <w:r/>
            <w:r>
              <w:rPr>
                <w:rFonts w:ascii="Calibri" w:hAnsi="Calibri"/>
                <w:color w:val="2D2D2D"/>
                <w:sz w:val="20"/>
              </w:rPr>
              <w:t>**$2.7M near-term ARR**</w:t>
            </w:r>
          </w:p>
        </w:tc>
        <w:tc>
          <w:tcPr>
            <w:tcW w:type="dxa" w:w="1872"/>
          </w:tcPr>
          <w:p>
            <w:pPr>
              <w:spacing w:before="60" w:after="60"/>
              <w:jc w:val="left"/>
            </w:pPr>
            <w:r/>
            <w:r>
              <w:rPr>
                <w:rFonts w:ascii="Calibri" w:hAnsi="Calibri"/>
                <w:color w:val="2D2D2D"/>
                <w:sz w:val="20"/>
              </w:rPr>
              <w:t>Documented fuel savings required</w:t>
            </w:r>
          </w:p>
        </w:tc>
      </w:tr>
      <w:tr>
        <w:tc>
          <w:tcPr>
            <w:tcW w:type="dxa" w:w="1872"/>
            <w:shd w:fill="F0F4F8" w:val="clear"/>
          </w:tcPr>
          <w:p>
            <w:pPr>
              <w:spacing w:before="60" w:after="60"/>
              <w:jc w:val="left"/>
            </w:pPr>
            <w:r/>
            <w:r>
              <w:rPr>
                <w:rFonts w:ascii="Calibri" w:hAnsi="Calibri"/>
                <w:color w:val="2D2D2D"/>
                <w:sz w:val="20"/>
              </w:rPr>
              <w:t>**OmniTrax**</w:t>
            </w:r>
          </w:p>
        </w:tc>
        <w:tc>
          <w:tcPr>
            <w:tcW w:type="dxa" w:w="1872"/>
            <w:shd w:fill="F0F4F8" w:val="clear"/>
          </w:tcPr>
          <w:p>
            <w:pPr>
              <w:spacing w:before="60" w:after="60"/>
              <w:jc w:val="left"/>
            </w:pPr>
            <w:r/>
            <w:r>
              <w:rPr>
                <w:rFonts w:ascii="Calibri" w:hAnsi="Calibri"/>
                <w:color w:val="2D2D2D"/>
                <w:sz w:val="20"/>
              </w:rPr>
              <w:t>**Term Sheet Signed**</w:t>
            </w:r>
          </w:p>
        </w:tc>
        <w:tc>
          <w:tcPr>
            <w:tcW w:type="dxa" w:w="1872"/>
            <w:shd w:fill="F0F4F8" w:val="clear"/>
          </w:tcPr>
          <w:p>
            <w:pPr>
              <w:spacing w:before="60" w:after="60"/>
              <w:jc w:val="left"/>
            </w:pPr>
            <w:r/>
            <w:r>
              <w:rPr>
                <w:rFonts w:ascii="Calibri" w:hAnsi="Calibri"/>
                <w:color w:val="2D2D2D"/>
                <w:sz w:val="20"/>
              </w:rPr>
              <w:t>**Pilot underway**</w:t>
            </w:r>
          </w:p>
        </w:tc>
        <w:tc>
          <w:tcPr>
            <w:tcW w:type="dxa" w:w="1872"/>
            <w:shd w:fill="F0F4F8" w:val="clear"/>
          </w:tcPr>
          <w:p>
            <w:pPr>
              <w:spacing w:before="60" w:after="60"/>
              <w:jc w:val="left"/>
            </w:pPr>
            <w:r/>
            <w:r>
              <w:rPr>
                <w:rFonts w:ascii="Calibri" w:hAnsi="Calibri"/>
                <w:color w:val="2D2D2D"/>
                <w:sz w:val="20"/>
              </w:rPr>
              <w:t>**TBD**</w:t>
            </w:r>
          </w:p>
        </w:tc>
        <w:tc>
          <w:tcPr>
            <w:tcW w:type="dxa" w:w="1872"/>
            <w:shd w:fill="F0F4F8" w:val="clear"/>
          </w:tcPr>
          <w:p>
            <w:pPr>
              <w:spacing w:before="60" w:after="60"/>
              <w:jc w:val="left"/>
            </w:pPr>
            <w:r/>
            <w:r>
              <w:rPr>
                <w:rFonts w:ascii="Calibri" w:hAnsi="Calibri"/>
                <w:color w:val="2D2D2D"/>
                <w:sz w:val="20"/>
              </w:rPr>
              <w:t>Term sheet to pilot conversion</w:t>
            </w:r>
          </w:p>
        </w:tc>
      </w:tr>
      <w:tr>
        <w:tc>
          <w:tcPr>
            <w:tcW w:type="dxa" w:w="1872"/>
          </w:tcPr>
          <w:p>
            <w:pPr>
              <w:spacing w:before="60" w:after="60"/>
              <w:jc w:val="left"/>
            </w:pPr>
            <w:r/>
            <w:r>
              <w:rPr>
                <w:rFonts w:ascii="Calibri" w:hAnsi="Calibri"/>
                <w:color w:val="2D2D2D"/>
                <w:sz w:val="20"/>
              </w:rPr>
              <w:t>GWRR Expansion (112 properties)</w:t>
            </w:r>
          </w:p>
        </w:tc>
        <w:tc>
          <w:tcPr>
            <w:tcW w:type="dxa" w:w="1872"/>
          </w:tcPr>
          <w:p>
            <w:pPr>
              <w:spacing w:before="60" w:after="60"/>
              <w:jc w:val="left"/>
            </w:pPr>
            <w:r/>
            <w:r>
              <w:rPr>
                <w:rFonts w:ascii="Calibri" w:hAnsi="Calibri"/>
                <w:color w:val="2D2D2D"/>
                <w:sz w:val="20"/>
              </w:rPr>
              <w:t>Dependent on Pilot</w:t>
            </w:r>
          </w:p>
        </w:tc>
        <w:tc>
          <w:tcPr>
            <w:tcW w:type="dxa" w:w="1872"/>
          </w:tcPr>
          <w:p>
            <w:pPr>
              <w:spacing w:before="60" w:after="60"/>
              <w:jc w:val="left"/>
            </w:pPr>
            <w:r/>
            <w:r>
              <w:rPr>
                <w:rFonts w:ascii="Calibri" w:hAnsi="Calibri"/>
                <w:color w:val="2D2D2D"/>
                <w:sz w:val="20"/>
              </w:rPr>
              <w:t>Post-validation</w:t>
            </w:r>
          </w:p>
        </w:tc>
        <w:tc>
          <w:tcPr>
            <w:tcW w:type="dxa" w:w="1872"/>
          </w:tcPr>
          <w:p>
            <w:pPr>
              <w:spacing w:before="60" w:after="60"/>
              <w:jc w:val="left"/>
            </w:pPr>
            <w:r/>
            <w:r>
              <w:rPr>
                <w:rFonts w:ascii="Calibri" w:hAnsi="Calibri"/>
                <w:color w:val="2D2D2D"/>
                <w:sz w:val="20"/>
              </w:rPr>
              <w:t>$10M full potential</w:t>
            </w:r>
          </w:p>
        </w:tc>
        <w:tc>
          <w:tcPr>
            <w:tcW w:type="dxa" w:w="1872"/>
          </w:tcPr>
          <w:p>
            <w:pPr>
              <w:spacing w:before="60" w:after="60"/>
              <w:jc w:val="left"/>
            </w:pPr>
            <w:r/>
            <w:r>
              <w:rPr>
                <w:rFonts w:ascii="Calibri" w:hAnsi="Calibri"/>
                <w:color w:val="2D2D2D"/>
                <w:sz w:val="20"/>
              </w:rPr>
              <w:t>Requires 3-property proof</w:t>
            </w:r>
          </w:p>
        </w:tc>
      </w:tr>
      <w:tr>
        <w:tc>
          <w:tcPr>
            <w:tcW w:type="dxa" w:w="1872"/>
            <w:shd w:fill="F0F4F8" w:val="clear"/>
          </w:tcPr>
          <w:p>
            <w:pPr>
              <w:spacing w:before="60" w:after="60"/>
              <w:jc w:val="left"/>
            </w:pPr>
            <w:r/>
            <w:r>
              <w:rPr>
                <w:rFonts w:ascii="Calibri" w:hAnsi="Calibri"/>
                <w:color w:val="2D2D2D"/>
                <w:sz w:val="20"/>
              </w:rPr>
              <w:t>Watco</w:t>
            </w:r>
          </w:p>
        </w:tc>
        <w:tc>
          <w:tcPr>
            <w:tcW w:type="dxa" w:w="1872"/>
            <w:shd w:fill="F0F4F8" w:val="clear"/>
          </w:tcPr>
          <w:p>
            <w:pPr>
              <w:spacing w:before="60" w:after="60"/>
              <w:jc w:val="left"/>
            </w:pPr>
            <w:r/>
            <w:r>
              <w:rPr>
                <w:rFonts w:ascii="Calibri" w:hAnsi="Calibri"/>
                <w:color w:val="2D2D2D"/>
                <w:sz w:val="20"/>
              </w:rPr>
              <w:t>Prospecting</w:t>
            </w:r>
          </w:p>
        </w:tc>
        <w:tc>
          <w:tcPr>
            <w:tcW w:type="dxa" w:w="1872"/>
            <w:shd w:fill="F0F4F8" w:val="clear"/>
          </w:tcPr>
          <w:p>
            <w:pPr>
              <w:spacing w:before="60" w:after="60"/>
              <w:jc w:val="left"/>
            </w:pPr>
            <w:r/>
            <w:r>
              <w:rPr>
                <w:rFonts w:ascii="Calibri" w:hAnsi="Calibri"/>
                <w:color w:val="2D2D2D"/>
                <w:sz w:val="20"/>
              </w:rPr>
              <w:t>TBD</w:t>
            </w:r>
          </w:p>
        </w:tc>
        <w:tc>
          <w:tcPr>
            <w:tcW w:type="dxa" w:w="1872"/>
            <w:shd w:fill="F0F4F8" w:val="clear"/>
          </w:tcPr>
          <w:p>
            <w:pPr>
              <w:spacing w:before="60" w:after="60"/>
              <w:jc w:val="left"/>
            </w:pPr>
            <w:r/>
            <w:r>
              <w:rPr>
                <w:rFonts w:ascii="Calibri" w:hAnsi="Calibri"/>
                <w:color w:val="2D2D2D"/>
                <w:sz w:val="20"/>
              </w:rPr>
              <w:t>$5M</w:t>
            </w:r>
          </w:p>
        </w:tc>
        <w:tc>
          <w:tcPr>
            <w:tcW w:type="dxa" w:w="1872"/>
            <w:shd w:fill="F0F4F8" w:val="clear"/>
          </w:tcPr>
          <w:p>
            <w:pPr>
              <w:spacing w:before="60" w:after="60"/>
              <w:jc w:val="left"/>
            </w:pPr>
            <w:r/>
            <w:r>
              <w:rPr>
                <w:rFonts w:ascii="Calibri" w:hAnsi="Calibri"/>
                <w:color w:val="2D2D2D"/>
                <w:sz w:val="20"/>
              </w:rPr>
              <w:t>45 railroads — no engagement confirmed</w:t>
            </w:r>
          </w:p>
        </w:tc>
      </w:tr>
      <w:tr>
        <w:tc>
          <w:tcPr>
            <w:tcW w:type="dxa" w:w="1872"/>
          </w:tcPr>
          <w:p>
            <w:pPr>
              <w:spacing w:before="60" w:after="60"/>
              <w:jc w:val="left"/>
            </w:pPr>
            <w:r/>
            <w:r>
              <w:rPr>
                <w:rFonts w:ascii="Calibri" w:hAnsi="Calibri"/>
                <w:color w:val="2D2D2D"/>
                <w:sz w:val="20"/>
              </w:rPr>
              <w:t>Via Rail</w:t>
            </w:r>
          </w:p>
        </w:tc>
        <w:tc>
          <w:tcPr>
            <w:tcW w:type="dxa" w:w="1872"/>
          </w:tcPr>
          <w:p>
            <w:pPr>
              <w:spacing w:before="60" w:after="60"/>
              <w:jc w:val="left"/>
            </w:pPr>
            <w:r/>
            <w:r>
              <w:rPr>
                <w:rFonts w:ascii="Calibri" w:hAnsi="Calibri"/>
                <w:color w:val="2D2D2D"/>
                <w:sz w:val="20"/>
              </w:rPr>
              <w:t>Prospecting</w:t>
            </w:r>
          </w:p>
        </w:tc>
        <w:tc>
          <w:tcPr>
            <w:tcW w:type="dxa" w:w="1872"/>
          </w:tcPr>
          <w:p>
            <w:pPr>
              <w:spacing w:before="60" w:after="60"/>
              <w:jc w:val="left"/>
            </w:pPr>
            <w:r/>
            <w:r>
              <w:rPr>
                <w:rFonts w:ascii="Calibri" w:hAnsi="Calibri"/>
                <w:color w:val="2D2D2D"/>
                <w:sz w:val="20"/>
              </w:rPr>
              <w:t>TBD</w:t>
            </w:r>
          </w:p>
        </w:tc>
        <w:tc>
          <w:tcPr>
            <w:tcW w:type="dxa" w:w="1872"/>
          </w:tcPr>
          <w:p>
            <w:pPr>
              <w:spacing w:before="60" w:after="60"/>
              <w:jc w:val="left"/>
            </w:pPr>
            <w:r/>
            <w:r>
              <w:rPr>
                <w:rFonts w:ascii="Calibri" w:hAnsi="Calibri"/>
                <w:color w:val="2D2D2D"/>
                <w:sz w:val="20"/>
              </w:rPr>
              <w:t>$3.5M</w:t>
            </w:r>
          </w:p>
        </w:tc>
        <w:tc>
          <w:tcPr>
            <w:tcW w:type="dxa" w:w="1872"/>
          </w:tcPr>
          <w:p>
            <w:pPr>
              <w:spacing w:before="60" w:after="60"/>
              <w:jc w:val="left"/>
            </w:pPr>
            <w:r/>
            <w:r>
              <w:rPr>
                <w:rFonts w:ascii="Calibri" w:hAnsi="Calibri"/>
                <w:color w:val="2D2D2D"/>
                <w:sz w:val="20"/>
              </w:rPr>
              <w:t>Passenger segment entry</w:t>
            </w:r>
          </w:p>
        </w:tc>
      </w:tr>
      <w:tr>
        <w:tc>
          <w:tcPr>
            <w:tcW w:type="dxa" w:w="1872"/>
            <w:shd w:fill="F0F4F8" w:val="clear"/>
          </w:tcPr>
          <w:p>
            <w:pPr>
              <w:spacing w:before="60" w:after="60"/>
              <w:jc w:val="left"/>
            </w:pPr>
            <w:r/>
            <w:r>
              <w:rPr>
                <w:rFonts w:ascii="Calibri" w:hAnsi="Calibri"/>
                <w:color w:val="2D2D2D"/>
                <w:sz w:val="20"/>
              </w:rPr>
              <w:t>Wheeling &amp; Lake Erie</w:t>
            </w:r>
          </w:p>
        </w:tc>
        <w:tc>
          <w:tcPr>
            <w:tcW w:type="dxa" w:w="1872"/>
            <w:shd w:fill="F0F4F8" w:val="clear"/>
          </w:tcPr>
          <w:p>
            <w:pPr>
              <w:spacing w:before="60" w:after="60"/>
              <w:jc w:val="left"/>
            </w:pPr>
            <w:r/>
            <w:r>
              <w:rPr>
                <w:rFonts w:ascii="Calibri" w:hAnsi="Calibri"/>
                <w:color w:val="2D2D2D"/>
                <w:sz w:val="20"/>
              </w:rPr>
              <w:t>Prospecting</w:t>
            </w:r>
          </w:p>
        </w:tc>
        <w:tc>
          <w:tcPr>
            <w:tcW w:type="dxa" w:w="1872"/>
            <w:shd w:fill="F0F4F8" w:val="clear"/>
          </w:tcPr>
          <w:p>
            <w:pPr>
              <w:spacing w:before="60" w:after="60"/>
              <w:jc w:val="left"/>
            </w:pPr>
            <w:r/>
            <w:r>
              <w:rPr>
                <w:rFonts w:ascii="Calibri" w:hAnsi="Calibri"/>
                <w:color w:val="2D2D2D"/>
                <w:sz w:val="20"/>
              </w:rPr>
              <w:t>TBD</w:t>
            </w:r>
          </w:p>
        </w:tc>
        <w:tc>
          <w:tcPr>
            <w:tcW w:type="dxa" w:w="1872"/>
            <w:shd w:fill="F0F4F8" w:val="clear"/>
          </w:tcPr>
          <w:p>
            <w:pPr>
              <w:spacing w:before="60" w:after="60"/>
              <w:jc w:val="left"/>
            </w:pPr>
            <w:r/>
            <w:r>
              <w:rPr>
                <w:rFonts w:ascii="Calibri" w:hAnsi="Calibri"/>
                <w:color w:val="2D2D2D"/>
                <w:sz w:val="20"/>
              </w:rPr>
              <w:t>$1.5M</w:t>
            </w:r>
          </w:p>
        </w:tc>
        <w:tc>
          <w:tcPr>
            <w:tcW w:type="dxa" w:w="1872"/>
            <w:shd w:fill="F0F4F8" w:val="clear"/>
          </w:tcPr>
          <w:p>
            <w:pPr>
              <w:spacing w:before="60" w:after="60"/>
              <w:jc w:val="left"/>
            </w:pPr>
            <w:r/>
            <w:r>
              <w:rPr>
                <w:rFonts w:ascii="Calibri" w:hAnsi="Calibri"/>
                <w:color w:val="2D2D2D"/>
                <w:sz w:val="20"/>
              </w:rPr>
              <w:t>Class II beachhead</w:t>
            </w:r>
          </w:p>
        </w:tc>
      </w:tr>
    </w:tbl>
    <w:p/>
    <w:p>
      <w:pPr>
        <w:pStyle w:val="Heading2"/>
      </w:pPr>
      <w:r>
        <w:t>Pipeline Summary by Stage</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Stage</w:t>
            </w:r>
          </w:p>
        </w:tc>
        <w:tc>
          <w:tcPr>
            <w:tcW w:type="dxa" w:w="4680"/>
            <w:shd w:fill="1B2A4A" w:val="clear"/>
          </w:tcPr>
          <w:p>
            <w:pPr>
              <w:spacing w:before="60" w:after="60"/>
              <w:jc w:val="left"/>
            </w:pPr>
            <w:r/>
            <w:r>
              <w:rPr>
                <w:rFonts w:ascii="Calibri" w:hAnsi="Calibri"/>
                <w:b/>
                <w:color w:val="FFFFFF"/>
                <w:sz w:val="20"/>
              </w:rPr>
              <w:t>Total Potential ARR</w:t>
            </w:r>
          </w:p>
        </w:tc>
      </w:tr>
      <w:tr>
        <w:tc>
          <w:tcPr>
            <w:tcW w:type="dxa" w:w="4680"/>
          </w:tcPr>
          <w:p>
            <w:pPr>
              <w:spacing w:before="60" w:after="60"/>
              <w:jc w:val="left"/>
            </w:pPr>
            <w:r/>
            <w:r>
              <w:rPr>
                <w:rFonts w:ascii="Calibri" w:hAnsi="Calibri"/>
                <w:color w:val="2D2D2D"/>
                <w:sz w:val="20"/>
              </w:rPr>
              <w:t>**Active Pilot / Term Sheet**</w:t>
            </w:r>
          </w:p>
        </w:tc>
        <w:tc>
          <w:tcPr>
            <w:tcW w:type="dxa" w:w="4680"/>
          </w:tcPr>
          <w:p>
            <w:pPr>
              <w:spacing w:before="60" w:after="60"/>
              <w:jc w:val="left"/>
            </w:pPr>
            <w:r/>
            <w:r>
              <w:rPr>
                <w:rFonts w:ascii="Calibri" w:hAnsi="Calibri"/>
                <w:color w:val="2D2D2D"/>
                <w:sz w:val="20"/>
              </w:rPr>
              <w:t>**~$2.7M–$3.5M**</w:t>
            </w:r>
          </w:p>
        </w:tc>
      </w:tr>
      <w:tr>
        <w:tc>
          <w:tcPr>
            <w:tcW w:type="dxa" w:w="4680"/>
            <w:shd w:fill="F0F4F8" w:val="clear"/>
          </w:tcPr>
          <w:p>
            <w:pPr>
              <w:spacing w:before="60" w:after="60"/>
              <w:jc w:val="left"/>
            </w:pPr>
            <w:r/>
            <w:r>
              <w:rPr>
                <w:rFonts w:ascii="Calibri" w:hAnsi="Calibri"/>
                <w:color w:val="2D2D2D"/>
                <w:sz w:val="20"/>
              </w:rPr>
              <w:t>Expansion (Contingent on Pilot)</w:t>
            </w:r>
          </w:p>
        </w:tc>
        <w:tc>
          <w:tcPr>
            <w:tcW w:type="dxa" w:w="4680"/>
            <w:shd w:fill="F0F4F8" w:val="clear"/>
          </w:tcPr>
          <w:p>
            <w:pPr>
              <w:spacing w:before="60" w:after="60"/>
              <w:jc w:val="left"/>
            </w:pPr>
            <w:r/>
            <w:r>
              <w:rPr>
                <w:rFonts w:ascii="Calibri" w:hAnsi="Calibri"/>
                <w:color w:val="2D2D2D"/>
                <w:sz w:val="20"/>
              </w:rPr>
              <w:t>~$10M</w:t>
            </w:r>
          </w:p>
        </w:tc>
      </w:tr>
      <w:tr>
        <w:tc>
          <w:tcPr>
            <w:tcW w:type="dxa" w:w="4680"/>
          </w:tcPr>
          <w:p>
            <w:pPr>
              <w:spacing w:before="60" w:after="60"/>
              <w:jc w:val="left"/>
            </w:pPr>
            <w:r/>
            <w:r>
              <w:rPr>
                <w:rFonts w:ascii="Calibri" w:hAnsi="Calibri"/>
                <w:color w:val="2D2D2D"/>
                <w:sz w:val="20"/>
              </w:rPr>
              <w:t>Prospecting (Early-Stage)</w:t>
            </w:r>
          </w:p>
        </w:tc>
        <w:tc>
          <w:tcPr>
            <w:tcW w:type="dxa" w:w="4680"/>
          </w:tcPr>
          <w:p>
            <w:pPr>
              <w:spacing w:before="60" w:after="60"/>
              <w:jc w:val="left"/>
            </w:pPr>
            <w:r/>
            <w:r>
              <w:rPr>
                <w:rFonts w:ascii="Calibri" w:hAnsi="Calibri"/>
                <w:color w:val="2D2D2D"/>
                <w:sz w:val="20"/>
              </w:rPr>
              <w:t>~$10M</w:t>
            </w:r>
          </w:p>
        </w:tc>
      </w:tr>
      <w:tr>
        <w:tc>
          <w:tcPr>
            <w:tcW w:type="dxa" w:w="4680"/>
            <w:shd w:fill="F0F4F8" w:val="clear"/>
          </w:tcPr>
          <w:p>
            <w:pPr>
              <w:spacing w:before="60" w:after="60"/>
              <w:jc w:val="left"/>
            </w:pPr>
            <w:r/>
            <w:r>
              <w:rPr>
                <w:rFonts w:ascii="Calibri" w:hAnsi="Calibri"/>
                <w:color w:val="2D2D2D"/>
                <w:sz w:val="20"/>
              </w:rPr>
              <w:t>**Total Identified**</w:t>
            </w:r>
          </w:p>
        </w:tc>
        <w:tc>
          <w:tcPr>
            <w:tcW w:type="dxa" w:w="4680"/>
            <w:shd w:fill="F0F4F8" w:val="clear"/>
          </w:tcPr>
          <w:p>
            <w:pPr>
              <w:spacing w:before="60" w:after="60"/>
              <w:jc w:val="left"/>
            </w:pPr>
            <w:r/>
            <w:r>
              <w:rPr>
                <w:rFonts w:ascii="Calibri" w:hAnsi="Calibri"/>
                <w:color w:val="2D2D2D"/>
                <w:sz w:val="20"/>
              </w:rPr>
              <w:t>**$20M+**</w:t>
            </w:r>
          </w:p>
        </w:tc>
      </w:tr>
    </w:tbl>
    <w:p/>
    <w:p>
      <w:pPr>
        <w:jc w:val="center"/>
      </w:pPr>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tmpqulyj7kq.png"/>
                    <pic:cNvPicPr/>
                  </pic:nvPicPr>
                  <pic:blipFill>
                    <a:blip r:embed="rId14"/>
                    <a:stretch>
                      <a:fillRect/>
                    </a:stretch>
                  </pic:blipFill>
                  <pic:spPr>
                    <a:xfrm>
                      <a:off x="0" y="0"/>
                      <a:ext cx="5029200" cy="3592286"/>
                    </a:xfrm>
                    <a:prstGeom prst="rect"/>
                  </pic:spPr>
                </pic:pic>
              </a:graphicData>
            </a:graphic>
          </wp:inline>
        </w:drawing>
      </w:r>
    </w:p>
    <w:p/>
    <w:p>
      <w:pPr>
        <w:spacing w:after="120" w:before="40" w:line="276" w:lineRule="auto"/>
        <w:jc w:val="both"/>
      </w:pPr>
      <w:r>
        <w:rPr>
          <w:rFonts w:ascii="Calibri" w:hAnsi="Calibri"/>
          <w:color w:val="2D2D2D"/>
          <w:sz w:val="22"/>
        </w:rPr>
        <w:t xml:space="preserve">Only </w:t>
      </w:r>
      <w:r>
        <w:rPr>
          <w:rFonts w:ascii="Calibri" w:hAnsi="Calibri"/>
          <w:b/>
          <w:color w:val="2D2D2D"/>
          <w:sz w:val="22"/>
        </w:rPr>
        <w:t>~13% of identified pipeline</w:t>
      </w:r>
      <w:r>
        <w:rPr>
          <w:rFonts w:ascii="Calibri" w:hAnsi="Calibri"/>
          <w:color w:val="2D2D2D"/>
          <w:sz w:val="22"/>
        </w:rPr>
        <w:t xml:space="preserve"> is in active engagement. The remaining 87% is either contingent on pilot success or in early-stage prospecting.</w:t>
      </w:r>
    </w:p>
    <w:p>
      <w:pPr>
        <w:pStyle w:val="Heading2"/>
      </w:pPr>
      <w:r>
        <w:t>Deal Dependency Map</w:t>
      </w:r>
    </w:p>
    <w:p>
      <w:pPr>
        <w:spacing w:after="120" w:before="40" w:line="276" w:lineRule="auto"/>
        <w:jc w:val="both"/>
      </w:pPr>
      <w:r>
        <w:rPr>
          <w:rFonts w:ascii="Calibri" w:hAnsi="Calibri"/>
          <w:color w:val="2D2D2D"/>
          <w:sz w:val="22"/>
        </w:rPr>
        <w:t>Every deal in the pipeline has a dependency relationship with the GWRR pilot:</w:t>
      </w:r>
    </w:p>
    <w:p>
      <w:pPr>
        <w:pStyle w:val="ListBullet"/>
        <w:spacing w:after="40" w:before="20"/>
      </w:pPr>
      <w:r>
        <w:rPr>
          <w:rFonts w:ascii="Calibri" w:hAnsi="Calibri"/>
          <w:b/>
          <w:color w:val="2D2D2D"/>
          <w:sz w:val="22"/>
        </w:rPr>
        <w:t>GWRR Expansion ($10M):</w:t>
      </w:r>
      <w:r>
        <w:rPr>
          <w:rFonts w:ascii="Calibri" w:hAnsi="Calibri"/>
          <w:color w:val="2D2D2D"/>
          <w:sz w:val="22"/>
        </w:rPr>
        <w:t xml:space="preserve"> Directly dependent — will not proceed without 3-property validation</w:t>
      </w:r>
    </w:p>
    <w:p>
      <w:pPr>
        <w:pStyle w:val="ListBullet"/>
        <w:spacing w:after="40" w:before="20"/>
      </w:pPr>
      <w:r>
        <w:rPr>
          <w:rFonts w:ascii="Calibri" w:hAnsi="Calibri"/>
          <w:b/>
          <w:color w:val="2D2D2D"/>
          <w:sz w:val="22"/>
        </w:rPr>
        <w:t>OmniTrax (TBD):</w:t>
      </w:r>
      <w:r>
        <w:rPr>
          <w:rFonts w:ascii="Calibri" w:hAnsi="Calibri"/>
          <w:color w:val="2D2D2D"/>
          <w:sz w:val="22"/>
        </w:rPr>
        <w:t xml:space="preserve"> Partially dependent — term sheet signed independently, but conversion accelerated by GWRR proof</w:t>
      </w:r>
    </w:p>
    <w:p>
      <w:pPr>
        <w:pStyle w:val="ListBullet"/>
        <w:spacing w:after="40" w:before="20"/>
      </w:pPr>
      <w:r>
        <w:rPr>
          <w:rFonts w:ascii="Calibri" w:hAnsi="Calibri"/>
          <w:b/>
          <w:color w:val="2D2D2D"/>
          <w:sz w:val="22"/>
        </w:rPr>
        <w:t>Watco ($5M):</w:t>
      </w:r>
      <w:r>
        <w:rPr>
          <w:rFonts w:ascii="Calibri" w:hAnsi="Calibri"/>
          <w:color w:val="2D2D2D"/>
          <w:sz w:val="22"/>
        </w:rPr>
        <w:t xml:space="preserve"> Indirectly dependent — conservative buyer requires peer reference</w:t>
      </w:r>
    </w:p>
    <w:p>
      <w:pPr>
        <w:pStyle w:val="ListBullet"/>
        <w:spacing w:after="40" w:before="20"/>
      </w:pPr>
      <w:r>
        <w:rPr>
          <w:rFonts w:ascii="Calibri" w:hAnsi="Calibri"/>
          <w:b/>
          <w:color w:val="2D2D2D"/>
          <w:sz w:val="22"/>
        </w:rPr>
        <w:t>Via Rail ($3.5M):</w:t>
      </w:r>
      <w:r>
        <w:rPr>
          <w:rFonts w:ascii="Calibri" w:hAnsi="Calibri"/>
          <w:color w:val="2D2D2D"/>
          <w:sz w:val="22"/>
        </w:rPr>
        <w:t xml:space="preserve"> Indirectly dependent — new segment entry requires proven credibility</w:t>
      </w:r>
    </w:p>
    <w:p>
      <w:pPr>
        <w:pStyle w:val="ListBullet"/>
        <w:spacing w:after="40" w:before="20"/>
      </w:pPr>
      <w:r>
        <w:rPr>
          <w:rFonts w:ascii="Calibri" w:hAnsi="Calibri"/>
          <w:b/>
          <w:color w:val="2D2D2D"/>
          <w:sz w:val="22"/>
        </w:rPr>
        <w:t>Wheeling &amp; Lake Erie ($1.5M):</w:t>
      </w:r>
      <w:r>
        <w:rPr>
          <w:rFonts w:ascii="Calibri" w:hAnsi="Calibri"/>
          <w:color w:val="2D2D2D"/>
          <w:sz w:val="22"/>
        </w:rPr>
        <w:t xml:space="preserve"> Indirectly dependent — Class II buyer requires shortline proof</w:t>
      </w:r>
    </w:p>
    <w:p>
      <w:pPr>
        <w:spacing w:before="120" w:after="120"/>
        <w:ind w:left="720"/>
        <w:pBdr>
          <w:left w:val="single" w:sz="12" w:space="8" w:color="3A86C8"/>
        </w:pBdr>
      </w:pPr>
      <w:r>
        <w:rPr>
          <w:rFonts w:ascii="Calibri" w:hAnsi="Calibri"/>
          <w:i/>
          <w:color w:val="4A5A6A"/>
          <w:sz w:val="22"/>
        </w:rPr>
        <w:t>**The GWRR pilot is not a $2.7M decision — it is a $20M+ pipeline decision.** Every conversation, partnership, and fundraise traces back to this single validation event.</w:t>
      </w:r>
    </w:p>
    <w:p>
      <w:pPr>
        <w:spacing w:before="200" w:after="200"/>
        <w:jc w:val="center"/>
      </w:pPr>
      <w:r>
        <w:rPr>
          <w:color w:val="D0D5DD"/>
          <w:sz w:val="12"/>
        </w:rPr>
        <w:t>──────────────────────────────────────────────────────────────────────</w:t>
      </w:r>
    </w:p>
    <w:p>
      <w:pPr>
        <w:pStyle w:val="Heading2"/>
      </w:pPr>
      <w:r>
        <w:t>CCO Assessment</w:t>
      </w:r>
    </w:p>
    <w:p>
      <w:pPr>
        <w:spacing w:before="120" w:after="120"/>
        <w:ind w:left="720"/>
        <w:pBdr>
          <w:left w:val="single" w:sz="12" w:space="8" w:color="3A86C8"/>
        </w:pBdr>
      </w:pPr>
      <w:r>
        <w:rPr>
          <w:rFonts w:ascii="Calibri" w:hAnsi="Calibri"/>
          <w:i/>
          <w:color w:val="4A5A6A"/>
          <w:sz w:val="22"/>
        </w:rPr>
        <w:t>**Pipeline is top-heavy and early-stage.** Honest framing for board and investor communications: *"$2.7M in near-term contracted pipeline with $20M+ identified opportunity across 5 named accounts."*</w:t>
      </w:r>
    </w:p>
    <w:p>
      <w:pPr>
        <w:spacing w:before="160" w:after="160"/>
        <w:jc w:val="center"/>
      </w:pPr>
      <w:r>
        <w:rPr>
          <w:color w:val="D0D5DD"/>
          <w:sz w:val="16"/>
        </w:rPr>
        <w:t>────────────────────────────────────────────────────────────</w:t>
      </w:r>
    </w:p>
    <w:p>
      <w:pPr>
        <w:pStyle w:val="Heading1"/>
      </w:pPr>
      <w:r>
        <w:t>Contract Execution &amp; Gainshare Model</w:t>
      </w:r>
    </w:p>
    <w:p>
      <w:pPr>
        <w:pStyle w:val="Heading2"/>
      </w:pPr>
      <w:r>
        <w:t>The Gainshare Framework</w:t>
      </w:r>
    </w:p>
    <w:p>
      <w:pPr>
        <w:spacing w:after="120" w:before="40" w:line="276" w:lineRule="auto"/>
        <w:jc w:val="both"/>
      </w:pPr>
      <w:r>
        <w:rPr>
          <w:rFonts w:ascii="Calibri" w:hAnsi="Calibri"/>
          <w:color w:val="2D2D2D"/>
          <w:sz w:val="22"/>
        </w:rPr>
        <w:t xml:space="preserve">RailVision's gainshare structure eliminates the single largest barrier to technology adoption in the railroad industry: </w:t>
      </w:r>
      <w:r>
        <w:rPr>
          <w:rFonts w:ascii="Calibri" w:hAnsi="Calibri"/>
          <w:b/>
          <w:color w:val="2D2D2D"/>
          <w:sz w:val="22"/>
        </w:rPr>
        <w:t>upfront capital expenditure risk.</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Element</w:t>
            </w:r>
          </w:p>
        </w:tc>
        <w:tc>
          <w:tcPr>
            <w:tcW w:type="dxa" w:w="4680"/>
            <w:shd w:fill="1B2A4A" w:val="clear"/>
          </w:tcPr>
          <w:p>
            <w:pPr>
              <w:spacing w:before="60" w:after="60"/>
              <w:jc w:val="left"/>
            </w:pPr>
            <w:r/>
            <w:r>
              <w:rPr>
                <w:rFonts w:ascii="Calibri" w:hAnsi="Calibri"/>
                <w:b/>
                <w:color w:val="FFFFFF"/>
                <w:sz w:val="20"/>
              </w:rPr>
              <w:t>Detail</w:t>
            </w:r>
          </w:p>
        </w:tc>
      </w:tr>
      <w:tr>
        <w:tc>
          <w:tcPr>
            <w:tcW w:type="dxa" w:w="4680"/>
          </w:tcPr>
          <w:p>
            <w:pPr>
              <w:spacing w:before="60" w:after="60"/>
              <w:jc w:val="left"/>
            </w:pPr>
            <w:r/>
            <w:r>
              <w:rPr>
                <w:rFonts w:ascii="Calibri" w:hAnsi="Calibri"/>
                <w:color w:val="2D2D2D"/>
                <w:sz w:val="20"/>
              </w:rPr>
              <w:t>**Revenue Model**</w:t>
            </w:r>
          </w:p>
        </w:tc>
        <w:tc>
          <w:tcPr>
            <w:tcW w:type="dxa" w:w="4680"/>
          </w:tcPr>
          <w:p>
            <w:pPr>
              <w:spacing w:before="60" w:after="60"/>
              <w:jc w:val="left"/>
            </w:pPr>
            <w:r/>
            <w:r>
              <w:rPr>
                <w:rFonts w:ascii="Calibri" w:hAnsi="Calibri"/>
                <w:color w:val="2D2D2D"/>
                <w:sz w:val="20"/>
              </w:rPr>
              <w:t>30% of verified fuel savings (gainshare) or flat subscription</w:t>
            </w:r>
          </w:p>
        </w:tc>
      </w:tr>
      <w:tr>
        <w:tc>
          <w:tcPr>
            <w:tcW w:type="dxa" w:w="4680"/>
            <w:shd w:fill="F0F4F8" w:val="clear"/>
          </w:tcPr>
          <w:p>
            <w:pPr>
              <w:spacing w:before="60" w:after="60"/>
              <w:jc w:val="left"/>
            </w:pPr>
            <w:r/>
            <w:r>
              <w:rPr>
                <w:rFonts w:ascii="Calibri" w:hAnsi="Calibri"/>
                <w:color w:val="2D2D2D"/>
                <w:sz w:val="20"/>
              </w:rPr>
              <w:t>**Upfront Cost to Customer**</w:t>
            </w:r>
          </w:p>
        </w:tc>
        <w:tc>
          <w:tcPr>
            <w:tcW w:type="dxa" w:w="4680"/>
            <w:shd w:fill="F0F4F8" w:val="clear"/>
          </w:tcPr>
          <w:p>
            <w:pPr>
              <w:spacing w:before="60" w:after="60"/>
              <w:jc w:val="left"/>
            </w:pPr>
            <w:r/>
            <w:r>
              <w:rPr>
                <w:rFonts w:ascii="Calibri" w:hAnsi="Calibri"/>
                <w:color w:val="2D2D2D"/>
                <w:sz w:val="20"/>
              </w:rPr>
              <w:t>**$0 — zero capital outlay**</w:t>
            </w:r>
          </w:p>
        </w:tc>
      </w:tr>
      <w:tr>
        <w:tc>
          <w:tcPr>
            <w:tcW w:type="dxa" w:w="4680"/>
          </w:tcPr>
          <w:p>
            <w:pPr>
              <w:spacing w:before="60" w:after="60"/>
              <w:jc w:val="left"/>
            </w:pPr>
            <w:r/>
            <w:r>
              <w:rPr>
                <w:rFonts w:ascii="Calibri" w:hAnsi="Calibri"/>
                <w:color w:val="2D2D2D"/>
                <w:sz w:val="20"/>
              </w:rPr>
              <w:t>**Fuel Savings (Verified)**</w:t>
            </w:r>
          </w:p>
        </w:tc>
        <w:tc>
          <w:tcPr>
            <w:tcW w:type="dxa" w:w="4680"/>
          </w:tcPr>
          <w:p>
            <w:pPr>
              <w:spacing w:before="60" w:after="60"/>
              <w:jc w:val="left"/>
            </w:pPr>
            <w:r/>
            <w:r>
              <w:rPr>
                <w:rFonts w:ascii="Calibri" w:hAnsi="Calibri"/>
                <w:color w:val="2D2D2D"/>
                <w:sz w:val="20"/>
              </w:rPr>
              <w:t>8% (model), 7% avg (live), 15% max (live human), 25% max (simulation)</w:t>
            </w:r>
          </w:p>
        </w:tc>
      </w:tr>
      <w:tr>
        <w:tc>
          <w:tcPr>
            <w:tcW w:type="dxa" w:w="4680"/>
            <w:shd w:fill="F0F4F8" w:val="clear"/>
          </w:tcPr>
          <w:p>
            <w:pPr>
              <w:spacing w:before="60" w:after="60"/>
              <w:jc w:val="left"/>
            </w:pPr>
            <w:r/>
            <w:r>
              <w:rPr>
                <w:rFonts w:ascii="Calibri" w:hAnsi="Calibri"/>
                <w:color w:val="2D2D2D"/>
                <w:sz w:val="20"/>
              </w:rPr>
              <w:t>**Deployment Method**</w:t>
            </w:r>
          </w:p>
        </w:tc>
        <w:tc>
          <w:tcPr>
            <w:tcW w:type="dxa" w:w="4680"/>
            <w:shd w:fill="F0F4F8" w:val="clear"/>
          </w:tcPr>
          <w:p>
            <w:pPr>
              <w:spacing w:before="60" w:after="60"/>
              <w:jc w:val="left"/>
            </w:pPr>
            <w:r/>
            <w:r>
              <w:rPr>
                <w:rFonts w:ascii="Calibri" w:hAnsi="Calibri"/>
                <w:color w:val="2D2D2D"/>
                <w:sz w:val="20"/>
              </w:rPr>
              <w:t>Tablet-based, software-first, no hardware, locomotive-agnostic</w:t>
            </w:r>
          </w:p>
        </w:tc>
      </w:tr>
      <w:tr>
        <w:tc>
          <w:tcPr>
            <w:tcW w:type="dxa" w:w="4680"/>
          </w:tcPr>
          <w:p>
            <w:pPr>
              <w:spacing w:before="60" w:after="60"/>
              <w:jc w:val="left"/>
            </w:pPr>
            <w:r/>
            <w:r>
              <w:rPr>
                <w:rFonts w:ascii="Calibri" w:hAnsi="Calibri"/>
                <w:color w:val="2D2D2D"/>
                <w:sz w:val="20"/>
              </w:rPr>
              <w:t>**PTC Requirement**</w:t>
            </w:r>
          </w:p>
        </w:tc>
        <w:tc>
          <w:tcPr>
            <w:tcW w:type="dxa" w:w="4680"/>
          </w:tcPr>
          <w:p>
            <w:pPr>
              <w:spacing w:before="60" w:after="60"/>
              <w:jc w:val="left"/>
            </w:pPr>
            <w:r/>
            <w:r>
              <w:rPr>
                <w:rFonts w:ascii="Calibri" w:hAnsi="Calibri"/>
                <w:color w:val="2D2D2D"/>
                <w:sz w:val="20"/>
              </w:rPr>
              <w:t>None — advisory mode operates independently</w:t>
            </w:r>
          </w:p>
        </w:tc>
      </w:tr>
      <w:tr>
        <w:tc>
          <w:tcPr>
            <w:tcW w:type="dxa" w:w="4680"/>
            <w:shd w:fill="F0F4F8" w:val="clear"/>
          </w:tcPr>
          <w:p>
            <w:pPr>
              <w:spacing w:before="60" w:after="60"/>
              <w:jc w:val="left"/>
            </w:pPr>
            <w:r/>
            <w:r>
              <w:rPr>
                <w:rFonts w:ascii="Calibri" w:hAnsi="Calibri"/>
                <w:color w:val="2D2D2D"/>
                <w:sz w:val="20"/>
              </w:rPr>
              <w:t>**Pilot Duration**</w:t>
            </w:r>
          </w:p>
        </w:tc>
        <w:tc>
          <w:tcPr>
            <w:tcW w:type="dxa" w:w="4680"/>
            <w:shd w:fill="F0F4F8" w:val="clear"/>
          </w:tcPr>
          <w:p>
            <w:pPr>
              <w:spacing w:before="60" w:after="60"/>
              <w:jc w:val="left"/>
            </w:pPr>
            <w:r/>
            <w:r>
              <w:rPr>
                <w:rFonts w:ascii="Calibri" w:hAnsi="Calibri"/>
                <w:color w:val="2D2D2D"/>
                <w:sz w:val="20"/>
              </w:rPr>
              <w:t>60–90 day corridor pilot</w:t>
            </w:r>
          </w:p>
        </w:tc>
      </w:tr>
      <w:tr>
        <w:tc>
          <w:tcPr>
            <w:tcW w:type="dxa" w:w="4680"/>
          </w:tcPr>
          <w:p>
            <w:pPr>
              <w:spacing w:before="60" w:after="60"/>
              <w:jc w:val="left"/>
            </w:pPr>
            <w:r/>
            <w:r>
              <w:rPr>
                <w:rFonts w:ascii="Calibri" w:hAnsi="Calibri"/>
                <w:color w:val="2D2D2D"/>
                <w:sz w:val="20"/>
              </w:rPr>
              <w:t>**Deployment Timeline**</w:t>
            </w:r>
          </w:p>
        </w:tc>
        <w:tc>
          <w:tcPr>
            <w:tcW w:type="dxa" w:w="4680"/>
          </w:tcPr>
          <w:p>
            <w:pPr>
              <w:spacing w:before="60" w:after="60"/>
              <w:jc w:val="left"/>
            </w:pPr>
            <w:r/>
            <w:r>
              <w:rPr>
                <w:rFonts w:ascii="Calibri" w:hAnsi="Calibri"/>
                <w:color w:val="2D2D2D"/>
                <w:sz w:val="20"/>
              </w:rPr>
              <w:t>90 days from contract to live deployment</w:t>
            </w:r>
          </w:p>
        </w:tc>
      </w:tr>
    </w:tbl>
    <w:p/>
    <w:p>
      <w:pPr>
        <w:pStyle w:val="Heading2"/>
      </w:pPr>
      <w:r>
        <w:t>Four Structural Advantages</w:t>
      </w:r>
    </w:p>
    <w:p>
      <w:pPr>
        <w:pStyle w:val="ListNumber"/>
        <w:spacing w:after="40" w:before="20"/>
      </w:pPr>
      <w:r>
        <w:rPr>
          <w:rFonts w:ascii="Calibri" w:hAnsi="Calibri"/>
          <w:b/>
          <w:color w:val="2D2D2D"/>
          <w:sz w:val="22"/>
        </w:rPr>
        <w:t>Zero customer risk</w:t>
      </w:r>
      <w:r>
        <w:rPr>
          <w:rFonts w:ascii="Calibri" w:hAnsi="Calibri"/>
          <w:color w:val="2D2D2D"/>
          <w:sz w:val="22"/>
        </w:rPr>
        <w:t xml:space="preserve"> — Customers pay nothing unless they save money. This eliminates the #1 objection in railroad technology sales. The procurement committee is bypassed. The CFO has no line item to reject.</w:t>
      </w:r>
    </w:p>
    <w:p>
      <w:pPr>
        <w:pStyle w:val="ListNumber"/>
        <w:spacing w:after="40" w:before="20"/>
      </w:pPr>
      <w:r>
        <w:rPr>
          <w:rFonts w:ascii="Calibri" w:hAnsi="Calibri"/>
          <w:b/>
          <w:color w:val="2D2D2D"/>
          <w:sz w:val="22"/>
        </w:rPr>
        <w:t>Self-proving deployment</w:t>
      </w:r>
      <w:r>
        <w:rPr>
          <w:rFonts w:ascii="Calibri" w:hAnsi="Calibri"/>
          <w:color w:val="2D2D2D"/>
          <w:sz w:val="22"/>
        </w:rPr>
        <w:t xml:space="preserve"> — The 90-day pilot IS the sales process AND the product validation. No separate evaluation period. This collapses a 2+ year sales cycle into a single 90-day window.</w:t>
      </w:r>
    </w:p>
    <w:p>
      <w:pPr>
        <w:pStyle w:val="ListNumber"/>
        <w:spacing w:after="40" w:before="20"/>
      </w:pPr>
      <w:r>
        <w:rPr>
          <w:rFonts w:ascii="Calibri" w:hAnsi="Calibri"/>
          <w:b/>
          <w:color w:val="2D2D2D"/>
          <w:sz w:val="22"/>
        </w:rPr>
        <w:t>Aligned incentives</w:t>
      </w:r>
      <w:r>
        <w:rPr>
          <w:rFonts w:ascii="Calibri" w:hAnsi="Calibri"/>
          <w:color w:val="2D2D2D"/>
          <w:sz w:val="22"/>
        </w:rPr>
        <w:t xml:space="preserve"> — RailVision makes more money when customers save more money. Every percentage point of fuel savings improvement directly increases revenue. This alignment builds trust with an inherently skeptical buyer base.</w:t>
      </w:r>
    </w:p>
    <w:p>
      <w:pPr>
        <w:pStyle w:val="ListNumber"/>
        <w:spacing w:after="40" w:before="20"/>
      </w:pPr>
      <w:r>
        <w:rPr>
          <w:rFonts w:ascii="Calibri" w:hAnsi="Calibri"/>
          <w:b/>
          <w:color w:val="2D2D2D"/>
          <w:sz w:val="22"/>
        </w:rPr>
        <w:t>Asymmetric switching costs</w:t>
      </w:r>
      <w:r>
        <w:rPr>
          <w:rFonts w:ascii="Calibri" w:hAnsi="Calibri"/>
          <w:color w:val="2D2D2D"/>
          <w:sz w:val="22"/>
        </w:rPr>
        <w:t xml:space="preserve"> — Entry cost is near-zero (tablet + bracket). But once operational data is embedded and crew behaviors have adapted, switching back means accepting higher fuel costs. </w:t>
      </w:r>
      <w:r>
        <w:rPr>
          <w:rFonts w:ascii="Calibri" w:hAnsi="Calibri"/>
          <w:b/>
          <w:color w:val="2D2D2D"/>
          <w:sz w:val="22"/>
        </w:rPr>
        <w:t>Easy to enter, expensive to leave.</w:t>
      </w:r>
    </w:p>
    <w:p>
      <w:pPr>
        <w:pStyle w:val="Heading2"/>
      </w:pPr>
      <w:r>
        <w:t>Concerns &amp; Model Risks</w:t>
      </w:r>
    </w:p>
    <w:p>
      <w:pPr>
        <w:pStyle w:val="Heading3"/>
      </w:pPr>
      <w:r>
        <w:t>Gainshare Revenue Variability</w:t>
      </w:r>
    </w:p>
    <w:p>
      <w:pPr>
        <w:spacing w:after="120" w:before="40" w:line="276" w:lineRule="auto"/>
        <w:jc w:val="both"/>
      </w:pPr>
      <w:r>
        <w:rPr>
          <w:rFonts w:ascii="Calibri" w:hAnsi="Calibri"/>
          <w:color w:val="2D2D2D"/>
          <w:sz w:val="22"/>
        </w:rPr>
        <w:t xml:space="preserve">Fuel savings fluctuate based on </w:t>
      </w:r>
      <w:r>
        <w:rPr>
          <w:rFonts w:ascii="Calibri" w:hAnsi="Calibri"/>
          <w:b/>
          <w:color w:val="2D2D2D"/>
          <w:sz w:val="22"/>
        </w:rPr>
        <w:t>terrain profiles, crew compliance rates, weather conditions, commodity mix, and operational tempo</w:t>
      </w:r>
      <w:r>
        <w:rPr>
          <w:rFonts w:ascii="Calibri" w:hAnsi="Calibri"/>
          <w:color w:val="2D2D2D"/>
          <w:sz w:val="22"/>
        </w:rPr>
        <w:t>. A railroad saving 12% in summer on flat terrain may save only 5% in winter on grades.</w:t>
      </w:r>
    </w:p>
    <w:p>
      <w:pPr>
        <w:spacing w:before="120" w:after="120"/>
        <w:ind w:left="720"/>
        <w:pBdr>
          <w:left w:val="single" w:sz="12" w:space="8" w:color="3A86C8"/>
        </w:pBdr>
      </w:pPr>
      <w:r>
        <w:rPr>
          <w:rFonts w:ascii="Calibri" w:hAnsi="Calibri"/>
          <w:i/>
          <w:color w:val="4A5A6A"/>
          <w:sz w:val="22"/>
        </w:rPr>
        <w:t>**CCO Recommendation:** Implement a **hybrid model — gainshare with a minimum subscription floor** set at 60–70% of projected minimum savings.</w:t>
      </w:r>
    </w:p>
    <w:p>
      <w:pPr>
        <w:pStyle w:val="Heading3"/>
      </w:pPr>
      <w:r>
        <w:t>Verification Disputes</w:t>
      </w:r>
    </w:p>
    <w:p>
      <w:pPr>
        <w:spacing w:after="120" w:before="40" w:line="276" w:lineRule="auto"/>
        <w:jc w:val="both"/>
      </w:pPr>
      <w:r>
        <w:rPr>
          <w:rFonts w:ascii="Calibri" w:hAnsi="Calibri"/>
          <w:color w:val="2D2D2D"/>
          <w:sz w:val="22"/>
        </w:rPr>
        <w:t>As deployments scale, fuel savings verification will become a friction point. Different railroads will have different baseline calculation methods and data quality standards.</w:t>
      </w:r>
    </w:p>
    <w:p>
      <w:pPr>
        <w:spacing w:before="120" w:after="120"/>
        <w:ind w:left="720"/>
        <w:pBdr>
          <w:left w:val="single" w:sz="12" w:space="8" w:color="3A86C8"/>
        </w:pBdr>
      </w:pPr>
      <w:r>
        <w:rPr>
          <w:rFonts w:ascii="Calibri" w:hAnsi="Calibri"/>
          <w:i/>
          <w:color w:val="4A5A6A"/>
          <w:sz w:val="22"/>
        </w:rPr>
        <w:t>**CCO Recommendation:** Establish an **algorithmic verification methodology** with third-party audit capability before signing production contracts beyond initial pilots.</w:t>
      </w:r>
    </w:p>
    <w:p>
      <w:pPr>
        <w:spacing w:before="200" w:after="200"/>
        <w:jc w:val="center"/>
      </w:pPr>
      <w:r>
        <w:rPr>
          <w:color w:val="D0D5DD"/>
          <w:sz w:val="12"/>
        </w:rPr>
        <w:t>──────────────────────────────────────────────────────────────────────</w:t>
      </w:r>
    </w:p>
    <w:p>
      <w:pPr>
        <w:spacing w:after="120" w:before="40" w:line="276" w:lineRule="auto"/>
        <w:jc w:val="both"/>
      </w:pPr>
      <w:r>
        <w:rPr>
          <w:rFonts w:ascii="Calibri" w:hAnsi="Calibri"/>
          <w:color w:val="2D2D2D"/>
          <w:sz w:val="22"/>
        </w:rPr>
        <w:t>The gainshare model is RailVision's single greatest commercial asset. It must be protected from dilution in partnership negotiations and strengthened with hybrid floor mechanisms before scaling beyond 10+ properties.</w:t>
      </w:r>
    </w:p>
    <w:p>
      <w:pPr>
        <w:spacing w:before="160" w:after="160"/>
        <w:jc w:val="center"/>
      </w:pPr>
      <w:r>
        <w:rPr>
          <w:color w:val="D0D5DD"/>
          <w:sz w:val="16"/>
        </w:rPr>
        <w:t>────────────────────────────────────────────────────────────</w:t>
      </w:r>
    </w:p>
    <w:p>
      <w:pPr>
        <w:pStyle w:val="Heading1"/>
      </w:pPr>
      <w:r>
        <w:t>Go-To-Market Strategy</w:t>
      </w:r>
    </w:p>
    <w:p>
      <w:pPr>
        <w:pStyle w:val="Heading2"/>
      </w:pPr>
      <w:r>
        <w:t>GTM Playbook — The Four-Step Commercial Motion</w:t>
      </w:r>
    </w:p>
    <w:p>
      <w:pPr>
        <w:pStyle w:val="ListNumber"/>
        <w:spacing w:after="40" w:before="20"/>
      </w:pPr>
      <w:r>
        <w:rPr>
          <w:rFonts w:ascii="Calibri" w:hAnsi="Calibri"/>
          <w:b/>
          <w:color w:val="2D2D2D"/>
          <w:sz w:val="22"/>
        </w:rPr>
        <w:t>LEAD</w:t>
      </w:r>
      <w:r>
        <w:rPr>
          <w:rFonts w:ascii="Calibri" w:hAnsi="Calibri"/>
          <w:color w:val="2D2D2D"/>
          <w:sz w:val="22"/>
        </w:rPr>
        <w:t xml:space="preserve"> with </w:t>
      </w:r>
      <w:r>
        <w:rPr>
          <w:rFonts w:ascii="Calibri" w:hAnsi="Calibri"/>
          <w:i/>
          <w:color w:val="2D2D2D"/>
          <w:sz w:val="22"/>
        </w:rPr>
        <w:t>"Shortline-Proof ROI"</w:t>
      </w:r>
      <w:r>
        <w:rPr>
          <w:rFonts w:ascii="Calibri" w:hAnsi="Calibri"/>
          <w:color w:val="2D2D2D"/>
          <w:sz w:val="22"/>
        </w:rPr>
        <w:t xml:space="preserve"> — Zero upfront cost, pay only when you save</w:t>
      </w:r>
    </w:p>
    <w:p>
      <w:pPr>
        <w:pStyle w:val="ListNumber"/>
        <w:spacing w:after="40" w:before="20"/>
      </w:pPr>
      <w:r>
        <w:rPr>
          <w:rFonts w:ascii="Calibri" w:hAnsi="Calibri"/>
          <w:b/>
          <w:color w:val="2D2D2D"/>
          <w:sz w:val="22"/>
        </w:rPr>
        <w:t>HOOK</w:t>
      </w:r>
      <w:r>
        <w:rPr>
          <w:rFonts w:ascii="Calibri" w:hAnsi="Calibri"/>
          <w:color w:val="2D2D2D"/>
          <w:sz w:val="22"/>
        </w:rPr>
        <w:t xml:space="preserve"> with the live LTOC demonstration — Real-time train location, speed limits, pacing advisories, and ETAs</w:t>
      </w:r>
    </w:p>
    <w:p>
      <w:pPr>
        <w:pStyle w:val="ListNumber"/>
        <w:spacing w:after="40" w:before="20"/>
      </w:pPr>
      <w:r>
        <w:rPr>
          <w:rFonts w:ascii="Calibri" w:hAnsi="Calibri"/>
          <w:b/>
          <w:color w:val="2D2D2D"/>
          <w:sz w:val="22"/>
        </w:rPr>
        <w:t>PROVE</w:t>
      </w:r>
      <w:r>
        <w:rPr>
          <w:rFonts w:ascii="Calibri" w:hAnsi="Calibri"/>
          <w:color w:val="2D2D2D"/>
          <w:sz w:val="22"/>
        </w:rPr>
        <w:t xml:space="preserve"> with a 60–90 day corridor pilot — Deploy, measure, document savings with hard data</w:t>
      </w:r>
    </w:p>
    <w:p>
      <w:pPr>
        <w:pStyle w:val="ListNumber"/>
        <w:spacing w:after="40" w:before="20"/>
      </w:pPr>
      <w:r>
        <w:rPr>
          <w:rFonts w:ascii="Calibri" w:hAnsi="Calibri"/>
          <w:b/>
          <w:color w:val="2D2D2D"/>
          <w:sz w:val="22"/>
        </w:rPr>
        <w:t>CLOSE</w:t>
      </w:r>
      <w:r>
        <w:rPr>
          <w:rFonts w:ascii="Calibri" w:hAnsi="Calibri"/>
          <w:color w:val="2D2D2D"/>
          <w:sz w:val="22"/>
        </w:rPr>
        <w:t xml:space="preserve"> by converting the pilot to a multi-year gainshare production contract</w:t>
      </w:r>
    </w:p>
    <w:p>
      <w:pPr>
        <w:spacing w:after="120" w:before="40" w:line="276" w:lineRule="auto"/>
        <w:jc w:val="both"/>
      </w:pPr>
      <w:r>
        <w:rPr>
          <w:rFonts w:ascii="Calibri" w:hAnsi="Calibri"/>
          <w:color w:val="2D2D2D"/>
          <w:sz w:val="22"/>
        </w:rPr>
        <w:t>This playbook has been executed successfully with GWRR and OmniTrax. The challenge is that it has only been executed by one person.</w:t>
      </w:r>
    </w:p>
    <w:p>
      <w:pPr>
        <w:pStyle w:val="Heading2"/>
      </w:pPr>
      <w:r>
        <w:t>Sales Channels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Channel</w:t>
            </w:r>
          </w:p>
        </w:tc>
        <w:tc>
          <w:tcPr>
            <w:tcW w:type="dxa" w:w="3120"/>
            <w:shd w:fill="1B2A4A" w:val="clear"/>
          </w:tcPr>
          <w:p>
            <w:pPr>
              <w:spacing w:before="60" w:after="60"/>
              <w:jc w:val="left"/>
            </w:pPr>
            <w:r/>
            <w:r>
              <w:rPr>
                <w:rFonts w:ascii="Calibri" w:hAnsi="Calibri"/>
                <w:b/>
                <w:color w:val="FFFFFF"/>
                <w:sz w:val="20"/>
              </w:rPr>
              <w:t>Status</w:t>
            </w:r>
          </w:p>
        </w:tc>
        <w:tc>
          <w:tcPr>
            <w:tcW w:type="dxa" w:w="3120"/>
            <w:shd w:fill="1B2A4A" w:val="clear"/>
          </w:tcPr>
          <w:p>
            <w:pPr>
              <w:spacing w:before="60" w:after="60"/>
              <w:jc w:val="left"/>
            </w:pPr>
            <w:r/>
            <w:r>
              <w:rPr>
                <w:rFonts w:ascii="Calibri" w:hAnsi="Calibri"/>
                <w:b/>
                <w:color w:val="FFFFFF"/>
                <w:sz w:val="20"/>
              </w:rPr>
              <w:t>Notes</w:t>
            </w:r>
          </w:p>
        </w:tc>
      </w:tr>
      <w:tr>
        <w:tc>
          <w:tcPr>
            <w:tcW w:type="dxa" w:w="3120"/>
          </w:tcPr>
          <w:p>
            <w:pPr>
              <w:spacing w:before="60" w:after="60"/>
              <w:jc w:val="left"/>
            </w:pPr>
            <w:r/>
            <w:r>
              <w:rPr>
                <w:rFonts w:ascii="Calibri" w:hAnsi="Calibri"/>
                <w:color w:val="2D2D2D"/>
                <w:sz w:val="20"/>
              </w:rPr>
              <w:t>**Direct (CEO-Led)**</w:t>
            </w:r>
          </w:p>
        </w:tc>
        <w:tc>
          <w:tcPr>
            <w:tcW w:type="dxa" w:w="3120"/>
          </w:tcPr>
          <w:p>
            <w:pPr>
              <w:spacing w:before="60" w:after="60"/>
              <w:jc w:val="left"/>
            </w:pPr>
            <w:r/>
            <w:r>
              <w:rPr>
                <w:rFonts w:ascii="Calibri" w:hAnsi="Calibri"/>
                <w:color w:val="2D2D2D"/>
                <w:sz w:val="20"/>
              </w:rPr>
              <w:t>**Primary &amp; Only**</w:t>
            </w:r>
          </w:p>
        </w:tc>
        <w:tc>
          <w:tcPr>
            <w:tcW w:type="dxa" w:w="3120"/>
          </w:tcPr>
          <w:p>
            <w:pPr>
              <w:spacing w:before="60" w:after="60"/>
              <w:jc w:val="left"/>
            </w:pPr>
            <w:r/>
            <w:r>
              <w:rPr>
                <w:rFonts w:ascii="Calibri" w:hAnsi="Calibri"/>
                <w:color w:val="2D2D2D"/>
                <w:sz w:val="20"/>
              </w:rPr>
              <w:t>Jamie O'Rourke's 20-year railroad relationships drive all deals</w:t>
            </w:r>
          </w:p>
        </w:tc>
      </w:tr>
      <w:tr>
        <w:tc>
          <w:tcPr>
            <w:tcW w:type="dxa" w:w="3120"/>
            <w:shd w:fill="F0F4F8" w:val="clear"/>
          </w:tcPr>
          <w:p>
            <w:pPr>
              <w:spacing w:before="60" w:after="60"/>
              <w:jc w:val="left"/>
            </w:pPr>
            <w:r/>
            <w:r>
              <w:rPr>
                <w:rFonts w:ascii="Calibri" w:hAnsi="Calibri"/>
                <w:color w:val="2D2D2D"/>
                <w:sz w:val="20"/>
              </w:rPr>
              <w:t>Partner Channels</w:t>
            </w:r>
          </w:p>
        </w:tc>
        <w:tc>
          <w:tcPr>
            <w:tcW w:type="dxa" w:w="3120"/>
            <w:shd w:fill="F0F4F8" w:val="clear"/>
          </w:tcPr>
          <w:p>
            <w:pPr>
              <w:spacing w:before="60" w:after="60"/>
              <w:jc w:val="left"/>
            </w:pPr>
            <w:r/>
            <w:r>
              <w:rPr>
                <w:rFonts w:ascii="Calibri" w:hAnsi="Calibri"/>
                <w:color w:val="2D2D2D"/>
                <w:sz w:val="20"/>
              </w:rPr>
              <w:t>In Development</w:t>
            </w:r>
          </w:p>
        </w:tc>
        <w:tc>
          <w:tcPr>
            <w:tcW w:type="dxa" w:w="3120"/>
            <w:shd w:fill="F0F4F8" w:val="clear"/>
          </w:tcPr>
          <w:p>
            <w:pPr>
              <w:spacing w:before="60" w:after="60"/>
              <w:jc w:val="left"/>
            </w:pPr>
            <w:r/>
            <w:r>
              <w:rPr>
                <w:rFonts w:ascii="Calibri" w:hAnsi="Calibri"/>
                <w:color w:val="2D2D2D"/>
                <w:sz w:val="20"/>
              </w:rPr>
              <w:t>Wabtec, Loram, Holland, Railroad Software, Railhead identified</w:t>
            </w:r>
          </w:p>
        </w:tc>
      </w:tr>
      <w:tr>
        <w:tc>
          <w:tcPr>
            <w:tcW w:type="dxa" w:w="3120"/>
          </w:tcPr>
          <w:p>
            <w:pPr>
              <w:spacing w:before="60" w:after="60"/>
              <w:jc w:val="left"/>
            </w:pPr>
            <w:r/>
            <w:r>
              <w:rPr>
                <w:rFonts w:ascii="Calibri" w:hAnsi="Calibri"/>
                <w:color w:val="2D2D2D"/>
                <w:sz w:val="20"/>
              </w:rPr>
              <w:t>Industry Events / ASLRRA</w:t>
            </w:r>
          </w:p>
        </w:tc>
        <w:tc>
          <w:tcPr>
            <w:tcW w:type="dxa" w:w="3120"/>
          </w:tcPr>
          <w:p>
            <w:pPr>
              <w:spacing w:before="60" w:after="60"/>
              <w:jc w:val="left"/>
            </w:pPr>
            <w:r/>
            <w:r>
              <w:rPr>
                <w:rFonts w:ascii="Calibri" w:hAnsi="Calibri"/>
                <w:color w:val="2D2D2D"/>
                <w:sz w:val="20"/>
              </w:rPr>
              <w:t>Active</w:t>
            </w:r>
          </w:p>
        </w:tc>
        <w:tc>
          <w:tcPr>
            <w:tcW w:type="dxa" w:w="3120"/>
          </w:tcPr>
          <w:p>
            <w:pPr>
              <w:spacing w:before="60" w:after="60"/>
              <w:jc w:val="left"/>
            </w:pPr>
            <w:r/>
            <w:r>
              <w:rPr>
                <w:rFonts w:ascii="Calibri" w:hAnsi="Calibri"/>
                <w:color w:val="2D2D2D"/>
                <w:sz w:val="20"/>
              </w:rPr>
              <w:t>Shortline industry association engagement</w:t>
            </w:r>
          </w:p>
        </w:tc>
      </w:tr>
    </w:tbl>
    <w:p/>
    <w:p>
      <w:pPr>
        <w:pStyle w:val="Heading2"/>
      </w:pPr>
      <w:r>
        <w:t>Sales Team Assessment</w:t>
      </w:r>
    </w:p>
    <w:p>
      <w:pPr>
        <w:pStyle w:val="ListBullet"/>
        <w:spacing w:after="40" w:before="20"/>
      </w:pPr>
      <w:r>
        <w:rPr>
          <w:rFonts w:ascii="Calibri" w:hAnsi="Calibri"/>
          <w:b/>
          <w:color w:val="2D2D2D"/>
          <w:sz w:val="22"/>
        </w:rPr>
        <w:t>Jamie O'Rourke (CEO):</w:t>
      </w:r>
      <w:r>
        <w:rPr>
          <w:rFonts w:ascii="Calibri" w:hAnsi="Calibri"/>
          <w:color w:val="2D2D2D"/>
          <w:sz w:val="22"/>
        </w:rPr>
        <w:t xml:space="preserve"> Primary commercial relationship owner. 20-year railroad veteran. Responsible for 100% of deal origination.</w:t>
      </w:r>
    </w:p>
    <w:p>
      <w:pPr>
        <w:pStyle w:val="ListBullet"/>
        <w:spacing w:after="40" w:before="20"/>
      </w:pPr>
      <w:r>
        <w:rPr>
          <w:rFonts w:ascii="Calibri" w:hAnsi="Calibri"/>
          <w:b/>
          <w:color w:val="2D2D2D"/>
          <w:sz w:val="22"/>
        </w:rPr>
        <w:t>Dev Jain (CTO):</w:t>
      </w:r>
      <w:r>
        <w:rPr>
          <w:rFonts w:ascii="Calibri" w:hAnsi="Calibri"/>
          <w:color w:val="2D2D2D"/>
          <w:sz w:val="22"/>
        </w:rPr>
        <w:t xml:space="preserve"> Technical demonstrations, product validation. 7+ years rail experience. Critical for Hook and Prove phases.</w:t>
      </w:r>
    </w:p>
    <w:p>
      <w:pPr>
        <w:pStyle w:val="ListBullet"/>
        <w:spacing w:after="40" w:before="20"/>
      </w:pPr>
      <w:r>
        <w:rPr>
          <w:rFonts w:ascii="Calibri" w:hAnsi="Calibri"/>
          <w:b/>
          <w:color w:val="2D2D2D"/>
          <w:sz w:val="22"/>
        </w:rPr>
        <w:t>Formal Sales Team: DOES NOT EXIST.</w:t>
      </w:r>
      <w:r>
        <w:rPr>
          <w:rFonts w:ascii="Calibri" w:hAnsi="Calibri"/>
          <w:color w:val="2D2D2D"/>
          <w:sz w:val="22"/>
        </w:rPr>
        <w:t xml:space="preserve"> No dedicated sales hires, no SDRs, no account executives. First hire planned in $3M funding allocation.</w:t>
      </w:r>
    </w:p>
    <w:p>
      <w:pPr>
        <w:pStyle w:val="Heading2"/>
      </w:pPr>
      <w:r>
        <w:t>What's Working</w:t>
      </w:r>
    </w:p>
    <w:p>
      <w:pPr>
        <w:pStyle w:val="ListBullet"/>
        <w:spacing w:after="40" w:before="20"/>
      </w:pPr>
      <w:r>
        <w:rPr>
          <w:rFonts w:ascii="Calibri" w:hAnsi="Calibri"/>
          <w:b/>
          <w:color w:val="2D2D2D"/>
          <w:sz w:val="22"/>
        </w:rPr>
        <w:t>Zero-upfront gainshare eliminates the #1 objection</w:t>
      </w:r>
      <w:r>
        <w:rPr>
          <w:rFonts w:ascii="Calibri" w:hAnsi="Calibri"/>
          <w:color w:val="2D2D2D"/>
          <w:sz w:val="22"/>
        </w:rPr>
        <w:t xml:space="preserve"> — Railroad CFOs cannot say no to something that costs nothing</w:t>
      </w:r>
    </w:p>
    <w:p>
      <w:pPr>
        <w:pStyle w:val="ListBullet"/>
        <w:spacing w:after="40" w:before="20"/>
      </w:pPr>
      <w:r>
        <w:rPr>
          <w:rFonts w:ascii="Calibri" w:hAnsi="Calibri"/>
          <w:b/>
          <w:color w:val="2D2D2D"/>
          <w:sz w:val="22"/>
        </w:rPr>
        <w:t>90-day deployment vs. multi-year hardware installs</w:t>
      </w:r>
      <w:r>
        <w:rPr>
          <w:rFonts w:ascii="Calibri" w:hAnsi="Calibri"/>
          <w:color w:val="2D2D2D"/>
          <w:sz w:val="22"/>
        </w:rPr>
        <w:t xml:space="preserve"> — Speed-to-value is a genuine differentiator</w:t>
      </w:r>
    </w:p>
    <w:p>
      <w:pPr>
        <w:pStyle w:val="ListBullet"/>
        <w:spacing w:after="40" w:before="20"/>
      </w:pPr>
      <w:r>
        <w:rPr>
          <w:rFonts w:ascii="Calibri" w:hAnsi="Calibri"/>
          <w:b/>
          <w:color w:val="2D2D2D"/>
          <w:sz w:val="22"/>
        </w:rPr>
        <w:t>Jamie's personal relationships opened every door</w:t>
      </w:r>
      <w:r>
        <w:rPr>
          <w:rFonts w:ascii="Calibri" w:hAnsi="Calibri"/>
          <w:color w:val="2D2D2D"/>
          <w:sz w:val="22"/>
        </w:rPr>
        <w:t xml:space="preserve"> — GWRR, OmniTrax, Vermont Rail are all relationship-originated</w:t>
      </w:r>
    </w:p>
    <w:p>
      <w:pPr>
        <w:pStyle w:val="ListBullet"/>
        <w:spacing w:after="40" w:before="20"/>
      </w:pPr>
      <w:r>
        <w:rPr>
          <w:rFonts w:ascii="Calibri" w:hAnsi="Calibri"/>
          <w:b/>
          <w:color w:val="2D2D2D"/>
          <w:sz w:val="22"/>
        </w:rPr>
        <w:t>LTOC demo creates immediate "aha moment"</w:t>
      </w:r>
      <w:r>
        <w:rPr>
          <w:rFonts w:ascii="Calibri" w:hAnsi="Calibri"/>
          <w:color w:val="2D2D2D"/>
          <w:sz w:val="22"/>
        </w:rPr>
        <w:t xml:space="preserve"> — Operators see their railroad in real-time and immediately understand value</w:t>
      </w:r>
    </w:p>
    <w:p>
      <w:pPr>
        <w:pStyle w:val="Heading2"/>
      </w:pPr>
      <w:r>
        <w:t>What's Not Working</w:t>
      </w:r>
    </w:p>
    <w:p>
      <w:pPr>
        <w:pStyle w:val="ListBullet"/>
        <w:spacing w:after="40" w:before="20"/>
      </w:pPr>
      <w:r>
        <w:rPr>
          <w:rFonts w:ascii="Calibri" w:hAnsi="Calibri"/>
          <w:b/>
          <w:color w:val="2D2D2D"/>
          <w:sz w:val="22"/>
        </w:rPr>
        <w:t>Single-threaded sales dependency on CEO</w:t>
      </w:r>
      <w:r>
        <w:rPr>
          <w:rFonts w:ascii="Calibri" w:hAnsi="Calibri"/>
          <w:color w:val="2D2D2D"/>
          <w:sz w:val="22"/>
        </w:rPr>
        <w:t xml:space="preserve"> — Most critical GTM vulnerability. All momentum stops if Jamie is unavailable. Does not scale.</w:t>
      </w:r>
    </w:p>
    <w:p>
      <w:pPr>
        <w:pStyle w:val="ListBullet"/>
        <w:spacing w:after="40" w:before="20"/>
      </w:pPr>
      <w:r>
        <w:rPr>
          <w:rFonts w:ascii="Calibri" w:hAnsi="Calibri"/>
          <w:b/>
          <w:color w:val="2D2D2D"/>
          <w:sz w:val="22"/>
        </w:rPr>
        <w:t>No repeatable sales playbook</w:t>
      </w:r>
      <w:r>
        <w:rPr>
          <w:rFonts w:ascii="Calibri" w:hAnsi="Calibri"/>
          <w:color w:val="2D2D2D"/>
          <w:sz w:val="22"/>
        </w:rPr>
        <w:t xml:space="preserve"> — Jamie's approach is intuitive, relationship-driven, and undocumented. A new hire cannot replicate what doesn't exist on paper.</w:t>
      </w:r>
    </w:p>
    <w:p>
      <w:pPr>
        <w:pStyle w:val="ListBullet"/>
        <w:spacing w:after="40" w:before="20"/>
      </w:pPr>
      <w:r>
        <w:rPr>
          <w:rFonts w:ascii="Calibri" w:hAnsi="Calibri"/>
          <w:b/>
          <w:color w:val="2D2D2D"/>
          <w:sz w:val="22"/>
        </w:rPr>
        <w:t>No dedicated sales hires</w:t>
      </w:r>
      <w:r>
        <w:rPr>
          <w:rFonts w:ascii="Calibri" w:hAnsi="Calibri"/>
          <w:color w:val="2D2D2D"/>
          <w:sz w:val="22"/>
        </w:rPr>
        <w:t xml:space="preserve"> — Blocked by funding. $3M round includes first sales hire, but that round depends on GWRR pilot.</w:t>
      </w:r>
    </w:p>
    <w:p>
      <w:pPr>
        <w:pStyle w:val="ListBullet"/>
        <w:spacing w:after="40" w:before="20"/>
      </w:pPr>
      <w:r>
        <w:rPr>
          <w:rFonts w:ascii="Calibri" w:hAnsi="Calibri"/>
          <w:b/>
          <w:color w:val="2D2D2D"/>
          <w:sz w:val="22"/>
        </w:rPr>
        <w:t>Long timeline without Jamie relationships</w:t>
      </w:r>
      <w:r>
        <w:rPr>
          <w:rFonts w:ascii="Calibri" w:hAnsi="Calibri"/>
          <w:color w:val="2D2D2D"/>
          <w:sz w:val="22"/>
        </w:rPr>
        <w:t xml:space="preserve"> — For prospects outside Jamie's network, sales cycle reverts to industry norm of 2+ years.</w:t>
      </w:r>
    </w:p>
    <w:p>
      <w:pPr>
        <w:pStyle w:val="ListBullet"/>
        <w:spacing w:after="40" w:before="20"/>
      </w:pPr>
      <w:r>
        <w:rPr>
          <w:rFonts w:ascii="Calibri" w:hAnsi="Calibri"/>
          <w:b/>
          <w:color w:val="2D2D2D"/>
          <w:sz w:val="22"/>
        </w:rPr>
        <w:t>Conservative buyer psychology persists</w:t>
      </w:r>
      <w:r>
        <w:rPr>
          <w:rFonts w:ascii="Calibri" w:hAnsi="Calibri"/>
          <w:color w:val="2D2D2D"/>
          <w:sz w:val="22"/>
        </w:rPr>
        <w:t xml:space="preserve"> — Even with zero upfront cost, operators default to "do nothing."</w:t>
      </w:r>
    </w:p>
    <w:p>
      <w:pPr>
        <w:spacing w:before="200" w:after="200"/>
        <w:jc w:val="center"/>
      </w:pPr>
      <w:r>
        <w:rPr>
          <w:color w:val="D0D5DD"/>
          <w:sz w:val="12"/>
        </w:rPr>
        <w:t>──────────────────────────────────────────────────────────────────────</w:t>
      </w:r>
    </w:p>
    <w:p>
      <w:pPr>
        <w:spacing w:before="120" w:after="120"/>
        <w:ind w:left="720"/>
        <w:pBdr>
          <w:left w:val="single" w:sz="12" w:space="8" w:color="3A86C8"/>
        </w:pBdr>
      </w:pPr>
      <w:r>
        <w:rPr>
          <w:rFonts w:ascii="Calibri" w:hAnsi="Calibri"/>
          <w:i/>
          <w:color w:val="4A5A6A"/>
          <w:sz w:val="22"/>
        </w:rPr>
        <w:t>**CCO GTM Verdict:** The playbook works. The model works. The demo works. What doesn't work is the delivery vehicle — a single human being. The #1 commercial priority after GWRR validation is documenting the sales playbook and hiring a closer who can execute independently.</w:t>
      </w:r>
    </w:p>
    <w:p>
      <w:pPr>
        <w:spacing w:before="160" w:after="160"/>
        <w:jc w:val="center"/>
      </w:pPr>
      <w:r>
        <w:rPr>
          <w:color w:val="D0D5DD"/>
          <w:sz w:val="16"/>
        </w:rPr>
        <w:t>────────────────────────────────────────────────────────────</w:t>
      </w:r>
    </w:p>
    <w:p>
      <w:pPr>
        <w:pStyle w:val="Heading1"/>
      </w:pPr>
      <w:r>
        <w:t>Partnership &amp; Channel Strategy</w:t>
      </w:r>
    </w:p>
    <w:p>
      <w:pPr>
        <w:pStyle w:val="Heading2"/>
      </w:pPr>
      <w:r>
        <w:t>Tier 1 Strategic Partners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Partner</w:t>
            </w:r>
          </w:p>
        </w:tc>
        <w:tc>
          <w:tcPr>
            <w:tcW w:type="dxa" w:w="2340"/>
            <w:shd w:fill="1B2A4A" w:val="clear"/>
          </w:tcPr>
          <w:p>
            <w:pPr>
              <w:spacing w:before="60" w:after="60"/>
              <w:jc w:val="left"/>
            </w:pPr>
            <w:r/>
            <w:r>
              <w:rPr>
                <w:rFonts w:ascii="Calibri" w:hAnsi="Calibri"/>
                <w:b/>
                <w:color w:val="FFFFFF"/>
                <w:sz w:val="20"/>
              </w:rPr>
              <w:t>Strategic Value</w:t>
            </w:r>
          </w:p>
        </w:tc>
        <w:tc>
          <w:tcPr>
            <w:tcW w:type="dxa" w:w="2340"/>
            <w:shd w:fill="1B2A4A" w:val="clear"/>
          </w:tcPr>
          <w:p>
            <w:pPr>
              <w:spacing w:before="60" w:after="60"/>
              <w:jc w:val="left"/>
            </w:pPr>
            <w:r/>
            <w:r>
              <w:rPr>
                <w:rFonts w:ascii="Calibri" w:hAnsi="Calibri"/>
                <w:b/>
                <w:color w:val="FFFFFF"/>
                <w:sz w:val="20"/>
              </w:rPr>
              <w:t>Status</w:t>
            </w:r>
          </w:p>
        </w:tc>
        <w:tc>
          <w:tcPr>
            <w:tcW w:type="dxa" w:w="2340"/>
            <w:shd w:fill="1B2A4A" w:val="clear"/>
          </w:tcPr>
          <w:p>
            <w:pPr>
              <w:spacing w:before="60" w:after="60"/>
              <w:jc w:val="left"/>
            </w:pPr>
            <w:r/>
            <w:r>
              <w:rPr>
                <w:rFonts w:ascii="Calibri" w:hAnsi="Calibri"/>
                <w:b/>
                <w:color w:val="FFFFFF"/>
                <w:sz w:val="20"/>
              </w:rPr>
              <w:t>ARR Impact</w:t>
            </w:r>
          </w:p>
        </w:tc>
      </w:tr>
      <w:tr>
        <w:tc>
          <w:tcPr>
            <w:tcW w:type="dxa" w:w="2340"/>
          </w:tcPr>
          <w:p>
            <w:pPr>
              <w:spacing w:before="60" w:after="60"/>
              <w:jc w:val="left"/>
            </w:pPr>
            <w:r/>
            <w:r>
              <w:rPr>
                <w:rFonts w:ascii="Calibri" w:hAnsi="Calibri"/>
                <w:color w:val="2D2D2D"/>
                <w:sz w:val="20"/>
              </w:rPr>
              <w:t>**Wabtec**</w:t>
            </w:r>
          </w:p>
        </w:tc>
        <w:tc>
          <w:tcPr>
            <w:tcW w:type="dxa" w:w="2340"/>
          </w:tcPr>
          <w:p>
            <w:pPr>
              <w:spacing w:before="60" w:after="60"/>
              <w:jc w:val="left"/>
            </w:pPr>
            <w:r/>
            <w:r>
              <w:rPr>
                <w:rFonts w:ascii="Calibri" w:hAnsi="Calibri"/>
                <w:color w:val="2D2D2D"/>
                <w:sz w:val="20"/>
              </w:rPr>
              <w:t>Fills 650+ shortline gap. Brand credibility. Global sales network. Trip Optimizer complement</w:t>
            </w:r>
          </w:p>
        </w:tc>
        <w:tc>
          <w:tcPr>
            <w:tcW w:type="dxa" w:w="2340"/>
          </w:tcPr>
          <w:p>
            <w:pPr>
              <w:spacing w:before="60" w:after="60"/>
              <w:jc w:val="left"/>
            </w:pPr>
            <w:r/>
            <w:r>
              <w:rPr>
                <w:rFonts w:ascii="Calibri" w:hAnsi="Calibri"/>
                <w:color w:val="2D2D2D"/>
                <w:sz w:val="20"/>
              </w:rPr>
              <w:t>**Priority conversation**</w:t>
            </w:r>
          </w:p>
        </w:tc>
        <w:tc>
          <w:tcPr>
            <w:tcW w:type="dxa" w:w="2340"/>
          </w:tcPr>
          <w:p>
            <w:pPr>
              <w:spacing w:before="60" w:after="60"/>
              <w:jc w:val="left"/>
            </w:pPr>
            <w:r/>
            <w:r>
              <w:rPr>
                <w:rFonts w:ascii="Calibri" w:hAnsi="Calibri"/>
                <w:color w:val="2D2D2D"/>
                <w:sz w:val="20"/>
              </w:rPr>
              <w:t>Accelerates NA shortline penetration</w:t>
            </w:r>
          </w:p>
        </w:tc>
      </w:tr>
      <w:tr>
        <w:tc>
          <w:tcPr>
            <w:tcW w:type="dxa" w:w="2340"/>
            <w:shd w:fill="F0F4F8" w:val="clear"/>
          </w:tcPr>
          <w:p>
            <w:pPr>
              <w:spacing w:before="60" w:after="60"/>
              <w:jc w:val="left"/>
            </w:pPr>
            <w:r/>
            <w:r>
              <w:rPr>
                <w:rFonts w:ascii="Calibri" w:hAnsi="Calibri"/>
                <w:color w:val="2D2D2D"/>
                <w:sz w:val="20"/>
              </w:rPr>
              <w:t>**Alstom**</w:t>
            </w:r>
          </w:p>
        </w:tc>
        <w:tc>
          <w:tcPr>
            <w:tcW w:type="dxa" w:w="2340"/>
            <w:shd w:fill="F0F4F8" w:val="clear"/>
          </w:tcPr>
          <w:p>
            <w:pPr>
              <w:spacing w:before="60" w:after="60"/>
              <w:jc w:val="left"/>
            </w:pPr>
            <w:r/>
            <w:r>
              <w:rPr>
                <w:rFonts w:ascii="Calibri" w:hAnsi="Calibri"/>
                <w:color w:val="2D2D2D"/>
                <w:sz w:val="20"/>
              </w:rPr>
              <w:t>North American freight entry. Mastria integration. 70+ countries. Autonomous rail alignment</w:t>
            </w:r>
          </w:p>
        </w:tc>
        <w:tc>
          <w:tcPr>
            <w:tcW w:type="dxa" w:w="2340"/>
            <w:shd w:fill="F0F4F8" w:val="clear"/>
          </w:tcPr>
          <w:p>
            <w:pPr>
              <w:spacing w:before="60" w:after="60"/>
              <w:jc w:val="left"/>
            </w:pPr>
            <w:r/>
            <w:r>
              <w:rPr>
                <w:rFonts w:ascii="Calibri" w:hAnsi="Calibri"/>
                <w:color w:val="2D2D2D"/>
                <w:sz w:val="20"/>
              </w:rPr>
              <w:t>Medium-term (Q3/Q4 2025)</w:t>
            </w:r>
          </w:p>
        </w:tc>
        <w:tc>
          <w:tcPr>
            <w:tcW w:type="dxa" w:w="2340"/>
            <w:shd w:fill="F0F4F8" w:val="clear"/>
          </w:tcPr>
          <w:p>
            <w:pPr>
              <w:spacing w:before="60" w:after="60"/>
              <w:jc w:val="left"/>
            </w:pPr>
            <w:r/>
            <w:r>
              <w:rPr>
                <w:rFonts w:ascii="Calibri" w:hAnsi="Calibri"/>
                <w:color w:val="2D2D2D"/>
                <w:sz w:val="20"/>
              </w:rPr>
              <w:t>$52M international ARR opportunity</w:t>
            </w:r>
          </w:p>
        </w:tc>
      </w:tr>
      <w:tr>
        <w:tc>
          <w:tcPr>
            <w:tcW w:type="dxa" w:w="2340"/>
          </w:tcPr>
          <w:p>
            <w:pPr>
              <w:spacing w:before="60" w:after="60"/>
              <w:jc w:val="left"/>
            </w:pPr>
            <w:r/>
            <w:r>
              <w:rPr>
                <w:rFonts w:ascii="Calibri" w:hAnsi="Calibri"/>
                <w:color w:val="2D2D2D"/>
                <w:sz w:val="20"/>
              </w:rPr>
              <w:t>**Progress Rail (CAT)**</w:t>
            </w:r>
          </w:p>
        </w:tc>
        <w:tc>
          <w:tcPr>
            <w:tcW w:type="dxa" w:w="2340"/>
          </w:tcPr>
          <w:p>
            <w:pPr>
              <w:spacing w:before="60" w:after="60"/>
              <w:jc w:val="left"/>
            </w:pPr>
            <w:r/>
            <w:r>
              <w:rPr>
                <w:rFonts w:ascii="Calibri" w:hAnsi="Calibri"/>
                <w:color w:val="2D2D2D"/>
                <w:sz w:val="20"/>
              </w:rPr>
              <w:t>Bundle with locomotive sales. Fortune 100 credibility. Global expansion</w:t>
            </w:r>
          </w:p>
        </w:tc>
        <w:tc>
          <w:tcPr>
            <w:tcW w:type="dxa" w:w="2340"/>
          </w:tcPr>
          <w:p>
            <w:pPr>
              <w:spacing w:before="60" w:after="60"/>
              <w:jc w:val="left"/>
            </w:pPr>
            <w:r/>
            <w:r>
              <w:rPr>
                <w:rFonts w:ascii="Calibri" w:hAnsi="Calibri"/>
                <w:color w:val="2D2D2D"/>
                <w:sz w:val="20"/>
              </w:rPr>
              <w:t>Medium-term</w:t>
            </w:r>
          </w:p>
        </w:tc>
        <w:tc>
          <w:tcPr>
            <w:tcW w:type="dxa" w:w="2340"/>
          </w:tcPr>
          <w:p>
            <w:pPr>
              <w:spacing w:before="60" w:after="60"/>
              <w:jc w:val="left"/>
            </w:pPr>
            <w:r/>
            <w:r>
              <w:rPr>
                <w:rFonts w:ascii="Calibri" w:hAnsi="Calibri"/>
                <w:color w:val="2D2D2D"/>
                <w:sz w:val="20"/>
              </w:rPr>
              <w:t>Every loco sale = deployment opportunity</w:t>
            </w:r>
          </w:p>
        </w:tc>
      </w:tr>
    </w:tbl>
    <w:p/>
    <w:p>
      <w:pPr>
        <w:pStyle w:val="Heading3"/>
      </w:pPr>
      <w:r>
        <w:t>Wabtec — The Priority Partner</w:t>
      </w:r>
    </w:p>
    <w:p>
      <w:pPr>
        <w:spacing w:after="120" w:before="40" w:line="276" w:lineRule="auto"/>
        <w:jc w:val="both"/>
      </w:pPr>
      <w:r>
        <w:rPr>
          <w:rFonts w:ascii="Calibri" w:hAnsi="Calibri"/>
          <w:color w:val="2D2D2D"/>
          <w:sz w:val="22"/>
        </w:rPr>
        <w:t xml:space="preserve">Wabtec's Trip Optimizer dominates Class I with 6,000+ installations but has </w:t>
      </w:r>
      <w:r>
        <w:rPr>
          <w:rFonts w:ascii="Calibri" w:hAnsi="Calibri"/>
          <w:b/>
          <w:color w:val="2D2D2D"/>
          <w:sz w:val="22"/>
        </w:rPr>
        <w:t>zero presence in 650+ shortlines.</w:t>
      </w:r>
      <w:r>
        <w:rPr>
          <w:rFonts w:ascii="Calibri" w:hAnsi="Calibri"/>
          <w:color w:val="2D2D2D"/>
          <w:sz w:val="22"/>
        </w:rPr>
        <w:t xml:space="preserve"> Trip Optimizer's hardware-heavy, PTC-dependent architecture is unsuitable for Class II/III. RailVision fills this gap perfectly.</w:t>
      </w:r>
    </w:p>
    <w:p>
      <w:pPr>
        <w:spacing w:after="120" w:before="40" w:line="276" w:lineRule="auto"/>
        <w:jc w:val="both"/>
      </w:pPr>
      <w:r>
        <w:rPr>
          <w:rFonts w:ascii="Calibri" w:hAnsi="Calibri"/>
          <w:color w:val="2D2D2D"/>
          <w:sz w:val="22"/>
        </w:rPr>
        <w:t xml:space="preserve">The value proposition to Wabtec: </w:t>
      </w:r>
      <w:r>
        <w:rPr>
          <w:rFonts w:ascii="Calibri" w:hAnsi="Calibri"/>
          <w:i/>
          <w:color w:val="2D2D2D"/>
          <w:sz w:val="22"/>
        </w:rPr>
        <w:t>"We give you 650 railroads you cannot serve today, without cannibalizing Trip Optimizer in Class I."</w:t>
      </w:r>
    </w:p>
    <w:p>
      <w:pPr>
        <w:pStyle w:val="Heading3"/>
      </w:pPr>
      <w:r>
        <w:t>Alstom — The International Bridge</w:t>
      </w:r>
    </w:p>
    <w:p>
      <w:pPr>
        <w:spacing w:after="120" w:before="40" w:line="276" w:lineRule="auto"/>
        <w:jc w:val="both"/>
      </w:pPr>
      <w:r>
        <w:rPr>
          <w:rFonts w:ascii="Calibri" w:hAnsi="Calibri"/>
          <w:color w:val="2D2D2D"/>
          <w:sz w:val="22"/>
        </w:rPr>
        <w:t>Alstom's Mastria platform and 70+ country presence makes it the natural international expansion partner. The $52M international ARR opportunity is real but long-dated. Conversations should begin Q3/Q4 2025 after North American proof.</w:t>
      </w:r>
    </w:p>
    <w:p>
      <w:pPr>
        <w:pStyle w:val="Heading3"/>
      </w:pPr>
      <w:r>
        <w:t>Progress Rail (CAT) — The Bundling Play</w:t>
      </w:r>
    </w:p>
    <w:p>
      <w:pPr>
        <w:spacing w:after="120" w:before="40" w:line="276" w:lineRule="auto"/>
        <w:jc w:val="both"/>
      </w:pPr>
      <w:r>
        <w:rPr>
          <w:rFonts w:ascii="Calibri" w:hAnsi="Calibri"/>
          <w:color w:val="2D2D2D"/>
          <w:sz w:val="22"/>
        </w:rPr>
        <w:t xml:space="preserve">A bundled offering — </w:t>
      </w:r>
      <w:r>
        <w:rPr>
          <w:rFonts w:ascii="Calibri" w:hAnsi="Calibri"/>
          <w:i/>
          <w:color w:val="2D2D2D"/>
          <w:sz w:val="22"/>
        </w:rPr>
        <w:t>"every locomotive comes with EcoRail"</w:t>
      </w:r>
      <w:r>
        <w:rPr>
          <w:rFonts w:ascii="Calibri" w:hAnsi="Calibri"/>
          <w:color w:val="2D2D2D"/>
          <w:sz w:val="22"/>
        </w:rPr>
        <w:t xml:space="preserve"> — creates deployment at the scale of hardware sales. Fortune 100 credibility is an added benefit for investor and customer confidence.</w:t>
      </w:r>
    </w:p>
    <w:p>
      <w:pPr>
        <w:pStyle w:val="Heading2"/>
      </w:pPr>
      <w:r>
        <w:t>Tier 2 Distribution Partners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Partner</w:t>
            </w:r>
          </w:p>
        </w:tc>
        <w:tc>
          <w:tcPr>
            <w:tcW w:type="dxa" w:w="3120"/>
            <w:shd w:fill="1B2A4A" w:val="clear"/>
          </w:tcPr>
          <w:p>
            <w:pPr>
              <w:spacing w:before="60" w:after="60"/>
              <w:jc w:val="left"/>
            </w:pPr>
            <w:r/>
            <w:r>
              <w:rPr>
                <w:rFonts w:ascii="Calibri" w:hAnsi="Calibri"/>
                <w:b/>
                <w:color w:val="FFFFFF"/>
                <w:sz w:val="20"/>
              </w:rPr>
              <w:t>Value</w:t>
            </w:r>
          </w:p>
        </w:tc>
        <w:tc>
          <w:tcPr>
            <w:tcW w:type="dxa" w:w="3120"/>
            <w:shd w:fill="1B2A4A" w:val="clear"/>
          </w:tcPr>
          <w:p>
            <w:pPr>
              <w:spacing w:before="60" w:after="60"/>
              <w:jc w:val="left"/>
            </w:pPr>
            <w:r/>
            <w:r>
              <w:rPr>
                <w:rFonts w:ascii="Calibri" w:hAnsi="Calibri"/>
                <w:b/>
                <w:color w:val="FFFFFF"/>
                <w:sz w:val="20"/>
              </w:rPr>
              <w:t>Status</w:t>
            </w:r>
          </w:p>
        </w:tc>
      </w:tr>
      <w:tr>
        <w:tc>
          <w:tcPr>
            <w:tcW w:type="dxa" w:w="3120"/>
          </w:tcPr>
          <w:p>
            <w:pPr>
              <w:spacing w:before="60" w:after="60"/>
              <w:jc w:val="left"/>
            </w:pPr>
            <w:r/>
            <w:r>
              <w:rPr>
                <w:rFonts w:ascii="Calibri" w:hAnsi="Calibri"/>
                <w:color w:val="2D2D2D"/>
                <w:sz w:val="20"/>
              </w:rPr>
              <w:t>**Railroad Software**</w:t>
            </w:r>
          </w:p>
        </w:tc>
        <w:tc>
          <w:tcPr>
            <w:tcW w:type="dxa" w:w="3120"/>
          </w:tcPr>
          <w:p>
            <w:pPr>
              <w:spacing w:before="60" w:after="60"/>
              <w:jc w:val="left"/>
            </w:pPr>
            <w:r/>
            <w:r>
              <w:rPr>
                <w:rFonts w:ascii="Calibri" w:hAnsi="Calibri"/>
                <w:color w:val="2D2D2D"/>
                <w:sz w:val="20"/>
              </w:rPr>
              <w:t>200+ railroad customers, 40+ years expertise</w:t>
            </w:r>
          </w:p>
        </w:tc>
        <w:tc>
          <w:tcPr>
            <w:tcW w:type="dxa" w:w="3120"/>
          </w:tcPr>
          <w:p>
            <w:pPr>
              <w:spacing w:before="60" w:after="60"/>
              <w:jc w:val="left"/>
            </w:pPr>
            <w:r/>
            <w:r>
              <w:rPr>
                <w:rFonts w:ascii="Calibri" w:hAnsi="Calibri"/>
                <w:color w:val="2D2D2D"/>
                <w:sz w:val="20"/>
              </w:rPr>
              <w:t>Identified</w:t>
            </w:r>
          </w:p>
        </w:tc>
      </w:tr>
      <w:tr>
        <w:tc>
          <w:tcPr>
            <w:tcW w:type="dxa" w:w="3120"/>
            <w:shd w:fill="F0F4F8" w:val="clear"/>
          </w:tcPr>
          <w:p>
            <w:pPr>
              <w:spacing w:before="60" w:after="60"/>
              <w:jc w:val="left"/>
            </w:pPr>
            <w:r/>
            <w:r>
              <w:rPr>
                <w:rFonts w:ascii="Calibri" w:hAnsi="Calibri"/>
                <w:color w:val="2D2D2D"/>
                <w:sz w:val="20"/>
              </w:rPr>
              <w:t>**Railhead**</w:t>
            </w:r>
          </w:p>
        </w:tc>
        <w:tc>
          <w:tcPr>
            <w:tcW w:type="dxa" w:w="3120"/>
            <w:shd w:fill="F0F4F8" w:val="clear"/>
          </w:tcPr>
          <w:p>
            <w:pPr>
              <w:spacing w:before="60" w:after="60"/>
              <w:jc w:val="left"/>
            </w:pPr>
            <w:r/>
            <w:r>
              <w:rPr>
                <w:rFonts w:ascii="Calibri" w:hAnsi="Calibri"/>
                <w:color w:val="2D2D2D"/>
                <w:sz w:val="20"/>
              </w:rPr>
              <w:t>60+ locations, 800+ shortline customers, PE-backed</w:t>
            </w:r>
          </w:p>
        </w:tc>
        <w:tc>
          <w:tcPr>
            <w:tcW w:type="dxa" w:w="3120"/>
            <w:shd w:fill="F0F4F8" w:val="clear"/>
          </w:tcPr>
          <w:p>
            <w:pPr>
              <w:spacing w:before="60" w:after="60"/>
              <w:jc w:val="left"/>
            </w:pPr>
            <w:r/>
            <w:r>
              <w:rPr>
                <w:rFonts w:ascii="Calibri" w:hAnsi="Calibri"/>
                <w:color w:val="2D2D2D"/>
                <w:sz w:val="20"/>
              </w:rPr>
              <w:t>Identified</w:t>
            </w:r>
          </w:p>
        </w:tc>
      </w:tr>
      <w:tr>
        <w:tc>
          <w:tcPr>
            <w:tcW w:type="dxa" w:w="3120"/>
          </w:tcPr>
          <w:p>
            <w:pPr>
              <w:spacing w:before="60" w:after="60"/>
              <w:jc w:val="left"/>
            </w:pPr>
            <w:r/>
            <w:r>
              <w:rPr>
                <w:rFonts w:ascii="Calibri" w:hAnsi="Calibri"/>
                <w:color w:val="2D2D2D"/>
                <w:sz w:val="20"/>
              </w:rPr>
              <w:t>**Loram**</w:t>
            </w:r>
          </w:p>
        </w:tc>
        <w:tc>
          <w:tcPr>
            <w:tcW w:type="dxa" w:w="3120"/>
          </w:tcPr>
          <w:p>
            <w:pPr>
              <w:spacing w:before="60" w:after="60"/>
              <w:jc w:val="left"/>
            </w:pPr>
            <w:r/>
            <w:r>
              <w:rPr>
                <w:rFonts w:ascii="Calibri" w:hAnsi="Calibri"/>
                <w:color w:val="2D2D2D"/>
                <w:sz w:val="20"/>
              </w:rPr>
              <w:t>32 countries, track maintenance contracts across Class I + regionals</w:t>
            </w:r>
          </w:p>
        </w:tc>
        <w:tc>
          <w:tcPr>
            <w:tcW w:type="dxa" w:w="3120"/>
          </w:tcPr>
          <w:p>
            <w:pPr>
              <w:spacing w:before="60" w:after="60"/>
              <w:jc w:val="left"/>
            </w:pPr>
            <w:r/>
            <w:r>
              <w:rPr>
                <w:rFonts w:ascii="Calibri" w:hAnsi="Calibri"/>
                <w:color w:val="2D2D2D"/>
                <w:sz w:val="20"/>
              </w:rPr>
              <w:t>Active conversation</w:t>
            </w:r>
          </w:p>
        </w:tc>
      </w:tr>
      <w:tr>
        <w:tc>
          <w:tcPr>
            <w:tcW w:type="dxa" w:w="3120"/>
            <w:shd w:fill="F0F4F8" w:val="clear"/>
          </w:tcPr>
          <w:p>
            <w:pPr>
              <w:spacing w:before="60" w:after="60"/>
              <w:jc w:val="left"/>
            </w:pPr>
            <w:r/>
            <w:r>
              <w:rPr>
                <w:rFonts w:ascii="Calibri" w:hAnsi="Calibri"/>
                <w:color w:val="2D2D2D"/>
                <w:sz w:val="20"/>
              </w:rPr>
              <w:t>**Holland Company**</w:t>
            </w:r>
          </w:p>
        </w:tc>
        <w:tc>
          <w:tcPr>
            <w:tcW w:type="dxa" w:w="3120"/>
            <w:shd w:fill="F0F4F8" w:val="clear"/>
          </w:tcPr>
          <w:p>
            <w:pPr>
              <w:spacing w:before="60" w:after="60"/>
              <w:jc w:val="left"/>
            </w:pPr>
            <w:r/>
            <w:r>
              <w:rPr>
                <w:rFonts w:ascii="Calibri" w:hAnsi="Calibri"/>
                <w:color w:val="2D2D2D"/>
                <w:sz w:val="20"/>
              </w:rPr>
              <w:t>Family-owned, 100+ year history, shortline relationships</w:t>
            </w:r>
          </w:p>
        </w:tc>
        <w:tc>
          <w:tcPr>
            <w:tcW w:type="dxa" w:w="3120"/>
            <w:shd w:fill="F0F4F8" w:val="clear"/>
          </w:tcPr>
          <w:p>
            <w:pPr>
              <w:spacing w:before="60" w:after="60"/>
              <w:jc w:val="left"/>
            </w:pPr>
            <w:r/>
            <w:r>
              <w:rPr>
                <w:rFonts w:ascii="Calibri" w:hAnsi="Calibri"/>
                <w:color w:val="2D2D2D"/>
                <w:sz w:val="20"/>
              </w:rPr>
              <w:t>Evaluation</w:t>
            </w:r>
          </w:p>
        </w:tc>
      </w:tr>
    </w:tbl>
    <w:p/>
    <w:p>
      <w:pPr>
        <w:pStyle w:val="Heading2"/>
      </w:pPr>
      <w:r>
        <w:t>Holland-Loram Consortium</w:t>
      </w:r>
    </w:p>
    <w:p>
      <w:pPr>
        <w:spacing w:after="120" w:before="40" w:line="276" w:lineRule="auto"/>
        <w:jc w:val="both"/>
      </w:pPr>
      <w:r>
        <w:rPr>
          <w:rFonts w:ascii="Calibri" w:hAnsi="Calibri"/>
          <w:color w:val="2D2D2D"/>
          <w:sz w:val="22"/>
        </w:rPr>
        <w:t>An emerging strategic opportunity combining Holland's century-old shortline relationships and Loram's global track maintenance network:</w:t>
      </w:r>
    </w:p>
    <w:p>
      <w:pPr>
        <w:pStyle w:val="ListBullet"/>
        <w:spacing w:after="40" w:before="20"/>
      </w:pPr>
      <w:r>
        <w:rPr>
          <w:rFonts w:ascii="Calibri" w:hAnsi="Calibri"/>
          <w:b/>
          <w:color w:val="2D2D2D"/>
          <w:sz w:val="22"/>
        </w:rPr>
        <w:t>Shared investment risk</w:t>
      </w:r>
      <w:r>
        <w:rPr>
          <w:rFonts w:ascii="Calibri" w:hAnsi="Calibri"/>
          <w:color w:val="2D2D2D"/>
          <w:sz w:val="22"/>
        </w:rPr>
        <w:t xml:space="preserve"> across multiple parties</w:t>
      </w:r>
    </w:p>
    <w:p>
      <w:pPr>
        <w:pStyle w:val="ListBullet"/>
        <w:spacing w:after="40" w:before="20"/>
      </w:pPr>
      <w:r>
        <w:rPr>
          <w:rFonts w:ascii="Calibri" w:hAnsi="Calibri"/>
          <w:b/>
          <w:color w:val="2D2D2D"/>
          <w:sz w:val="22"/>
        </w:rPr>
        <w:t>Combined relationship networks</w:t>
      </w:r>
      <w:r>
        <w:rPr>
          <w:rFonts w:ascii="Calibri" w:hAnsi="Calibri"/>
          <w:color w:val="2D2D2D"/>
          <w:sz w:val="22"/>
        </w:rPr>
        <w:t xml:space="preserve"> spanning 800+ railroads</w:t>
      </w:r>
    </w:p>
    <w:p>
      <w:pPr>
        <w:pStyle w:val="ListBullet"/>
        <w:spacing w:after="40" w:before="20"/>
      </w:pPr>
      <w:r>
        <w:rPr>
          <w:rFonts w:ascii="Calibri" w:hAnsi="Calibri"/>
          <w:b/>
          <w:color w:val="2D2D2D"/>
          <w:sz w:val="22"/>
        </w:rPr>
        <w:t>Complementary data assets</w:t>
      </w:r>
      <w:r>
        <w:rPr>
          <w:rFonts w:ascii="Calibri" w:hAnsi="Calibri"/>
          <w:color w:val="2D2D2D"/>
          <w:sz w:val="22"/>
        </w:rPr>
        <w:t xml:space="preserve"> from track maintenance operations</w:t>
      </w:r>
    </w:p>
    <w:p>
      <w:pPr>
        <w:pStyle w:val="ListBullet"/>
        <w:spacing w:after="40" w:before="20"/>
      </w:pPr>
      <w:r>
        <w:rPr>
          <w:rFonts w:ascii="Calibri" w:hAnsi="Calibri"/>
          <w:b/>
          <w:color w:val="2D2D2D"/>
          <w:sz w:val="22"/>
        </w:rPr>
        <w:t>Cross-border alignment</w:t>
      </w:r>
      <w:r>
        <w:rPr>
          <w:rFonts w:ascii="Calibri" w:hAnsi="Calibri"/>
          <w:color w:val="2D2D2D"/>
          <w:sz w:val="22"/>
        </w:rPr>
        <w:t xml:space="preserve"> for Canadian and international expansion</w:t>
      </w:r>
    </w:p>
    <w:p>
      <w:pPr>
        <w:spacing w:before="120" w:after="120"/>
        <w:ind w:left="720"/>
        <w:pBdr>
          <w:left w:val="single" w:sz="12" w:space="8" w:color="3A86C8"/>
        </w:pBdr>
      </w:pPr>
      <w:r>
        <w:rPr>
          <w:rFonts w:ascii="Calibri" w:hAnsi="Calibri"/>
          <w:i/>
          <w:color w:val="4A5A6A"/>
          <w:sz w:val="22"/>
        </w:rPr>
        <w:t>**CCO Recommendation:** Advance Holland-Loram as a parallel track to Wabtec. Structure as investment + co-sell agreement, NOT acquisition pathway.</w:t>
      </w:r>
    </w:p>
    <w:p>
      <w:pPr>
        <w:spacing w:before="200" w:after="200"/>
        <w:jc w:val="center"/>
      </w:pPr>
      <w:r>
        <w:rPr>
          <w:color w:val="D0D5DD"/>
          <w:sz w:val="12"/>
        </w:rPr>
        <w:t>──────────────────────────────────────────────────────────────────────</w:t>
      </w:r>
    </w:p>
    <w:p>
      <w:pPr>
        <w:spacing w:after="120" w:before="40" w:line="276" w:lineRule="auto"/>
        <w:jc w:val="both"/>
      </w:pPr>
      <w:r>
        <w:rPr>
          <w:rFonts w:ascii="Calibri" w:hAnsi="Calibri"/>
          <w:b/>
          <w:color w:val="2D2D2D"/>
          <w:sz w:val="22"/>
        </w:rPr>
        <w:t>Strategic principle:</w:t>
      </w:r>
      <w:r>
        <w:rPr>
          <w:rFonts w:ascii="Calibri" w:hAnsi="Calibri"/>
          <w:color w:val="2D2D2D"/>
          <w:sz w:val="22"/>
        </w:rPr>
        <w:t xml:space="preserve"> </w:t>
      </w:r>
      <w:r>
        <w:rPr>
          <w:rFonts w:ascii="Calibri" w:hAnsi="Calibri"/>
          <w:i/>
          <w:color w:val="2D2D2D"/>
          <w:sz w:val="22"/>
        </w:rPr>
        <w:t>Complete GWRR pilot validation BEFORE entering substantive commercial terms with any partner. Negotiating from proven technology is categorically different from negotiating from promise.</w:t>
      </w:r>
    </w:p>
    <w:p>
      <w:pPr>
        <w:spacing w:before="160" w:after="160"/>
        <w:jc w:val="center"/>
      </w:pPr>
      <w:r>
        <w:rPr>
          <w:color w:val="D0D5DD"/>
          <w:sz w:val="16"/>
        </w:rPr>
        <w:t>────────────────────────────────────────────────────────────</w:t>
      </w:r>
    </w:p>
    <w:p>
      <w:pPr>
        <w:pStyle w:val="Heading1"/>
      </w:pPr>
      <w:r>
        <w:t>Competitive Positioning</w:t>
      </w:r>
    </w:p>
    <w:p>
      <w:pPr>
        <w:pStyle w:val="Heading2"/>
      </w:pPr>
      <w:r>
        <w:t>RailVision (EcoRail) vs. Wabtec (Trip Optimizer)</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Dimension</w:t>
            </w:r>
          </w:p>
        </w:tc>
        <w:tc>
          <w:tcPr>
            <w:tcW w:type="dxa" w:w="3120"/>
            <w:shd w:fill="1B2A4A" w:val="clear"/>
          </w:tcPr>
          <w:p>
            <w:pPr>
              <w:spacing w:before="60" w:after="60"/>
              <w:jc w:val="left"/>
            </w:pPr>
            <w:r/>
            <w:r>
              <w:rPr>
                <w:rFonts w:ascii="Calibri" w:hAnsi="Calibri"/>
                <w:b/>
                <w:color w:val="FFFFFF"/>
                <w:sz w:val="20"/>
              </w:rPr>
              <w:t>RailVision (EcoRail)</w:t>
            </w:r>
          </w:p>
        </w:tc>
        <w:tc>
          <w:tcPr>
            <w:tcW w:type="dxa" w:w="3120"/>
            <w:shd w:fill="1B2A4A" w:val="clear"/>
          </w:tcPr>
          <w:p>
            <w:pPr>
              <w:spacing w:before="60" w:after="60"/>
              <w:jc w:val="left"/>
            </w:pPr>
            <w:r/>
            <w:r>
              <w:rPr>
                <w:rFonts w:ascii="Calibri" w:hAnsi="Calibri"/>
                <w:b/>
                <w:color w:val="FFFFFF"/>
                <w:sz w:val="20"/>
              </w:rPr>
              <w:t>Wabtec (Trip Optimizer)</w:t>
            </w:r>
          </w:p>
        </w:tc>
      </w:tr>
      <w:tr>
        <w:tc>
          <w:tcPr>
            <w:tcW w:type="dxa" w:w="3120"/>
          </w:tcPr>
          <w:p>
            <w:pPr>
              <w:spacing w:before="60" w:after="60"/>
              <w:jc w:val="left"/>
            </w:pPr>
            <w:r/>
            <w:r>
              <w:rPr>
                <w:rFonts w:ascii="Calibri" w:hAnsi="Calibri"/>
                <w:color w:val="2D2D2D"/>
                <w:sz w:val="20"/>
              </w:rPr>
              <w:t>**Market Focus**</w:t>
            </w:r>
          </w:p>
        </w:tc>
        <w:tc>
          <w:tcPr>
            <w:tcW w:type="dxa" w:w="3120"/>
          </w:tcPr>
          <w:p>
            <w:pPr>
              <w:spacing w:before="60" w:after="60"/>
              <w:jc w:val="left"/>
            </w:pPr>
            <w:r/>
            <w:r>
              <w:rPr>
                <w:rFonts w:ascii="Calibri" w:hAnsi="Calibri"/>
                <w:color w:val="2D2D2D"/>
                <w:sz w:val="20"/>
              </w:rPr>
              <w:t>Shortline (Class II/III) + Passenger</w:t>
            </w:r>
          </w:p>
        </w:tc>
        <w:tc>
          <w:tcPr>
            <w:tcW w:type="dxa" w:w="3120"/>
          </w:tcPr>
          <w:p>
            <w:pPr>
              <w:spacing w:before="60" w:after="60"/>
              <w:jc w:val="left"/>
            </w:pPr>
            <w:r/>
            <w:r>
              <w:rPr>
                <w:rFonts w:ascii="Calibri" w:hAnsi="Calibri"/>
                <w:color w:val="2D2D2D"/>
                <w:sz w:val="20"/>
              </w:rPr>
              <w:t>Class I only</w:t>
            </w:r>
          </w:p>
        </w:tc>
      </w:tr>
      <w:tr>
        <w:tc>
          <w:tcPr>
            <w:tcW w:type="dxa" w:w="3120"/>
            <w:shd w:fill="F0F4F8" w:val="clear"/>
          </w:tcPr>
          <w:p>
            <w:pPr>
              <w:spacing w:before="60" w:after="60"/>
              <w:jc w:val="left"/>
            </w:pPr>
            <w:r/>
            <w:r>
              <w:rPr>
                <w:rFonts w:ascii="Calibri" w:hAnsi="Calibri"/>
                <w:color w:val="2D2D2D"/>
                <w:sz w:val="20"/>
              </w:rPr>
              <w:t>**Approach**</w:t>
            </w:r>
          </w:p>
        </w:tc>
        <w:tc>
          <w:tcPr>
            <w:tcW w:type="dxa" w:w="3120"/>
            <w:shd w:fill="F0F4F8" w:val="clear"/>
          </w:tcPr>
          <w:p>
            <w:pPr>
              <w:spacing w:before="60" w:after="60"/>
              <w:jc w:val="left"/>
            </w:pPr>
            <w:r/>
            <w:r>
              <w:rPr>
                <w:rFonts w:ascii="Calibri" w:hAnsi="Calibri"/>
                <w:color w:val="2D2D2D"/>
                <w:sz w:val="20"/>
              </w:rPr>
              <w:t>Software-first, tablet-based</w:t>
            </w:r>
          </w:p>
        </w:tc>
        <w:tc>
          <w:tcPr>
            <w:tcW w:type="dxa" w:w="3120"/>
            <w:shd w:fill="F0F4F8" w:val="clear"/>
          </w:tcPr>
          <w:p>
            <w:pPr>
              <w:spacing w:before="60" w:after="60"/>
              <w:jc w:val="left"/>
            </w:pPr>
            <w:r/>
            <w:r>
              <w:rPr>
                <w:rFonts w:ascii="Calibri" w:hAnsi="Calibri"/>
                <w:color w:val="2D2D2D"/>
                <w:sz w:val="20"/>
              </w:rPr>
              <w:t>Hardware-heavy, locomotive-integrated</w:t>
            </w:r>
          </w:p>
        </w:tc>
      </w:tr>
      <w:tr>
        <w:tc>
          <w:tcPr>
            <w:tcW w:type="dxa" w:w="3120"/>
          </w:tcPr>
          <w:p>
            <w:pPr>
              <w:spacing w:before="60" w:after="60"/>
              <w:jc w:val="left"/>
            </w:pPr>
            <w:r/>
            <w:r>
              <w:rPr>
                <w:rFonts w:ascii="Calibri" w:hAnsi="Calibri"/>
                <w:color w:val="2D2D2D"/>
                <w:sz w:val="20"/>
              </w:rPr>
              <w:t>**Deployment Time**</w:t>
            </w:r>
          </w:p>
        </w:tc>
        <w:tc>
          <w:tcPr>
            <w:tcW w:type="dxa" w:w="3120"/>
          </w:tcPr>
          <w:p>
            <w:pPr>
              <w:spacing w:before="60" w:after="60"/>
              <w:jc w:val="left"/>
            </w:pPr>
            <w:r/>
            <w:r>
              <w:rPr>
                <w:rFonts w:ascii="Calibri" w:hAnsi="Calibri"/>
                <w:color w:val="2D2D2D"/>
                <w:sz w:val="20"/>
              </w:rPr>
              <w:t>90 days</w:t>
            </w:r>
          </w:p>
        </w:tc>
        <w:tc>
          <w:tcPr>
            <w:tcW w:type="dxa" w:w="3120"/>
          </w:tcPr>
          <w:p>
            <w:pPr>
              <w:spacing w:before="60" w:after="60"/>
              <w:jc w:val="left"/>
            </w:pPr>
            <w:r/>
            <w:r>
              <w:rPr>
                <w:rFonts w:ascii="Calibri" w:hAnsi="Calibri"/>
                <w:color w:val="2D2D2D"/>
                <w:sz w:val="20"/>
              </w:rPr>
              <w:t>Multi-year</w:t>
            </w:r>
          </w:p>
        </w:tc>
      </w:tr>
      <w:tr>
        <w:tc>
          <w:tcPr>
            <w:tcW w:type="dxa" w:w="3120"/>
            <w:shd w:fill="F0F4F8" w:val="clear"/>
          </w:tcPr>
          <w:p>
            <w:pPr>
              <w:spacing w:before="60" w:after="60"/>
              <w:jc w:val="left"/>
            </w:pPr>
            <w:r/>
            <w:r>
              <w:rPr>
                <w:rFonts w:ascii="Calibri" w:hAnsi="Calibri"/>
                <w:color w:val="2D2D2D"/>
                <w:sz w:val="20"/>
              </w:rPr>
              <w:t>**Hardware Required**</w:t>
            </w:r>
          </w:p>
        </w:tc>
        <w:tc>
          <w:tcPr>
            <w:tcW w:type="dxa" w:w="3120"/>
            <w:shd w:fill="F0F4F8" w:val="clear"/>
          </w:tcPr>
          <w:p>
            <w:pPr>
              <w:spacing w:before="60" w:after="60"/>
              <w:jc w:val="left"/>
            </w:pPr>
            <w:r/>
            <w:r>
              <w:rPr>
                <w:rFonts w:ascii="Calibri" w:hAnsi="Calibri"/>
                <w:color w:val="2D2D2D"/>
                <w:sz w:val="20"/>
              </w:rPr>
              <w:t>Bracket + tablet only</w:t>
            </w:r>
          </w:p>
        </w:tc>
        <w:tc>
          <w:tcPr>
            <w:tcW w:type="dxa" w:w="3120"/>
            <w:shd w:fill="F0F4F8" w:val="clear"/>
          </w:tcPr>
          <w:p>
            <w:pPr>
              <w:spacing w:before="60" w:after="60"/>
              <w:jc w:val="left"/>
            </w:pPr>
            <w:r/>
            <w:r>
              <w:rPr>
                <w:rFonts w:ascii="Calibri" w:hAnsi="Calibri"/>
                <w:color w:val="2D2D2D"/>
                <w:sz w:val="20"/>
              </w:rPr>
              <w:t>Full locomotive hardware retrofit</w:t>
            </w:r>
          </w:p>
        </w:tc>
      </w:tr>
      <w:tr>
        <w:tc>
          <w:tcPr>
            <w:tcW w:type="dxa" w:w="3120"/>
          </w:tcPr>
          <w:p>
            <w:pPr>
              <w:spacing w:before="60" w:after="60"/>
              <w:jc w:val="left"/>
            </w:pPr>
            <w:r/>
            <w:r>
              <w:rPr>
                <w:rFonts w:ascii="Calibri" w:hAnsi="Calibri"/>
                <w:color w:val="2D2D2D"/>
                <w:sz w:val="20"/>
              </w:rPr>
              <w:t>**Locomotive Compatibility**</w:t>
            </w:r>
          </w:p>
        </w:tc>
        <w:tc>
          <w:tcPr>
            <w:tcW w:type="dxa" w:w="3120"/>
          </w:tcPr>
          <w:p>
            <w:pPr>
              <w:spacing w:before="60" w:after="60"/>
              <w:jc w:val="left"/>
            </w:pPr>
            <w:r/>
            <w:r>
              <w:rPr>
                <w:rFonts w:ascii="Calibri" w:hAnsi="Calibri"/>
                <w:color w:val="2D2D2D"/>
                <w:sz w:val="20"/>
              </w:rPr>
              <w:t>Any locomotive</w:t>
            </w:r>
          </w:p>
        </w:tc>
        <w:tc>
          <w:tcPr>
            <w:tcW w:type="dxa" w:w="3120"/>
          </w:tcPr>
          <w:p>
            <w:pPr>
              <w:spacing w:before="60" w:after="60"/>
              <w:jc w:val="left"/>
            </w:pPr>
            <w:r/>
            <w:r>
              <w:rPr>
                <w:rFonts w:ascii="Calibri" w:hAnsi="Calibri"/>
                <w:color w:val="2D2D2D"/>
                <w:sz w:val="20"/>
              </w:rPr>
              <w:t>Specific models only</w:t>
            </w:r>
          </w:p>
        </w:tc>
      </w:tr>
      <w:tr>
        <w:tc>
          <w:tcPr>
            <w:tcW w:type="dxa" w:w="3120"/>
            <w:shd w:fill="F0F4F8" w:val="clear"/>
          </w:tcPr>
          <w:p>
            <w:pPr>
              <w:spacing w:before="60" w:after="60"/>
              <w:jc w:val="left"/>
            </w:pPr>
            <w:r/>
            <w:r>
              <w:rPr>
                <w:rFonts w:ascii="Calibri" w:hAnsi="Calibri"/>
                <w:color w:val="2D2D2D"/>
                <w:sz w:val="20"/>
              </w:rPr>
              <w:t>**Fuel Savings**</w:t>
            </w:r>
          </w:p>
        </w:tc>
        <w:tc>
          <w:tcPr>
            <w:tcW w:type="dxa" w:w="3120"/>
            <w:shd w:fill="F0F4F8" w:val="clear"/>
          </w:tcPr>
          <w:p>
            <w:pPr>
              <w:spacing w:before="60" w:after="60"/>
              <w:jc w:val="left"/>
            </w:pPr>
            <w:r/>
            <w:r>
              <w:rPr>
                <w:rFonts w:ascii="Calibri" w:hAnsi="Calibri"/>
                <w:color w:val="2D2D2D"/>
                <w:sz w:val="20"/>
              </w:rPr>
              <w:t>7% avg live, up to 25% (sim)</w:t>
            </w:r>
          </w:p>
        </w:tc>
        <w:tc>
          <w:tcPr>
            <w:tcW w:type="dxa" w:w="3120"/>
            <w:shd w:fill="F0F4F8" w:val="clear"/>
          </w:tcPr>
          <w:p>
            <w:pPr>
              <w:spacing w:before="60" w:after="60"/>
              <w:jc w:val="left"/>
            </w:pPr>
            <w:r/>
            <w:r>
              <w:rPr>
                <w:rFonts w:ascii="Calibri" w:hAnsi="Calibri"/>
                <w:color w:val="2D2D2D"/>
                <w:sz w:val="20"/>
              </w:rPr>
              <w:t>5–17%</w:t>
            </w:r>
          </w:p>
        </w:tc>
      </w:tr>
      <w:tr>
        <w:tc>
          <w:tcPr>
            <w:tcW w:type="dxa" w:w="3120"/>
          </w:tcPr>
          <w:p>
            <w:pPr>
              <w:spacing w:before="60" w:after="60"/>
              <w:jc w:val="left"/>
            </w:pPr>
            <w:r/>
            <w:r>
              <w:rPr>
                <w:rFonts w:ascii="Calibri" w:hAnsi="Calibri"/>
                <w:color w:val="2D2D2D"/>
                <w:sz w:val="20"/>
              </w:rPr>
              <w:t>**Installed Base**</w:t>
            </w:r>
          </w:p>
        </w:tc>
        <w:tc>
          <w:tcPr>
            <w:tcW w:type="dxa" w:w="3120"/>
          </w:tcPr>
          <w:p>
            <w:pPr>
              <w:spacing w:before="60" w:after="60"/>
              <w:jc w:val="left"/>
            </w:pPr>
            <w:r/>
            <w:r>
              <w:rPr>
                <w:rFonts w:ascii="Calibri" w:hAnsi="Calibri"/>
                <w:color w:val="2D2D2D"/>
                <w:sz w:val="20"/>
              </w:rPr>
              <w:t>Pilot stage</w:t>
            </w:r>
          </w:p>
        </w:tc>
        <w:tc>
          <w:tcPr>
            <w:tcW w:type="dxa" w:w="3120"/>
          </w:tcPr>
          <w:p>
            <w:pPr>
              <w:spacing w:before="60" w:after="60"/>
              <w:jc w:val="left"/>
            </w:pPr>
            <w:r/>
            <w:r>
              <w:rPr>
                <w:rFonts w:ascii="Calibri" w:hAnsi="Calibri"/>
                <w:color w:val="2D2D2D"/>
                <w:sz w:val="20"/>
              </w:rPr>
              <w:t>6,000+ locomotives</w:t>
            </w:r>
          </w:p>
        </w:tc>
      </w:tr>
      <w:tr>
        <w:tc>
          <w:tcPr>
            <w:tcW w:type="dxa" w:w="3120"/>
            <w:shd w:fill="F0F4F8" w:val="clear"/>
          </w:tcPr>
          <w:p>
            <w:pPr>
              <w:spacing w:before="60" w:after="60"/>
              <w:jc w:val="left"/>
            </w:pPr>
            <w:r/>
            <w:r>
              <w:rPr>
                <w:rFonts w:ascii="Calibri" w:hAnsi="Calibri"/>
                <w:color w:val="2D2D2D"/>
                <w:sz w:val="20"/>
              </w:rPr>
              <w:t>**PTC Required**</w:t>
            </w:r>
          </w:p>
        </w:tc>
        <w:tc>
          <w:tcPr>
            <w:tcW w:type="dxa" w:w="3120"/>
            <w:shd w:fill="F0F4F8" w:val="clear"/>
          </w:tcPr>
          <w:p>
            <w:pPr>
              <w:spacing w:before="60" w:after="60"/>
              <w:jc w:val="left"/>
            </w:pPr>
            <w:r/>
            <w:r>
              <w:rPr>
                <w:rFonts w:ascii="Calibri" w:hAnsi="Calibri"/>
                <w:color w:val="2D2D2D"/>
                <w:sz w:val="20"/>
              </w:rPr>
              <w:t>No</w:t>
            </w:r>
          </w:p>
        </w:tc>
        <w:tc>
          <w:tcPr>
            <w:tcW w:type="dxa" w:w="3120"/>
            <w:shd w:fill="F0F4F8" w:val="clear"/>
          </w:tcPr>
          <w:p>
            <w:pPr>
              <w:spacing w:before="60" w:after="60"/>
              <w:jc w:val="left"/>
            </w:pPr>
            <w:r/>
            <w:r>
              <w:rPr>
                <w:rFonts w:ascii="Calibri" w:hAnsi="Calibri"/>
                <w:color w:val="2D2D2D"/>
                <w:sz w:val="20"/>
              </w:rPr>
              <w:t>Yes</w:t>
            </w:r>
          </w:p>
        </w:tc>
      </w:tr>
      <w:tr>
        <w:tc>
          <w:tcPr>
            <w:tcW w:type="dxa" w:w="3120"/>
          </w:tcPr>
          <w:p>
            <w:pPr>
              <w:spacing w:before="60" w:after="60"/>
              <w:jc w:val="left"/>
            </w:pPr>
            <w:r/>
            <w:r>
              <w:rPr>
                <w:rFonts w:ascii="Calibri" w:hAnsi="Calibri"/>
                <w:color w:val="2D2D2D"/>
                <w:sz w:val="20"/>
              </w:rPr>
              <w:t>**Passenger + Freight**</w:t>
            </w:r>
          </w:p>
        </w:tc>
        <w:tc>
          <w:tcPr>
            <w:tcW w:type="dxa" w:w="3120"/>
          </w:tcPr>
          <w:p>
            <w:pPr>
              <w:spacing w:before="60" w:after="60"/>
              <w:jc w:val="left"/>
            </w:pPr>
            <w:r/>
            <w:r>
              <w:rPr>
                <w:rFonts w:ascii="Calibri" w:hAnsi="Calibri"/>
                <w:color w:val="2D2D2D"/>
                <w:sz w:val="20"/>
              </w:rPr>
              <w:t>Both</w:t>
            </w:r>
          </w:p>
        </w:tc>
        <w:tc>
          <w:tcPr>
            <w:tcW w:type="dxa" w:w="3120"/>
          </w:tcPr>
          <w:p>
            <w:pPr>
              <w:spacing w:before="60" w:after="60"/>
              <w:jc w:val="left"/>
            </w:pPr>
            <w:r/>
            <w:r>
              <w:rPr>
                <w:rFonts w:ascii="Calibri" w:hAnsi="Calibri"/>
                <w:color w:val="2D2D2D"/>
                <w:sz w:val="20"/>
              </w:rPr>
              <w:t>Freight only</w:t>
            </w:r>
          </w:p>
        </w:tc>
      </w:tr>
      <w:tr>
        <w:tc>
          <w:tcPr>
            <w:tcW w:type="dxa" w:w="3120"/>
            <w:shd w:fill="F0F4F8" w:val="clear"/>
          </w:tcPr>
          <w:p>
            <w:pPr>
              <w:spacing w:before="60" w:after="60"/>
              <w:jc w:val="left"/>
            </w:pPr>
            <w:r/>
            <w:r>
              <w:rPr>
                <w:rFonts w:ascii="Calibri" w:hAnsi="Calibri"/>
                <w:color w:val="2D2D2D"/>
                <w:sz w:val="20"/>
              </w:rPr>
              <w:t>**Affordable for Class II/III**</w:t>
            </w:r>
          </w:p>
        </w:tc>
        <w:tc>
          <w:tcPr>
            <w:tcW w:type="dxa" w:w="3120"/>
            <w:shd w:fill="F0F4F8" w:val="clear"/>
          </w:tcPr>
          <w:p>
            <w:pPr>
              <w:spacing w:before="60" w:after="60"/>
              <w:jc w:val="left"/>
            </w:pPr>
            <w:r/>
            <w:r>
              <w:rPr>
                <w:rFonts w:ascii="Calibri" w:hAnsi="Calibri"/>
                <w:color w:val="2D2D2D"/>
                <w:sz w:val="20"/>
              </w:rPr>
              <w:t>Yes (zero upfront)</w:t>
            </w:r>
          </w:p>
        </w:tc>
        <w:tc>
          <w:tcPr>
            <w:tcW w:type="dxa" w:w="3120"/>
            <w:shd w:fill="F0F4F8" w:val="clear"/>
          </w:tcPr>
          <w:p>
            <w:pPr>
              <w:spacing w:before="60" w:after="60"/>
              <w:jc w:val="left"/>
            </w:pPr>
            <w:r/>
            <w:r>
              <w:rPr>
                <w:rFonts w:ascii="Calibri" w:hAnsi="Calibri"/>
                <w:color w:val="2D2D2D"/>
                <w:sz w:val="20"/>
              </w:rPr>
              <w:t>No (too expensive)</w:t>
            </w:r>
          </w:p>
        </w:tc>
      </w:tr>
      <w:tr>
        <w:tc>
          <w:tcPr>
            <w:tcW w:type="dxa" w:w="3120"/>
          </w:tcPr>
          <w:p>
            <w:pPr>
              <w:spacing w:before="60" w:after="60"/>
              <w:jc w:val="left"/>
            </w:pPr>
            <w:r/>
            <w:r>
              <w:rPr>
                <w:rFonts w:ascii="Calibri" w:hAnsi="Calibri"/>
                <w:color w:val="2D2D2D"/>
                <w:sz w:val="20"/>
              </w:rPr>
              <w:t>**Upfront Cost**</w:t>
            </w:r>
          </w:p>
        </w:tc>
        <w:tc>
          <w:tcPr>
            <w:tcW w:type="dxa" w:w="3120"/>
          </w:tcPr>
          <w:p>
            <w:pPr>
              <w:spacing w:before="60" w:after="60"/>
              <w:jc w:val="left"/>
            </w:pPr>
            <w:r/>
            <w:r>
              <w:rPr>
                <w:rFonts w:ascii="Calibri" w:hAnsi="Calibri"/>
                <w:color w:val="2D2D2D"/>
                <w:sz w:val="20"/>
              </w:rPr>
              <w:t>$0 (gainshare)</w:t>
            </w:r>
          </w:p>
        </w:tc>
        <w:tc>
          <w:tcPr>
            <w:tcW w:type="dxa" w:w="3120"/>
          </w:tcPr>
          <w:p>
            <w:pPr>
              <w:spacing w:before="60" w:after="60"/>
              <w:jc w:val="left"/>
            </w:pPr>
            <w:r/>
            <w:r>
              <w:rPr>
                <w:rFonts w:ascii="Calibri" w:hAnsi="Calibri"/>
                <w:color w:val="2D2D2D"/>
                <w:sz w:val="20"/>
              </w:rPr>
              <w:t>Significant CapEx</w:t>
            </w:r>
          </w:p>
        </w:tc>
      </w:tr>
    </w:tbl>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tmp6cnsto1q.png"/>
                    <pic:cNvPicPr/>
                  </pic:nvPicPr>
                  <pic:blipFill>
                    <a:blip r:embed="rId15"/>
                    <a:stretch>
                      <a:fillRect/>
                    </a:stretch>
                  </pic:blipFill>
                  <pic:spPr>
                    <a:xfrm>
                      <a:off x="0" y="0"/>
                      <a:ext cx="5029200" cy="3143250"/>
                    </a:xfrm>
                    <a:prstGeom prst="rect"/>
                  </pic:spPr>
                </pic:pic>
              </a:graphicData>
            </a:graphic>
          </wp:inline>
        </w:drawing>
      </w:r>
    </w:p>
    <w:p/>
    <w:p>
      <w:pPr>
        <w:pStyle w:val="Heading2"/>
      </w:pPr>
      <w:r>
        <w:t>Position Statement</w:t>
      </w:r>
    </w:p>
    <w:p>
      <w:pPr>
        <w:spacing w:before="120" w:after="120"/>
        <w:ind w:left="720"/>
        <w:pBdr>
          <w:left w:val="single" w:sz="12" w:space="8" w:color="3A86C8"/>
        </w:pBdr>
      </w:pPr>
      <w:r>
        <w:rPr>
          <w:rFonts w:ascii="Calibri" w:hAnsi="Calibri"/>
          <w:i/>
          <w:color w:val="4A5A6A"/>
          <w:sz w:val="22"/>
        </w:rPr>
        <w:t>**"RailVision is the only deployed, validated software product serving the shortline and EMS-unequipped Class I market — a $30M+ ARR opportunity in North America that is currently unserved by any competitor."**</w:t>
      </w:r>
    </w:p>
    <w:p>
      <w:pPr>
        <w:spacing w:after="120" w:before="40" w:line="276" w:lineRule="auto"/>
        <w:jc w:val="both"/>
      </w:pPr>
      <w:r>
        <w:rPr>
          <w:rFonts w:ascii="Calibri" w:hAnsi="Calibri"/>
          <w:color w:val="2D2D2D"/>
          <w:sz w:val="22"/>
        </w:rPr>
        <w:t xml:space="preserve">No competitor offers a software-only, zero-upfront, locomotive-agnostic fuel optimization solution for shortlines. RailVision is not competing for an existing market — it is </w:t>
      </w:r>
      <w:r>
        <w:rPr>
          <w:rFonts w:ascii="Calibri" w:hAnsi="Calibri"/>
          <w:b/>
          <w:color w:val="2D2D2D"/>
          <w:sz w:val="22"/>
        </w:rPr>
        <w:t>creating one.</w:t>
      </w:r>
    </w:p>
    <w:p>
      <w:pPr>
        <w:pStyle w:val="Heading2"/>
      </w:pPr>
      <w:r>
        <w:t>Where to Compete vs. Where NOT to Compete</w:t>
      </w:r>
    </w:p>
    <w:p>
      <w:pPr>
        <w:spacing w:after="120" w:before="40" w:line="276" w:lineRule="auto"/>
        <w:jc w:val="both"/>
      </w:pPr>
      <w:r>
        <w:rPr>
          <w:rFonts w:ascii="Calibri" w:hAnsi="Calibri"/>
          <w:b/>
          <w:color w:val="2D2D2D"/>
          <w:sz w:val="22"/>
        </w:rPr>
        <w:t>Compete aggressively:</w:t>
      </w:r>
    </w:p>
    <w:p>
      <w:pPr>
        <w:pStyle w:val="ListBullet"/>
        <w:spacing w:after="40" w:before="20"/>
      </w:pPr>
      <w:r>
        <w:rPr>
          <w:rFonts w:ascii="Calibri" w:hAnsi="Calibri"/>
          <w:color w:val="2D2D2D"/>
          <w:sz w:val="22"/>
        </w:rPr>
        <w:t>Class III Shortlines (600–650 railroads) — Uncontested space</w:t>
      </w:r>
    </w:p>
    <w:p>
      <w:pPr>
        <w:pStyle w:val="ListBullet"/>
        <w:spacing w:after="40" w:before="20"/>
      </w:pPr>
      <w:r>
        <w:rPr>
          <w:rFonts w:ascii="Calibri" w:hAnsi="Calibri"/>
          <w:color w:val="2D2D2D"/>
          <w:sz w:val="22"/>
        </w:rPr>
        <w:t>Class II Regionals (~20 railroads) — Low competition</w:t>
      </w:r>
    </w:p>
    <w:p>
      <w:pPr>
        <w:pStyle w:val="ListBullet"/>
        <w:spacing w:after="40" w:before="20"/>
      </w:pPr>
      <w:r>
        <w:rPr>
          <w:rFonts w:ascii="Calibri" w:hAnsi="Calibri"/>
          <w:color w:val="2D2D2D"/>
          <w:sz w:val="22"/>
        </w:rPr>
        <w:t>Passenger Rail — Wabtec does not serve passenger</w:t>
      </w:r>
    </w:p>
    <w:p>
      <w:pPr>
        <w:pStyle w:val="ListBullet"/>
        <w:spacing w:after="40" w:before="20"/>
      </w:pPr>
      <w:r>
        <w:rPr>
          <w:rFonts w:ascii="Calibri" w:hAnsi="Calibri"/>
          <w:color w:val="2D2D2D"/>
          <w:sz w:val="22"/>
        </w:rPr>
        <w:t>EMS-Unequipped Class I Locomotives — Complement, not compete</w:t>
      </w:r>
    </w:p>
    <w:p>
      <w:pPr>
        <w:spacing w:after="120" w:before="40" w:line="276" w:lineRule="auto"/>
        <w:jc w:val="both"/>
      </w:pPr>
      <w:r>
        <w:rPr>
          <w:rFonts w:ascii="Calibri" w:hAnsi="Calibri"/>
          <w:b/>
          <w:color w:val="2D2D2D"/>
          <w:sz w:val="22"/>
        </w:rPr>
        <w:t>Do NOT compete:</w:t>
      </w:r>
    </w:p>
    <w:p>
      <w:pPr>
        <w:pStyle w:val="ListBullet"/>
        <w:spacing w:after="40" w:before="20"/>
      </w:pPr>
      <w:r>
        <w:rPr>
          <w:rFonts w:ascii="Calibri" w:hAnsi="Calibri"/>
          <w:color w:val="2D2D2D"/>
          <w:sz w:val="22"/>
        </w:rPr>
        <w:t xml:space="preserve">Class I EMS-Equipped Fleets — Wabtec entrenched, switching costs of </w:t>
      </w:r>
      <w:r>
        <w:rPr>
          <w:rFonts w:ascii="Calibri" w:hAnsi="Calibri"/>
          <w:b/>
          <w:color w:val="2D2D2D"/>
          <w:sz w:val="22"/>
        </w:rPr>
        <w:t>$25–50M+ per carrier</w:t>
      </w:r>
    </w:p>
    <w:p>
      <w:pPr>
        <w:spacing w:before="120" w:after="120"/>
        <w:ind w:left="720"/>
        <w:pBdr>
          <w:left w:val="single" w:sz="12" w:space="8" w:color="3A86C8"/>
        </w:pBdr>
      </w:pPr>
      <w:r>
        <w:rPr>
          <w:rFonts w:ascii="Calibri" w:hAnsi="Calibri"/>
          <w:i/>
          <w:color w:val="4A5A6A"/>
          <w:sz w:val="22"/>
        </w:rPr>
        <w:t>**Strategic Warning:** Do NOT position against Trip Optimizer head-to-head in Class I. Class I ARR projections ($113–142M) should be **removed or clearly marked as long-term aspirational** in all board and investor documents.</w:t>
      </w:r>
    </w:p>
    <w:p>
      <w:pPr>
        <w:pStyle w:val="Heading2"/>
      </w:pPr>
      <w:r>
        <w:t>Competitive Moat (4 Pillars)</w:t>
      </w:r>
    </w:p>
    <w:p>
      <w:pPr>
        <w:pStyle w:val="ListNumber"/>
        <w:spacing w:after="40" w:before="20"/>
      </w:pPr>
      <w:r>
        <w:rPr>
          <w:rFonts w:ascii="Calibri" w:hAnsi="Calibri"/>
          <w:b/>
          <w:color w:val="2D2D2D"/>
          <w:sz w:val="22"/>
        </w:rPr>
        <w:t>Zero-upfront gainshare model</w:t>
      </w:r>
      <w:r>
        <w:rPr>
          <w:rFonts w:ascii="Calibri" w:hAnsi="Calibri"/>
          <w:color w:val="2D2D2D"/>
          <w:sz w:val="22"/>
        </w:rPr>
        <w:t xml:space="preserve"> — Eliminates customer financial risk</w:t>
      </w:r>
    </w:p>
    <w:p>
      <w:pPr>
        <w:pStyle w:val="ListNumber"/>
        <w:spacing w:after="40" w:before="20"/>
      </w:pPr>
      <w:r>
        <w:rPr>
          <w:rFonts w:ascii="Calibri" w:hAnsi="Calibri"/>
          <w:b/>
          <w:color w:val="2D2D2D"/>
          <w:sz w:val="22"/>
        </w:rPr>
        <w:t>90-day deployment speed</w:t>
      </w:r>
      <w:r>
        <w:rPr>
          <w:rFonts w:ascii="Calibri" w:hAnsi="Calibri"/>
          <w:color w:val="2D2D2D"/>
          <w:sz w:val="22"/>
        </w:rPr>
        <w:t xml:space="preserve"> — 8x faster than hardware competitors</w:t>
      </w:r>
    </w:p>
    <w:p>
      <w:pPr>
        <w:pStyle w:val="ListNumber"/>
        <w:spacing w:after="40" w:before="20"/>
      </w:pPr>
      <w:r>
        <w:rPr>
          <w:rFonts w:ascii="Calibri" w:hAnsi="Calibri"/>
          <w:b/>
          <w:color w:val="2D2D2D"/>
          <w:sz w:val="22"/>
        </w:rPr>
        <w:t>Jamie O'Rourke's 20-year relationships</w:t>
      </w:r>
      <w:r>
        <w:rPr>
          <w:rFonts w:ascii="Calibri" w:hAnsi="Calibri"/>
          <w:color w:val="2D2D2D"/>
          <w:sz w:val="22"/>
        </w:rPr>
        <w:t xml:space="preserve"> — Non-replicable short-term</w:t>
      </w:r>
    </w:p>
    <w:p>
      <w:pPr>
        <w:pStyle w:val="ListNumber"/>
        <w:spacing w:after="40" w:before="20"/>
      </w:pPr>
      <w:r>
        <w:rPr>
          <w:rFonts w:ascii="Calibri" w:hAnsi="Calibri"/>
          <w:b/>
          <w:color w:val="2D2D2D"/>
          <w:sz w:val="22"/>
        </w:rPr>
        <w:t>Locomotive-agnostic, software-only architecture</w:t>
      </w:r>
      <w:r>
        <w:rPr>
          <w:rFonts w:ascii="Calibri" w:hAnsi="Calibri"/>
          <w:color w:val="2D2D2D"/>
          <w:sz w:val="22"/>
        </w:rPr>
        <w:t xml:space="preserve"> — Any railroad, any locomotive</w:t>
      </w:r>
    </w:p>
    <w:p>
      <w:pPr>
        <w:spacing w:after="120" w:before="40" w:line="276" w:lineRule="auto"/>
        <w:jc w:val="both"/>
      </w:pPr>
      <w:r>
        <w:rPr>
          <w:rFonts w:ascii="Calibri" w:hAnsi="Calibri"/>
          <w:color w:val="2D2D2D"/>
          <w:sz w:val="22"/>
        </w:rPr>
        <w:t xml:space="preserve">The moat is real but </w:t>
      </w:r>
      <w:r>
        <w:rPr>
          <w:rFonts w:ascii="Calibri" w:hAnsi="Calibri"/>
          <w:b/>
          <w:color w:val="2D2D2D"/>
          <w:sz w:val="22"/>
        </w:rPr>
        <w:t>time-limited</w:t>
      </w:r>
      <w:r>
        <w:rPr>
          <w:rFonts w:ascii="Calibri" w:hAnsi="Calibri"/>
          <w:color w:val="2D2D2D"/>
          <w:sz w:val="22"/>
        </w:rPr>
        <w:t xml:space="preserve">. Wabtec could build a software-only shortline product in 18–24 months. The window of opportunity is </w:t>
      </w:r>
      <w:r>
        <w:rPr>
          <w:rFonts w:ascii="Calibri" w:hAnsi="Calibri"/>
          <w:b/>
          <w:color w:val="2D2D2D"/>
          <w:sz w:val="22"/>
        </w:rPr>
        <w:t>now through Q4 2026.</w:t>
      </w:r>
    </w:p>
    <w:p>
      <w:pPr>
        <w:spacing w:before="160" w:after="160"/>
        <w:jc w:val="center"/>
      </w:pPr>
      <w:r>
        <w:rPr>
          <w:color w:val="D0D5DD"/>
          <w:sz w:val="16"/>
        </w:rPr>
        <w:t>────────────────────────────────────────────────────────────</w:t>
      </w:r>
    </w:p>
    <w:p>
      <w:pPr>
        <w:pStyle w:val="Heading1"/>
      </w:pPr>
      <w:r>
        <w:t>Key Commercial Risks</w:t>
      </w:r>
    </w:p>
    <w:p>
      <w:pPr>
        <w:pStyle w:val="Heading2"/>
      </w:pPr>
      <w:r>
        <w:t>Critical Risks (Red)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Risk</w:t>
            </w:r>
          </w:p>
        </w:tc>
        <w:tc>
          <w:tcPr>
            <w:tcW w:type="dxa" w:w="3120"/>
            <w:shd w:fill="1B2A4A" w:val="clear"/>
          </w:tcPr>
          <w:p>
            <w:pPr>
              <w:spacing w:before="60" w:after="60"/>
              <w:jc w:val="left"/>
            </w:pPr>
            <w:r/>
            <w:r>
              <w:rPr>
                <w:rFonts w:ascii="Calibri" w:hAnsi="Calibri"/>
                <w:b/>
                <w:color w:val="FFFFFF"/>
                <w:sz w:val="20"/>
              </w:rPr>
              <w:t>Impact</w:t>
            </w:r>
          </w:p>
        </w:tc>
        <w:tc>
          <w:tcPr>
            <w:tcW w:type="dxa" w:w="3120"/>
            <w:shd w:fill="1B2A4A" w:val="clear"/>
          </w:tcPr>
          <w:p>
            <w:pPr>
              <w:spacing w:before="60" w:after="60"/>
              <w:jc w:val="left"/>
            </w:pPr>
            <w:r/>
            <w:r>
              <w:rPr>
                <w:rFonts w:ascii="Calibri" w:hAnsi="Calibri"/>
                <w:b/>
                <w:color w:val="FFFFFF"/>
                <w:sz w:val="20"/>
              </w:rPr>
              <w:t>Mitigation</w:t>
            </w:r>
          </w:p>
        </w:tc>
      </w:tr>
      <w:tr>
        <w:tc>
          <w:tcPr>
            <w:tcW w:type="dxa" w:w="3120"/>
          </w:tcPr>
          <w:p>
            <w:pPr>
              <w:spacing w:before="60" w:after="60"/>
              <w:jc w:val="left"/>
            </w:pPr>
            <w:r/>
            <w:r>
              <w:rPr>
                <w:rFonts w:ascii="Calibri" w:hAnsi="Calibri"/>
                <w:color w:val="2D2D2D"/>
                <w:sz w:val="20"/>
              </w:rPr>
              <w:t>**GWRR pilot failure or delay**</w:t>
            </w:r>
          </w:p>
        </w:tc>
        <w:tc>
          <w:tcPr>
            <w:tcW w:type="dxa" w:w="3120"/>
          </w:tcPr>
          <w:p>
            <w:pPr>
              <w:spacing w:before="60" w:after="60"/>
              <w:jc w:val="left"/>
            </w:pPr>
            <w:r/>
            <w:r>
              <w:rPr>
                <w:rFonts w:ascii="Calibri" w:hAnsi="Calibri"/>
                <w:color w:val="2D2D2D"/>
                <w:sz w:val="20"/>
              </w:rPr>
              <w:t>Entire pipeline, fundraise, and partnerships collapse</w:t>
            </w:r>
          </w:p>
        </w:tc>
        <w:tc>
          <w:tcPr>
            <w:tcW w:type="dxa" w:w="3120"/>
          </w:tcPr>
          <w:p>
            <w:pPr>
              <w:spacing w:before="60" w:after="60"/>
              <w:jc w:val="left"/>
            </w:pPr>
            <w:r/>
            <w:r>
              <w:rPr>
                <w:rFonts w:ascii="Calibri" w:hAnsi="Calibri"/>
                <w:color w:val="2D2D2D"/>
                <w:sz w:val="20"/>
              </w:rPr>
              <w:t>Tight metrics framework. Weekly monitoring. Go/no-go at Day 45</w:t>
            </w:r>
          </w:p>
        </w:tc>
      </w:tr>
      <w:tr>
        <w:tc>
          <w:tcPr>
            <w:tcW w:type="dxa" w:w="3120"/>
            <w:shd w:fill="F0F4F8" w:val="clear"/>
          </w:tcPr>
          <w:p>
            <w:pPr>
              <w:spacing w:before="60" w:after="60"/>
              <w:jc w:val="left"/>
            </w:pPr>
            <w:r/>
            <w:r>
              <w:rPr>
                <w:rFonts w:ascii="Calibri" w:hAnsi="Calibri"/>
                <w:color w:val="2D2D2D"/>
                <w:sz w:val="20"/>
              </w:rPr>
              <w:t>**Single-threaded CEO sales dependency**</w:t>
            </w:r>
          </w:p>
        </w:tc>
        <w:tc>
          <w:tcPr>
            <w:tcW w:type="dxa" w:w="3120"/>
            <w:shd w:fill="F0F4F8" w:val="clear"/>
          </w:tcPr>
          <w:p>
            <w:pPr>
              <w:spacing w:before="60" w:after="60"/>
              <w:jc w:val="left"/>
            </w:pPr>
            <w:r/>
            <w:r>
              <w:rPr>
                <w:rFonts w:ascii="Calibri" w:hAnsi="Calibri"/>
                <w:color w:val="2D2D2D"/>
                <w:sz w:val="20"/>
              </w:rPr>
              <w:t>Key-person risk. All momentum stops if Jamie unavailable</w:t>
            </w:r>
          </w:p>
        </w:tc>
        <w:tc>
          <w:tcPr>
            <w:tcW w:type="dxa" w:w="3120"/>
            <w:shd w:fill="F0F4F8" w:val="clear"/>
          </w:tcPr>
          <w:p>
            <w:pPr>
              <w:spacing w:before="60" w:after="60"/>
              <w:jc w:val="left"/>
            </w:pPr>
            <w:r/>
            <w:r>
              <w:rPr>
                <w:rFonts w:ascii="Calibri" w:hAnsi="Calibri"/>
                <w:color w:val="2D2D2D"/>
                <w:sz w:val="20"/>
              </w:rPr>
              <w:t>First sales hire in $3M plan. Document playbook NOW</w:t>
            </w:r>
          </w:p>
        </w:tc>
      </w:tr>
      <w:tr>
        <w:tc>
          <w:tcPr>
            <w:tcW w:type="dxa" w:w="3120"/>
          </w:tcPr>
          <w:p>
            <w:pPr>
              <w:spacing w:before="60" w:after="60"/>
              <w:jc w:val="left"/>
            </w:pPr>
            <w:r/>
            <w:r>
              <w:rPr>
                <w:rFonts w:ascii="Calibri" w:hAnsi="Calibri"/>
                <w:color w:val="2D2D2D"/>
                <w:sz w:val="20"/>
              </w:rPr>
              <w:t>**Revenue concentration on G&amp;W**</w:t>
            </w:r>
          </w:p>
        </w:tc>
        <w:tc>
          <w:tcPr>
            <w:tcW w:type="dxa" w:w="3120"/>
          </w:tcPr>
          <w:p>
            <w:pPr>
              <w:spacing w:before="60" w:after="60"/>
              <w:jc w:val="left"/>
            </w:pPr>
            <w:r/>
            <w:r>
              <w:rPr>
                <w:rFonts w:ascii="Calibri" w:hAnsi="Calibri"/>
                <w:color w:val="2D2D2D"/>
                <w:sz w:val="20"/>
              </w:rPr>
              <w:t>&gt;50% of near-term ARR. Loss = loss of commercial viability</w:t>
            </w:r>
          </w:p>
        </w:tc>
        <w:tc>
          <w:tcPr>
            <w:tcW w:type="dxa" w:w="3120"/>
          </w:tcPr>
          <w:p>
            <w:pPr>
              <w:spacing w:before="60" w:after="60"/>
              <w:jc w:val="left"/>
            </w:pPr>
            <w:r/>
            <w:r>
              <w:rPr>
                <w:rFonts w:ascii="Calibri" w:hAnsi="Calibri"/>
                <w:color w:val="2D2D2D"/>
                <w:sz w:val="20"/>
              </w:rPr>
              <w:t>Accelerate Watco, W&amp;LE, Via Rail in parallel</w:t>
            </w:r>
          </w:p>
        </w:tc>
      </w:tr>
    </w:tbl>
    <w:p/>
    <w:p>
      <w:pPr>
        <w:pStyle w:val="Heading3"/>
      </w:pPr>
      <w:r>
        <w:t>GWRR Pilot — The Existential Risk</w:t>
      </w:r>
    </w:p>
    <w:p>
      <w:pPr>
        <w:spacing w:after="120" w:before="40" w:line="276" w:lineRule="auto"/>
        <w:jc w:val="both"/>
      </w:pPr>
      <w:r>
        <w:rPr>
          <w:rFonts w:ascii="Calibri" w:hAnsi="Calibri"/>
          <w:color w:val="2D2D2D"/>
          <w:sz w:val="22"/>
        </w:rPr>
        <w:t>If the 90-day validation fails to produce documented savings across all three properties, the consequences cascade:</w:t>
      </w:r>
    </w:p>
    <w:p>
      <w:pPr>
        <w:pStyle w:val="ListBullet"/>
        <w:spacing w:after="40" w:before="20"/>
      </w:pPr>
      <w:r>
        <w:rPr>
          <w:rFonts w:ascii="Calibri" w:hAnsi="Calibri"/>
          <w:color w:val="2D2D2D"/>
          <w:sz w:val="22"/>
        </w:rPr>
        <w:t xml:space="preserve">The </w:t>
      </w:r>
      <w:r>
        <w:rPr>
          <w:rFonts w:ascii="Calibri" w:hAnsi="Calibri"/>
          <w:b/>
          <w:color w:val="2D2D2D"/>
          <w:sz w:val="22"/>
        </w:rPr>
        <w:t>$3M fundraise</w:t>
      </w:r>
      <w:r>
        <w:rPr>
          <w:rFonts w:ascii="Calibri" w:hAnsi="Calibri"/>
          <w:color w:val="2D2D2D"/>
          <w:sz w:val="22"/>
        </w:rPr>
        <w:t xml:space="preserve"> loses its primary proof point and likely stalls</w:t>
      </w:r>
    </w:p>
    <w:p>
      <w:pPr>
        <w:pStyle w:val="ListBullet"/>
        <w:spacing w:after="40" w:before="20"/>
      </w:pPr>
      <w:r>
        <w:rPr>
          <w:rFonts w:ascii="Calibri" w:hAnsi="Calibri"/>
          <w:color w:val="2D2D2D"/>
          <w:sz w:val="22"/>
        </w:rPr>
        <w:t xml:space="preserve">The </w:t>
      </w:r>
      <w:r>
        <w:rPr>
          <w:rFonts w:ascii="Calibri" w:hAnsi="Calibri"/>
          <w:b/>
          <w:color w:val="2D2D2D"/>
          <w:sz w:val="22"/>
        </w:rPr>
        <w:t>GWRR expansion</w:t>
      </w:r>
      <w:r>
        <w:rPr>
          <w:rFonts w:ascii="Calibri" w:hAnsi="Calibri"/>
          <w:color w:val="2D2D2D"/>
          <w:sz w:val="22"/>
        </w:rPr>
        <w:t xml:space="preserve"> from 3 to 112 properties does not proceed</w:t>
      </w:r>
    </w:p>
    <w:p>
      <w:pPr>
        <w:pStyle w:val="ListBullet"/>
        <w:spacing w:after="40" w:before="20"/>
      </w:pPr>
      <w:r>
        <w:rPr>
          <w:rFonts w:ascii="Calibri" w:hAnsi="Calibri"/>
          <w:b/>
          <w:color w:val="2D2D2D"/>
          <w:sz w:val="22"/>
        </w:rPr>
        <w:t>Watco, Via Rail, and W&amp;LE</w:t>
      </w:r>
      <w:r>
        <w:rPr>
          <w:rFonts w:ascii="Calibri" w:hAnsi="Calibri"/>
          <w:color w:val="2D2D2D"/>
          <w:sz w:val="22"/>
        </w:rPr>
        <w:t xml:space="preserve"> lose their peer validation reference</w:t>
      </w:r>
    </w:p>
    <w:p>
      <w:pPr>
        <w:pStyle w:val="ListBullet"/>
        <w:spacing w:after="40" w:before="20"/>
      </w:pPr>
      <w:r>
        <w:rPr>
          <w:rFonts w:ascii="Calibri" w:hAnsi="Calibri"/>
          <w:b/>
          <w:color w:val="2D2D2D"/>
          <w:sz w:val="22"/>
        </w:rPr>
        <w:t>Wabtec, Alstom, and Progress Rail</w:t>
      </w:r>
      <w:r>
        <w:rPr>
          <w:rFonts w:ascii="Calibri" w:hAnsi="Calibri"/>
          <w:color w:val="2D2D2D"/>
          <w:sz w:val="22"/>
        </w:rPr>
        <w:t xml:space="preserve"> partnership conversations lose credibility</w:t>
      </w:r>
    </w:p>
    <w:p>
      <w:pPr>
        <w:pStyle w:val="ListBullet"/>
        <w:spacing w:after="40" w:before="20"/>
      </w:pPr>
      <w:r>
        <w:rPr>
          <w:rFonts w:ascii="Calibri" w:hAnsi="Calibri"/>
          <w:color w:val="2D2D2D"/>
          <w:sz w:val="22"/>
        </w:rPr>
        <w:t xml:space="preserve">The </w:t>
      </w:r>
      <w:r>
        <w:rPr>
          <w:rFonts w:ascii="Calibri" w:hAnsi="Calibri"/>
          <w:b/>
          <w:color w:val="2D2D2D"/>
          <w:sz w:val="22"/>
        </w:rPr>
        <w:t>$20M+ pipeline</w:t>
      </w:r>
      <w:r>
        <w:rPr>
          <w:rFonts w:ascii="Calibri" w:hAnsi="Calibri"/>
          <w:color w:val="2D2D2D"/>
          <w:sz w:val="22"/>
        </w:rPr>
        <w:t xml:space="preserve"> effectively resets to zero</w:t>
      </w:r>
    </w:p>
    <w:p>
      <w:pPr>
        <w:spacing w:before="200" w:after="200"/>
        <w:jc w:val="center"/>
      </w:pPr>
      <w:r>
        <w:rPr>
          <w:color w:val="D0D5DD"/>
          <w:sz w:val="12"/>
        </w:rPr>
        <w:t>──────────────────────────────────────────────────────────────────────</w:t>
      </w:r>
    </w:p>
    <w:p>
      <w:pPr>
        <w:pStyle w:val="Heading2"/>
      </w:pPr>
      <w:r>
        <w:t>Elevated Risks (Yellow)</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Risk</w:t>
            </w:r>
          </w:p>
        </w:tc>
        <w:tc>
          <w:tcPr>
            <w:tcW w:type="dxa" w:w="3120"/>
            <w:shd w:fill="1B2A4A" w:val="clear"/>
          </w:tcPr>
          <w:p>
            <w:pPr>
              <w:spacing w:before="60" w:after="60"/>
              <w:jc w:val="left"/>
            </w:pPr>
            <w:r/>
            <w:r>
              <w:rPr>
                <w:rFonts w:ascii="Calibri" w:hAnsi="Calibri"/>
                <w:b/>
                <w:color w:val="FFFFFF"/>
                <w:sz w:val="20"/>
              </w:rPr>
              <w:t>Impact</w:t>
            </w:r>
          </w:p>
        </w:tc>
        <w:tc>
          <w:tcPr>
            <w:tcW w:type="dxa" w:w="3120"/>
            <w:shd w:fill="1B2A4A" w:val="clear"/>
          </w:tcPr>
          <w:p>
            <w:pPr>
              <w:spacing w:before="60" w:after="60"/>
              <w:jc w:val="left"/>
            </w:pPr>
            <w:r/>
            <w:r>
              <w:rPr>
                <w:rFonts w:ascii="Calibri" w:hAnsi="Calibri"/>
                <w:b/>
                <w:color w:val="FFFFFF"/>
                <w:sz w:val="20"/>
              </w:rPr>
              <w:t>Mitigation</w:t>
            </w:r>
          </w:p>
        </w:tc>
      </w:tr>
      <w:tr>
        <w:tc>
          <w:tcPr>
            <w:tcW w:type="dxa" w:w="3120"/>
          </w:tcPr>
          <w:p>
            <w:pPr>
              <w:spacing w:before="60" w:after="60"/>
              <w:jc w:val="left"/>
            </w:pPr>
            <w:r/>
            <w:r>
              <w:rPr>
                <w:rFonts w:ascii="Calibri" w:hAnsi="Calibri"/>
                <w:color w:val="2D2D2D"/>
                <w:sz w:val="20"/>
              </w:rPr>
              <w:t>**Gainshare revenue variability**</w:t>
            </w:r>
          </w:p>
        </w:tc>
        <w:tc>
          <w:tcPr>
            <w:tcW w:type="dxa" w:w="3120"/>
          </w:tcPr>
          <w:p>
            <w:pPr>
              <w:spacing w:before="60" w:after="60"/>
              <w:jc w:val="left"/>
            </w:pPr>
            <w:r/>
            <w:r>
              <w:rPr>
                <w:rFonts w:ascii="Calibri" w:hAnsi="Calibri"/>
                <w:color w:val="2D2D2D"/>
                <w:sz w:val="20"/>
              </w:rPr>
              <w:t>Unpredictable revenue from fluctuating savings</w:t>
            </w:r>
          </w:p>
        </w:tc>
        <w:tc>
          <w:tcPr>
            <w:tcW w:type="dxa" w:w="3120"/>
          </w:tcPr>
          <w:p>
            <w:pPr>
              <w:spacing w:before="60" w:after="60"/>
              <w:jc w:val="left"/>
            </w:pPr>
            <w:r/>
            <w:r>
              <w:rPr>
                <w:rFonts w:ascii="Calibri" w:hAnsi="Calibri"/>
                <w:color w:val="2D2D2D"/>
                <w:sz w:val="20"/>
              </w:rPr>
              <w:t>Hybrid model: gainshare + minimum subscription floor</w:t>
            </w:r>
          </w:p>
        </w:tc>
      </w:tr>
      <w:tr>
        <w:tc>
          <w:tcPr>
            <w:tcW w:type="dxa" w:w="3120"/>
            <w:shd w:fill="F0F4F8" w:val="clear"/>
          </w:tcPr>
          <w:p>
            <w:pPr>
              <w:spacing w:before="60" w:after="60"/>
              <w:jc w:val="left"/>
            </w:pPr>
            <w:r/>
            <w:r>
              <w:rPr>
                <w:rFonts w:ascii="Calibri" w:hAnsi="Calibri"/>
                <w:color w:val="2D2D2D"/>
                <w:sz w:val="20"/>
              </w:rPr>
              <w:t>**Conservative buyer psychology**</w:t>
            </w:r>
          </w:p>
        </w:tc>
        <w:tc>
          <w:tcPr>
            <w:tcW w:type="dxa" w:w="3120"/>
            <w:shd w:fill="F0F4F8" w:val="clear"/>
          </w:tcPr>
          <w:p>
            <w:pPr>
              <w:spacing w:before="60" w:after="60"/>
              <w:jc w:val="left"/>
            </w:pPr>
            <w:r/>
            <w:r>
              <w:rPr>
                <w:rFonts w:ascii="Calibri" w:hAnsi="Calibri"/>
                <w:color w:val="2D2D2D"/>
                <w:sz w:val="20"/>
              </w:rPr>
              <w:t>Railroads default to "do nothing"</w:t>
            </w:r>
          </w:p>
        </w:tc>
        <w:tc>
          <w:tcPr>
            <w:tcW w:type="dxa" w:w="3120"/>
            <w:shd w:fill="F0F4F8" w:val="clear"/>
          </w:tcPr>
          <w:p>
            <w:pPr>
              <w:spacing w:before="60" w:after="60"/>
              <w:jc w:val="left"/>
            </w:pPr>
            <w:r/>
            <w:r>
              <w:rPr>
                <w:rFonts w:ascii="Calibri" w:hAnsi="Calibri"/>
                <w:color w:val="2D2D2D"/>
                <w:sz w:val="20"/>
              </w:rPr>
              <w:t>Peer validation via GWRR reference account</w:t>
            </w:r>
          </w:p>
        </w:tc>
      </w:tr>
      <w:tr>
        <w:tc>
          <w:tcPr>
            <w:tcW w:type="dxa" w:w="3120"/>
          </w:tcPr>
          <w:p>
            <w:pPr>
              <w:spacing w:before="60" w:after="60"/>
              <w:jc w:val="left"/>
            </w:pPr>
            <w:r/>
            <w:r>
              <w:rPr>
                <w:rFonts w:ascii="Calibri" w:hAnsi="Calibri"/>
                <w:color w:val="2D2D2D"/>
                <w:sz w:val="20"/>
              </w:rPr>
              <w:t>**Class I market overreach**</w:t>
            </w:r>
          </w:p>
        </w:tc>
        <w:tc>
          <w:tcPr>
            <w:tcW w:type="dxa" w:w="3120"/>
          </w:tcPr>
          <w:p>
            <w:pPr>
              <w:spacing w:before="60" w:after="60"/>
              <w:jc w:val="left"/>
            </w:pPr>
            <w:r/>
            <w:r>
              <w:rPr>
                <w:rFonts w:ascii="Calibri" w:hAnsi="Calibri"/>
                <w:color w:val="2D2D2D"/>
                <w:sz w:val="20"/>
              </w:rPr>
              <w:t>Damages investor credibility</w:t>
            </w:r>
          </w:p>
        </w:tc>
        <w:tc>
          <w:tcPr>
            <w:tcW w:type="dxa" w:w="3120"/>
          </w:tcPr>
          <w:p>
            <w:pPr>
              <w:spacing w:before="60" w:after="60"/>
              <w:jc w:val="left"/>
            </w:pPr>
            <w:r/>
            <w:r>
              <w:rPr>
                <w:rFonts w:ascii="Calibri" w:hAnsi="Calibri"/>
                <w:color w:val="2D2D2D"/>
                <w:sz w:val="20"/>
              </w:rPr>
              <w:t>Strip from near-term projections</w:t>
            </w:r>
          </w:p>
        </w:tc>
      </w:tr>
      <w:tr>
        <w:tc>
          <w:tcPr>
            <w:tcW w:type="dxa" w:w="3120"/>
            <w:shd w:fill="F0F4F8" w:val="clear"/>
          </w:tcPr>
          <w:p>
            <w:pPr>
              <w:spacing w:before="60" w:after="60"/>
              <w:jc w:val="left"/>
            </w:pPr>
            <w:r/>
            <w:r>
              <w:rPr>
                <w:rFonts w:ascii="Calibri" w:hAnsi="Calibri"/>
                <w:color w:val="2D2D2D"/>
                <w:sz w:val="20"/>
              </w:rPr>
              <w:t>**Partnership negotiation from weakness**</w:t>
            </w:r>
          </w:p>
        </w:tc>
        <w:tc>
          <w:tcPr>
            <w:tcW w:type="dxa" w:w="3120"/>
            <w:shd w:fill="F0F4F8" w:val="clear"/>
          </w:tcPr>
          <w:p>
            <w:pPr>
              <w:spacing w:before="60" w:after="60"/>
              <w:jc w:val="left"/>
            </w:pPr>
            <w:r/>
            <w:r>
              <w:rPr>
                <w:rFonts w:ascii="Calibri" w:hAnsi="Calibri"/>
                <w:color w:val="2D2D2D"/>
                <w:sz w:val="20"/>
              </w:rPr>
              <w:t>Unfavorable terms if negotiating pre-validation</w:t>
            </w:r>
          </w:p>
        </w:tc>
        <w:tc>
          <w:tcPr>
            <w:tcW w:type="dxa" w:w="3120"/>
            <w:shd w:fill="F0F4F8" w:val="clear"/>
          </w:tcPr>
          <w:p>
            <w:pPr>
              <w:spacing w:before="60" w:after="60"/>
              <w:jc w:val="left"/>
            </w:pPr>
            <w:r/>
            <w:r>
              <w:rPr>
                <w:rFonts w:ascii="Calibri" w:hAnsi="Calibri"/>
                <w:color w:val="2D2D2D"/>
                <w:sz w:val="20"/>
              </w:rPr>
              <w:t>Prove pilot FIRST</w:t>
            </w:r>
          </w:p>
        </w:tc>
      </w:tr>
      <w:tr>
        <w:tc>
          <w:tcPr>
            <w:tcW w:type="dxa" w:w="3120"/>
          </w:tcPr>
          <w:p>
            <w:pPr>
              <w:spacing w:before="60" w:after="60"/>
              <w:jc w:val="left"/>
            </w:pPr>
            <w:r/>
            <w:r>
              <w:rPr>
                <w:rFonts w:ascii="Calibri" w:hAnsi="Calibri"/>
                <w:color w:val="2D2D2D"/>
                <w:sz w:val="20"/>
              </w:rPr>
              <w:t>**Fuel savings verification disputes**</w:t>
            </w:r>
          </w:p>
        </w:tc>
        <w:tc>
          <w:tcPr>
            <w:tcW w:type="dxa" w:w="3120"/>
          </w:tcPr>
          <w:p>
            <w:pPr>
              <w:spacing w:before="60" w:after="60"/>
              <w:jc w:val="left"/>
            </w:pPr>
            <w:r/>
            <w:r>
              <w:rPr>
                <w:rFonts w:ascii="Calibri" w:hAnsi="Calibri"/>
                <w:color w:val="2D2D2D"/>
                <w:sz w:val="20"/>
              </w:rPr>
              <w:t>No audit standard exists</w:t>
            </w:r>
          </w:p>
        </w:tc>
        <w:tc>
          <w:tcPr>
            <w:tcW w:type="dxa" w:w="3120"/>
          </w:tcPr>
          <w:p>
            <w:pPr>
              <w:spacing w:before="60" w:after="60"/>
              <w:jc w:val="left"/>
            </w:pPr>
            <w:r/>
            <w:r>
              <w:rPr>
                <w:rFonts w:ascii="Calibri" w:hAnsi="Calibri"/>
                <w:color w:val="2D2D2D"/>
                <w:sz w:val="20"/>
              </w:rPr>
              <w:t>Establish algorithmic verification methodology</w:t>
            </w:r>
          </w:p>
        </w:tc>
      </w:tr>
    </w:tbl>
    <w:p/>
    <w:p>
      <w:pPr>
        <w:spacing w:before="200" w:after="200"/>
        <w:jc w:val="center"/>
      </w:pPr>
      <w:r>
        <w:rPr>
          <w:color w:val="D0D5DD"/>
          <w:sz w:val="12"/>
        </w:rPr>
        <w:t>──────────────────────────────────────────────────────────────────────</w:t>
      </w:r>
    </w:p>
    <w:p>
      <w:pPr>
        <w:pStyle w:val="Heading2"/>
      </w:pPr>
      <w:r>
        <w:t>Structural Strengths (Green)</w:t>
      </w:r>
    </w:p>
    <w:p>
      <w:pPr>
        <w:pStyle w:val="ListBullet"/>
        <w:spacing w:after="40" w:before="20"/>
      </w:pPr>
      <w:r>
        <w:rPr>
          <w:rFonts w:ascii="Calibri" w:hAnsi="Calibri"/>
          <w:b/>
          <w:color w:val="2D2D2D"/>
          <w:sz w:val="22"/>
        </w:rPr>
        <w:t>Zero-upfront model</w:t>
      </w:r>
      <w:r>
        <w:rPr>
          <w:rFonts w:ascii="Calibri" w:hAnsi="Calibri"/>
          <w:color w:val="2D2D2D"/>
          <w:sz w:val="22"/>
        </w:rPr>
        <w:t xml:space="preserve"> eliminates customer financial risk</w:t>
      </w:r>
    </w:p>
    <w:p>
      <w:pPr>
        <w:pStyle w:val="ListBullet"/>
        <w:spacing w:after="40" w:before="20"/>
      </w:pPr>
      <w:r>
        <w:rPr>
          <w:rFonts w:ascii="Calibri" w:hAnsi="Calibri"/>
          <w:b/>
          <w:color w:val="2D2D2D"/>
          <w:sz w:val="22"/>
        </w:rPr>
        <w:t>90-day deployment</w:t>
      </w:r>
      <w:r>
        <w:rPr>
          <w:rFonts w:ascii="Calibri" w:hAnsi="Calibri"/>
          <w:color w:val="2D2D2D"/>
          <w:sz w:val="22"/>
        </w:rPr>
        <w:t xml:space="preserve"> = fast proof-of-value</w:t>
      </w:r>
    </w:p>
    <w:p>
      <w:pPr>
        <w:pStyle w:val="ListBullet"/>
        <w:spacing w:after="40" w:before="20"/>
      </w:pPr>
      <w:r>
        <w:rPr>
          <w:rFonts w:ascii="Calibri" w:hAnsi="Calibri"/>
          <w:b/>
          <w:color w:val="2D2D2D"/>
          <w:sz w:val="22"/>
        </w:rPr>
        <w:t>No hardware dependency</w:t>
      </w:r>
      <w:r>
        <w:rPr>
          <w:rFonts w:ascii="Calibri" w:hAnsi="Calibri"/>
          <w:color w:val="2D2D2D"/>
          <w:sz w:val="22"/>
        </w:rPr>
        <w:t xml:space="preserve"> = locomotive-agnostic scalability</w:t>
      </w:r>
    </w:p>
    <w:p>
      <w:pPr>
        <w:pStyle w:val="ListBullet"/>
        <w:spacing w:after="40" w:before="20"/>
      </w:pPr>
      <w:r>
        <w:rPr>
          <w:rFonts w:ascii="Calibri" w:hAnsi="Calibri"/>
          <w:b/>
          <w:color w:val="2D2D2D"/>
          <w:sz w:val="22"/>
        </w:rPr>
        <w:t>Jamie's 20-year relationships</w:t>
      </w:r>
      <w:r>
        <w:rPr>
          <w:rFonts w:ascii="Calibri" w:hAnsi="Calibri"/>
          <w:color w:val="2D2D2D"/>
          <w:sz w:val="22"/>
        </w:rPr>
        <w:t xml:space="preserve"> are non-replicable (short-term)</w:t>
      </w:r>
    </w:p>
    <w:p>
      <w:pPr>
        <w:pStyle w:val="ListBullet"/>
        <w:spacing w:after="40" w:before="20"/>
      </w:pPr>
      <w:r>
        <w:rPr>
          <w:rFonts w:ascii="Calibri" w:hAnsi="Calibri"/>
          <w:b/>
          <w:color w:val="2D2D2D"/>
          <w:sz w:val="22"/>
        </w:rPr>
        <w:t>Canadian SR&amp;ED tax credits</w:t>
      </w:r>
      <w:r>
        <w:rPr>
          <w:rFonts w:ascii="Calibri" w:hAnsi="Calibri"/>
          <w:color w:val="2D2D2D"/>
          <w:sz w:val="22"/>
        </w:rPr>
        <w:t xml:space="preserve"> provide engineering cost advantage</w:t>
      </w:r>
    </w:p>
    <w:p>
      <w:pPr>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tmplnxsfe5e.png"/>
                    <pic:cNvPicPr/>
                  </pic:nvPicPr>
                  <pic:blipFill>
                    <a:blip r:embed="rId16"/>
                    <a:stretch>
                      <a:fillRect/>
                    </a:stretch>
                  </pic:blipFill>
                  <pic:spPr>
                    <a:xfrm>
                      <a:off x="0" y="0"/>
                      <a:ext cx="5029200" cy="3592286"/>
                    </a:xfrm>
                    <a:prstGeom prst="rect"/>
                  </pic:spPr>
                </pic:pic>
              </a:graphicData>
            </a:graphic>
          </wp:inline>
        </w:drawing>
      </w:r>
    </w:p>
    <w:p/>
    <w:p>
      <w:pPr>
        <w:spacing w:before="200" w:after="200"/>
        <w:jc w:val="center"/>
      </w:pPr>
      <w:r>
        <w:rPr>
          <w:color w:val="D0D5DD"/>
          <w:sz w:val="12"/>
        </w:rPr>
        <w:t>──────────────────────────────────────────────────────────────────────</w:t>
      </w:r>
    </w:p>
    <w:p>
      <w:pPr>
        <w:spacing w:before="120" w:after="120"/>
        <w:ind w:left="720"/>
        <w:pBdr>
          <w:left w:val="single" w:sz="12" w:space="8" w:color="3A86C8"/>
        </w:pBdr>
      </w:pPr>
      <w:r>
        <w:rPr>
          <w:rFonts w:ascii="Calibri" w:hAnsi="Calibri"/>
          <w:i/>
          <w:color w:val="4A5A6A"/>
          <w:sz w:val="22"/>
        </w:rPr>
        <w:t>**CCO Risk Summary:** The risk profile is concentrated, not distributed. Three critical risks dominate — and all three trace back to the GWRR pilot. This is either a strength (one event resolves multiple risks) or a fragility (one failure triggers multiple cascades). The difference is execution.</w:t>
      </w:r>
    </w:p>
    <w:p>
      <w:pPr>
        <w:spacing w:before="160" w:after="160"/>
        <w:jc w:val="center"/>
      </w:pPr>
      <w:r>
        <w:rPr>
          <w:color w:val="D0D5DD"/>
          <w:sz w:val="16"/>
        </w:rPr>
        <w:t>────────────────────────────────────────────────────────────</w:t>
      </w:r>
    </w:p>
    <w:p>
      <w:pPr>
        <w:pStyle w:val="Heading1"/>
      </w:pPr>
      <w:r>
        <w:t>CCO Strategic Recommendations — Top 5 Priorities</w:t>
      </w:r>
    </w:p>
    <w:p>
      <w:pPr>
        <w:spacing w:after="120" w:before="40" w:line="276" w:lineRule="auto"/>
        <w:jc w:val="both"/>
      </w:pPr>
      <w:r>
        <w:rPr>
          <w:rFonts w:ascii="Calibri" w:hAnsi="Calibri"/>
          <w:color w:val="2D2D2D"/>
          <w:sz w:val="22"/>
        </w:rPr>
        <w:t xml:space="preserve">The following five priorities represent the CCO's recommended commercial action plan for the next </w:t>
      </w:r>
      <w:r>
        <w:rPr>
          <w:rFonts w:ascii="Calibri" w:hAnsi="Calibri"/>
          <w:b/>
          <w:color w:val="2D2D2D"/>
          <w:sz w:val="22"/>
        </w:rPr>
        <w:t>6–12 months.</w:t>
      </w:r>
      <w:r>
        <w:rPr>
          <w:rFonts w:ascii="Calibri" w:hAnsi="Calibri"/>
          <w:color w:val="2D2D2D"/>
          <w:sz w:val="22"/>
        </w:rPr>
        <w:t xml:space="preserve"> They are sequenced intentionally — each builds on the one before it.</w:t>
      </w:r>
    </w:p>
    <w:p>
      <w:pPr>
        <w:spacing w:before="200" w:after="200"/>
        <w:jc w:val="center"/>
      </w:pPr>
      <w:r>
        <w:rPr>
          <w:color w:val="D0D5DD"/>
          <w:sz w:val="12"/>
        </w:rPr>
        <w:t>──────────────────────────────────────────────────────────────────────</w:t>
      </w:r>
    </w:p>
    <w:p>
      <w:pPr>
        <w:pStyle w:val="Heading2"/>
      </w:pPr>
      <w:r>
        <w:t>Priority 1: VALIDATE — Close the GWRR Pilot with Board-Grade Proof</w:t>
      </w:r>
    </w:p>
    <w:p>
      <w:pPr>
        <w:spacing w:after="120" w:before="40" w:line="276" w:lineRule="auto"/>
        <w:jc w:val="both"/>
      </w:pPr>
      <w:r>
        <w:rPr>
          <w:rFonts w:ascii="Calibri" w:hAnsi="Calibri"/>
          <w:b/>
          <w:color w:val="2D2D2D"/>
          <w:sz w:val="22"/>
        </w:rPr>
        <w:t>Timeline:</w:t>
      </w:r>
      <w:r>
        <w:rPr>
          <w:rFonts w:ascii="Calibri" w:hAnsi="Calibri"/>
          <w:color w:val="2D2D2D"/>
          <w:sz w:val="22"/>
        </w:rPr>
        <w:t xml:space="preserve"> Immediate — 90-day validation window</w:t>
      </w:r>
    </w:p>
    <w:p>
      <w:pPr>
        <w:pStyle w:val="ListBullet"/>
        <w:spacing w:after="40" w:before="20"/>
      </w:pPr>
      <w:r>
        <w:rPr>
          <w:rFonts w:ascii="Calibri" w:hAnsi="Calibri"/>
          <w:color w:val="2D2D2D"/>
          <w:sz w:val="22"/>
        </w:rPr>
        <w:t>Complete 90-day validation across all 3 GWRR properties with documented, independently verifiable fuel savings</w:t>
      </w:r>
    </w:p>
    <w:p>
      <w:pPr>
        <w:pStyle w:val="ListBullet"/>
        <w:spacing w:after="40" w:before="20"/>
      </w:pPr>
      <w:r>
        <w:rPr>
          <w:rFonts w:ascii="Calibri" w:hAnsi="Calibri"/>
          <w:color w:val="2D2D2D"/>
          <w:sz w:val="22"/>
        </w:rPr>
        <w:t xml:space="preserve">Produce </w:t>
      </w:r>
      <w:r>
        <w:rPr>
          <w:rFonts w:ascii="Calibri" w:hAnsi="Calibri"/>
          <w:b/>
          <w:color w:val="2D2D2D"/>
          <w:sz w:val="22"/>
        </w:rPr>
        <w:t>board-grade case study package</w:t>
      </w:r>
      <w:r>
        <w:rPr>
          <w:rFonts w:ascii="Calibri" w:hAnsi="Calibri"/>
          <w:color w:val="2D2D2D"/>
          <w:sz w:val="22"/>
        </w:rPr>
        <w:t>: fuel savings %, advisory compliance rate, exception reduction, operator satisfaction</w:t>
      </w:r>
    </w:p>
    <w:p>
      <w:pPr>
        <w:pStyle w:val="ListBullet"/>
        <w:spacing w:after="40" w:before="20"/>
      </w:pPr>
      <w:r>
        <w:rPr>
          <w:rFonts w:ascii="Calibri" w:hAnsi="Calibri"/>
          <w:color w:val="2D2D2D"/>
          <w:sz w:val="22"/>
        </w:rPr>
        <w:t xml:space="preserve">Establish </w:t>
      </w:r>
      <w:r>
        <w:rPr>
          <w:rFonts w:ascii="Calibri" w:hAnsi="Calibri"/>
          <w:b/>
          <w:color w:val="2D2D2D"/>
          <w:sz w:val="22"/>
        </w:rPr>
        <w:t>Day 45 go/no-go checkpoint</w:t>
      </w:r>
      <w:r>
        <w:rPr>
          <w:rFonts w:ascii="Calibri" w:hAnsi="Calibri"/>
          <w:color w:val="2D2D2D"/>
          <w:sz w:val="22"/>
        </w:rPr>
        <w:t xml:space="preserve"> with clear threshold metrics</w:t>
      </w:r>
    </w:p>
    <w:p>
      <w:pPr>
        <w:pStyle w:val="ListBullet"/>
        <w:spacing w:after="40" w:before="20"/>
      </w:pPr>
      <w:r>
        <w:rPr>
          <w:rFonts w:ascii="Calibri" w:hAnsi="Calibri"/>
          <w:color w:val="2D2D2D"/>
          <w:sz w:val="22"/>
        </w:rPr>
        <w:t>Assign weekly metric review cadence with CTO oversight</w:t>
      </w:r>
    </w:p>
    <w:p>
      <w:pPr>
        <w:spacing w:before="120" w:after="120"/>
        <w:ind w:left="720"/>
        <w:pBdr>
          <w:left w:val="single" w:sz="12" w:space="8" w:color="3A86C8"/>
        </w:pBdr>
      </w:pPr>
      <w:r>
        <w:rPr>
          <w:rFonts w:ascii="Calibri" w:hAnsi="Calibri"/>
          <w:i/>
          <w:color w:val="4A5A6A"/>
          <w:sz w:val="22"/>
        </w:rPr>
        <w:t>**This is the single most important commercial event in the company's history.** The CCO recommends 80%+ of executive bandwidth be allocated here until validation is complete.</w:t>
      </w:r>
    </w:p>
    <w:p>
      <w:pPr>
        <w:spacing w:before="200" w:after="200"/>
        <w:jc w:val="center"/>
      </w:pPr>
      <w:r>
        <w:rPr>
          <w:color w:val="D0D5DD"/>
          <w:sz w:val="12"/>
        </w:rPr>
        <w:t>──────────────────────────────────────────────────────────────────────</w:t>
      </w:r>
    </w:p>
    <w:p>
      <w:pPr>
        <w:pStyle w:val="Heading2"/>
      </w:pPr>
      <w:r>
        <w:t>Priority 2: CONVERT — Turn OmniTrax Term Sheet into Revenue</w:t>
      </w:r>
    </w:p>
    <w:p>
      <w:pPr>
        <w:spacing w:after="120" w:before="40" w:line="276" w:lineRule="auto"/>
        <w:jc w:val="both"/>
      </w:pPr>
      <w:r>
        <w:rPr>
          <w:rFonts w:ascii="Calibri" w:hAnsi="Calibri"/>
          <w:b/>
          <w:color w:val="2D2D2D"/>
          <w:sz w:val="22"/>
        </w:rPr>
        <w:t>Timeline:</w:t>
      </w:r>
      <w:r>
        <w:rPr>
          <w:rFonts w:ascii="Calibri" w:hAnsi="Calibri"/>
          <w:color w:val="2D2D2D"/>
          <w:sz w:val="22"/>
        </w:rPr>
        <w:t xml:space="preserve"> Parallel with GWRR — next 90 days</w:t>
      </w:r>
    </w:p>
    <w:p>
      <w:pPr>
        <w:pStyle w:val="ListBullet"/>
        <w:spacing w:after="40" w:before="20"/>
      </w:pPr>
      <w:r>
        <w:rPr>
          <w:rFonts w:ascii="Calibri" w:hAnsi="Calibri"/>
          <w:color w:val="2D2D2D"/>
          <w:sz w:val="22"/>
        </w:rPr>
        <w:t>Move from signed term sheet to active pilot deployment immediately</w:t>
      </w:r>
    </w:p>
    <w:p>
      <w:pPr>
        <w:pStyle w:val="ListBullet"/>
        <w:spacing w:after="40" w:before="20"/>
      </w:pPr>
      <w:r>
        <w:rPr>
          <w:rFonts w:ascii="Calibri" w:hAnsi="Calibri"/>
          <w:color w:val="2D2D2D"/>
          <w:sz w:val="22"/>
        </w:rPr>
        <w:t>Establish independent fuel savings baseline for OmniTrax properties</w:t>
      </w:r>
    </w:p>
    <w:p>
      <w:pPr>
        <w:pStyle w:val="ListBullet"/>
        <w:spacing w:after="40" w:before="20"/>
      </w:pPr>
      <w:r>
        <w:rPr>
          <w:rFonts w:ascii="Calibri" w:hAnsi="Calibri"/>
          <w:color w:val="2D2D2D"/>
          <w:sz w:val="22"/>
        </w:rPr>
        <w:t>Target production contract conversion within 120 days of pilot start</w:t>
      </w:r>
    </w:p>
    <w:p>
      <w:pPr>
        <w:spacing w:after="120" w:before="40" w:line="276" w:lineRule="auto"/>
        <w:jc w:val="both"/>
      </w:pPr>
      <w:r>
        <w:rPr>
          <w:rFonts w:ascii="Calibri" w:hAnsi="Calibri"/>
          <w:color w:val="2D2D2D"/>
          <w:sz w:val="22"/>
        </w:rPr>
        <w:t xml:space="preserve">Two paying customers is categorically different from one. One customer is an experiment; </w:t>
      </w:r>
      <w:r>
        <w:rPr>
          <w:rFonts w:ascii="Calibri" w:hAnsi="Calibri"/>
          <w:b/>
          <w:color w:val="2D2D2D"/>
          <w:sz w:val="22"/>
        </w:rPr>
        <w:t>two customers is a pattern.</w:t>
      </w:r>
    </w:p>
    <w:p>
      <w:pPr>
        <w:spacing w:before="200" w:after="200"/>
        <w:jc w:val="center"/>
      </w:pPr>
      <w:r>
        <w:rPr>
          <w:color w:val="D0D5DD"/>
          <w:sz w:val="12"/>
        </w:rPr>
        <w:t>──────────────────────────────────────────────────────────────────────</w:t>
      </w:r>
    </w:p>
    <w:p>
      <w:pPr>
        <w:pStyle w:val="Heading2"/>
      </w:pPr>
      <w:r>
        <w:t>Priority 3: SCALE — Build the First Repeatable Sales Motion</w:t>
      </w:r>
    </w:p>
    <w:p>
      <w:pPr>
        <w:spacing w:after="120" w:before="40" w:line="276" w:lineRule="auto"/>
        <w:jc w:val="both"/>
      </w:pPr>
      <w:r>
        <w:rPr>
          <w:rFonts w:ascii="Calibri" w:hAnsi="Calibri"/>
          <w:b/>
          <w:color w:val="2D2D2D"/>
          <w:sz w:val="22"/>
        </w:rPr>
        <w:t>Timeline:</w:t>
      </w:r>
      <w:r>
        <w:rPr>
          <w:rFonts w:ascii="Calibri" w:hAnsi="Calibri"/>
          <w:color w:val="2D2D2D"/>
          <w:sz w:val="22"/>
        </w:rPr>
        <w:t xml:space="preserve"> Months 3–9 (begin documentation now, hire post-funding)</w:t>
      </w:r>
    </w:p>
    <w:p>
      <w:pPr>
        <w:pStyle w:val="ListBullet"/>
        <w:spacing w:after="40" w:before="20"/>
      </w:pPr>
      <w:r>
        <w:rPr>
          <w:rFonts w:ascii="Calibri" w:hAnsi="Calibri"/>
          <w:b/>
          <w:color w:val="2D2D2D"/>
          <w:sz w:val="22"/>
        </w:rPr>
        <w:t>Document Jamie's sales playbook</w:t>
      </w:r>
      <w:r>
        <w:rPr>
          <w:rFonts w:ascii="Calibri" w:hAnsi="Calibri"/>
          <w:color w:val="2D2D2D"/>
          <w:sz w:val="22"/>
        </w:rPr>
        <w:t xml:space="preserve"> — messaging, LTOC demo script, pilot proposal template, objection handling</w:t>
      </w:r>
    </w:p>
    <w:p>
      <w:pPr>
        <w:pStyle w:val="ListBullet"/>
        <w:spacing w:after="40" w:before="20"/>
      </w:pPr>
      <w:r>
        <w:rPr>
          <w:rFonts w:ascii="Calibri" w:hAnsi="Calibri"/>
          <w:b/>
          <w:color w:val="2D2D2D"/>
          <w:sz w:val="22"/>
        </w:rPr>
        <w:t>Hire 1 sales closer</w:t>
      </w:r>
      <w:r>
        <w:rPr>
          <w:rFonts w:ascii="Calibri" w:hAnsi="Calibri"/>
          <w:color w:val="2D2D2D"/>
          <w:sz w:val="22"/>
        </w:rPr>
        <w:t xml:space="preserve"> with railroad industry relationships ($3M funding allocation)</w:t>
      </w:r>
    </w:p>
    <w:p>
      <w:pPr>
        <w:pStyle w:val="ListBullet"/>
        <w:spacing w:after="40" w:before="20"/>
      </w:pPr>
      <w:r>
        <w:rPr>
          <w:rFonts w:ascii="Calibri" w:hAnsi="Calibri"/>
          <w:b/>
          <w:color w:val="2D2D2D"/>
          <w:sz w:val="22"/>
        </w:rPr>
        <w:t>Target:</w:t>
      </w:r>
      <w:r>
        <w:rPr>
          <w:rFonts w:ascii="Calibri" w:hAnsi="Calibri"/>
          <w:color w:val="2D2D2D"/>
          <w:sz w:val="22"/>
        </w:rPr>
        <w:t xml:space="preserve"> 15+ properties deployed by Q4 2026</w:t>
      </w:r>
    </w:p>
    <w:p>
      <w:pPr>
        <w:pStyle w:val="ListBullet"/>
        <w:spacing w:after="40" w:before="20"/>
      </w:pPr>
      <w:r>
        <w:rPr>
          <w:rFonts w:ascii="Calibri" w:hAnsi="Calibri"/>
          <w:b/>
          <w:color w:val="2D2D2D"/>
          <w:sz w:val="22"/>
        </w:rPr>
        <w:t>Success metric:</w:t>
      </w:r>
      <w:r>
        <w:rPr>
          <w:rFonts w:ascii="Calibri" w:hAnsi="Calibri"/>
          <w:color w:val="2D2D2D"/>
          <w:sz w:val="22"/>
        </w:rPr>
        <w:t xml:space="preserve"> At least one deal closed by a non-founder within 12 months</w:t>
      </w:r>
    </w:p>
    <w:p>
      <w:pPr>
        <w:spacing w:after="120" w:before="40" w:line="276" w:lineRule="auto"/>
        <w:jc w:val="both"/>
      </w:pPr>
      <w:r>
        <w:rPr>
          <w:rFonts w:ascii="Calibri" w:hAnsi="Calibri"/>
          <w:color w:val="2D2D2D"/>
          <w:sz w:val="22"/>
        </w:rPr>
        <w:t xml:space="preserve">Playbook documentation should begin </w:t>
      </w:r>
      <w:r>
        <w:rPr>
          <w:rFonts w:ascii="Calibri" w:hAnsi="Calibri"/>
          <w:b/>
          <w:color w:val="2D2D2D"/>
          <w:sz w:val="22"/>
        </w:rPr>
        <w:t>immediately</w:t>
      </w:r>
      <w:r>
        <w:rPr>
          <w:rFonts w:ascii="Calibri" w:hAnsi="Calibri"/>
          <w:color w:val="2D2D2D"/>
          <w:sz w:val="22"/>
        </w:rPr>
        <w:t xml:space="preserve"> — before the hire, before funding closes.</w:t>
      </w:r>
    </w:p>
    <w:p>
      <w:pPr>
        <w:spacing w:before="200" w:after="200"/>
        <w:jc w:val="center"/>
      </w:pPr>
      <w:r>
        <w:rPr>
          <w:color w:val="D0D5DD"/>
          <w:sz w:val="12"/>
        </w:rPr>
        <w:t>──────────────────────────────────────────────────────────────────────</w:t>
      </w:r>
    </w:p>
    <w:p>
      <w:pPr>
        <w:pStyle w:val="Heading2"/>
      </w:pPr>
      <w:r>
        <w:t>Priority 4: PARTNER — Advance Wabtec to Structured Conversation</w:t>
      </w:r>
    </w:p>
    <w:p>
      <w:pPr>
        <w:spacing w:after="120" w:before="40" w:line="276" w:lineRule="auto"/>
        <w:jc w:val="both"/>
      </w:pPr>
      <w:r>
        <w:rPr>
          <w:rFonts w:ascii="Calibri" w:hAnsi="Calibri"/>
          <w:b/>
          <w:color w:val="2D2D2D"/>
          <w:sz w:val="22"/>
        </w:rPr>
        <w:t>Timeline:</w:t>
      </w:r>
      <w:r>
        <w:rPr>
          <w:rFonts w:ascii="Calibri" w:hAnsi="Calibri"/>
          <w:color w:val="2D2D2D"/>
          <w:sz w:val="22"/>
        </w:rPr>
        <w:t xml:space="preserve"> Months 4–8 (post-GWRR validation)</w:t>
      </w:r>
    </w:p>
    <w:p>
      <w:pPr>
        <w:pStyle w:val="ListBullet"/>
        <w:spacing w:after="40" w:before="20"/>
      </w:pPr>
      <w:r>
        <w:rPr>
          <w:rFonts w:ascii="Calibri" w:hAnsi="Calibri"/>
          <w:color w:val="2D2D2D"/>
          <w:sz w:val="22"/>
        </w:rPr>
        <w:t>Do NOT approach prematurely — complete GWRR validation first</w:t>
      </w:r>
    </w:p>
    <w:p>
      <w:pPr>
        <w:pStyle w:val="ListBullet"/>
        <w:spacing w:after="40" w:before="20"/>
      </w:pPr>
      <w:r>
        <w:rPr>
          <w:rFonts w:ascii="Calibri" w:hAnsi="Calibri"/>
          <w:color w:val="2D2D2D"/>
          <w:sz w:val="22"/>
        </w:rPr>
        <w:t xml:space="preserve">Structure as </w:t>
      </w:r>
      <w:r>
        <w:rPr>
          <w:rFonts w:ascii="Calibri" w:hAnsi="Calibri"/>
          <w:b/>
          <w:color w:val="2D2D2D"/>
          <w:sz w:val="22"/>
        </w:rPr>
        <w:t>co-sell / distribution agreement</w:t>
      </w:r>
      <w:r>
        <w:rPr>
          <w:rFonts w:ascii="Calibri" w:hAnsi="Calibri"/>
          <w:color w:val="2D2D2D"/>
          <w:sz w:val="22"/>
        </w:rPr>
        <w:t>, NOT acquisition or exclusivity</w:t>
      </w:r>
    </w:p>
    <w:p>
      <w:pPr>
        <w:pStyle w:val="ListBullet"/>
        <w:spacing w:after="40" w:before="20"/>
      </w:pPr>
      <w:r>
        <w:rPr>
          <w:rFonts w:ascii="Calibri" w:hAnsi="Calibri"/>
          <w:color w:val="2D2D2D"/>
          <w:sz w:val="22"/>
        </w:rPr>
        <w:t>Preserve gainshare model economics — do not allow flattening into per-unit licensing</w:t>
      </w:r>
    </w:p>
    <w:p>
      <w:pPr>
        <w:pStyle w:val="ListBullet"/>
        <w:spacing w:after="40" w:before="20"/>
      </w:pPr>
      <w:r>
        <w:rPr>
          <w:rFonts w:ascii="Calibri" w:hAnsi="Calibri"/>
          <w:color w:val="2D2D2D"/>
          <w:sz w:val="22"/>
        </w:rPr>
        <w:t>Keep Loram and Holland advancing as combined investment + co-sell structure</w:t>
      </w:r>
    </w:p>
    <w:p>
      <w:pPr>
        <w:spacing w:before="200" w:after="200"/>
        <w:jc w:val="center"/>
      </w:pPr>
      <w:r>
        <w:rPr>
          <w:color w:val="D0D5DD"/>
          <w:sz w:val="12"/>
        </w:rPr>
        <w:t>──────────────────────────────────────────────────────────────────────</w:t>
      </w:r>
    </w:p>
    <w:p>
      <w:pPr>
        <w:pStyle w:val="Heading2"/>
      </w:pPr>
      <w:r>
        <w:t>Priority 5: DISCIPLINE — Clean Projections for Investor Credibility</w:t>
      </w:r>
    </w:p>
    <w:p>
      <w:pPr>
        <w:spacing w:after="120" w:before="40" w:line="276" w:lineRule="auto"/>
        <w:jc w:val="both"/>
      </w:pPr>
      <w:r>
        <w:rPr>
          <w:rFonts w:ascii="Calibri" w:hAnsi="Calibri"/>
          <w:b/>
          <w:color w:val="2D2D2D"/>
          <w:sz w:val="22"/>
        </w:rPr>
        <w:t>Timeline:</w:t>
      </w:r>
      <w:r>
        <w:rPr>
          <w:rFonts w:ascii="Calibri" w:hAnsi="Calibri"/>
          <w:color w:val="2D2D2D"/>
          <w:sz w:val="22"/>
        </w:rPr>
        <w:t xml:space="preserve"> Immediate and ongoing</w:t>
      </w:r>
    </w:p>
    <w:p>
      <w:pPr>
        <w:pStyle w:val="ListBullet"/>
        <w:spacing w:after="40" w:before="20"/>
      </w:pPr>
      <w:r>
        <w:rPr>
          <w:rFonts w:ascii="Calibri" w:hAnsi="Calibri"/>
          <w:b/>
          <w:color w:val="2D2D2D"/>
          <w:sz w:val="22"/>
        </w:rPr>
        <w:t>Remove or gate Class I revenue</w:t>
      </w:r>
      <w:r>
        <w:rPr>
          <w:rFonts w:ascii="Calibri" w:hAnsi="Calibri"/>
          <w:color w:val="2D2D2D"/>
          <w:sz w:val="22"/>
        </w:rPr>
        <w:t xml:space="preserve"> ($113–142M) from near-term projections</w:t>
      </w:r>
    </w:p>
    <w:p>
      <w:pPr>
        <w:pStyle w:val="ListBullet"/>
        <w:spacing w:after="40" w:before="20"/>
      </w:pPr>
      <w:r>
        <w:rPr>
          <w:rFonts w:ascii="Calibri" w:hAnsi="Calibri"/>
          <w:color w:val="2D2D2D"/>
          <w:sz w:val="22"/>
        </w:rPr>
        <w:t xml:space="preserve">Present </w:t>
      </w:r>
      <w:r>
        <w:rPr>
          <w:rFonts w:ascii="Calibri" w:hAnsi="Calibri"/>
          <w:b/>
          <w:color w:val="2D2D2D"/>
          <w:sz w:val="22"/>
        </w:rPr>
        <w:t>shortline-only projections</w:t>
      </w:r>
      <w:r>
        <w:rPr>
          <w:rFonts w:ascii="Calibri" w:hAnsi="Calibri"/>
          <w:color w:val="2D2D2D"/>
          <w:sz w:val="22"/>
        </w:rPr>
        <w:t xml:space="preserve"> as the 12–24 month plan ($7.2–10.8M NAM potential)</w:t>
      </w:r>
    </w:p>
    <w:p>
      <w:pPr>
        <w:pStyle w:val="ListBullet"/>
        <w:spacing w:after="40" w:before="20"/>
      </w:pPr>
      <w:r>
        <w:rPr>
          <w:rFonts w:ascii="Calibri" w:hAnsi="Calibri"/>
          <w:color w:val="2D2D2D"/>
          <w:sz w:val="22"/>
        </w:rPr>
        <w:t xml:space="preserve">Position Class I as </w:t>
      </w:r>
      <w:r>
        <w:rPr>
          <w:rFonts w:ascii="Calibri" w:hAnsi="Calibri"/>
          <w:i/>
          <w:color w:val="2D2D2D"/>
          <w:sz w:val="22"/>
        </w:rPr>
        <w:t>"Phase 3 — Accessible via partnership"</w:t>
      </w:r>
    </w:p>
    <w:p>
      <w:pPr>
        <w:pStyle w:val="ListBullet"/>
        <w:spacing w:after="40" w:before="20"/>
      </w:pPr>
      <w:r>
        <w:rPr>
          <w:rFonts w:ascii="Calibri" w:hAnsi="Calibri"/>
          <w:color w:val="2D2D2D"/>
          <w:sz w:val="22"/>
        </w:rPr>
        <w:t xml:space="preserve">Distinguish </w:t>
      </w:r>
      <w:r>
        <w:rPr>
          <w:rFonts w:ascii="Calibri" w:hAnsi="Calibri"/>
          <w:i/>
          <w:color w:val="2D2D2D"/>
          <w:sz w:val="22"/>
        </w:rPr>
        <w:t>confirmed engagement</w:t>
      </w:r>
      <w:r>
        <w:rPr>
          <w:rFonts w:ascii="Calibri" w:hAnsi="Calibri"/>
          <w:color w:val="2D2D2D"/>
          <w:sz w:val="22"/>
        </w:rPr>
        <w:t xml:space="preserve"> ($2.7M) from </w:t>
      </w:r>
      <w:r>
        <w:rPr>
          <w:rFonts w:ascii="Calibri" w:hAnsi="Calibri"/>
          <w:i/>
          <w:color w:val="2D2D2D"/>
          <w:sz w:val="22"/>
        </w:rPr>
        <w:t>identified opportunity</w:t>
      </w:r>
      <w:r>
        <w:rPr>
          <w:rFonts w:ascii="Calibri" w:hAnsi="Calibri"/>
          <w:color w:val="2D2D2D"/>
          <w:sz w:val="22"/>
        </w:rPr>
        <w:t xml:space="preserve"> ($20M+)</w:t>
      </w:r>
    </w:p>
    <w:p>
      <w:pPr>
        <w:spacing w:before="120" w:after="120"/>
        <w:ind w:left="720"/>
        <w:pBdr>
          <w:left w:val="single" w:sz="12" w:space="8" w:color="3A86C8"/>
        </w:pBdr>
      </w:pPr>
      <w:r>
        <w:rPr>
          <w:rFonts w:ascii="Calibri" w:hAnsi="Calibri"/>
          <w:i/>
          <w:color w:val="4A5A6A"/>
          <w:sz w:val="22"/>
        </w:rPr>
        <w:t>**The fastest way to lose investor trust is to present aspirational numbers as near-term targets to an audience that knows the railroad industry.**</w:t>
      </w:r>
    </w:p>
    <w:p>
      <w:pPr>
        <w:spacing w:before="200" w:after="200"/>
        <w:jc w:val="center"/>
      </w:pPr>
      <w:r>
        <w:rPr>
          <w:color w:val="D0D5DD"/>
          <w:sz w:val="12"/>
        </w:rPr>
        <w:t>──────────────────────────────────────────────────────────────────────</w:t>
      </w:r>
    </w:p>
    <w:p>
      <w:pPr>
        <w:pStyle w:val="Heading2"/>
      </w:pPr>
      <w:r>
        <w:t>Priority Sequencing Summary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Priority</w:t>
            </w:r>
          </w:p>
        </w:tc>
        <w:tc>
          <w:tcPr>
            <w:tcW w:type="dxa" w:w="2340"/>
            <w:shd w:fill="1B2A4A" w:val="clear"/>
          </w:tcPr>
          <w:p>
            <w:pPr>
              <w:spacing w:before="60" w:after="60"/>
              <w:jc w:val="left"/>
            </w:pPr>
            <w:r/>
            <w:r>
              <w:rPr>
                <w:rFonts w:ascii="Calibri" w:hAnsi="Calibri"/>
                <w:b/>
                <w:color w:val="FFFFFF"/>
                <w:sz w:val="20"/>
              </w:rPr>
              <w:t>Action</w:t>
            </w:r>
          </w:p>
        </w:tc>
        <w:tc>
          <w:tcPr>
            <w:tcW w:type="dxa" w:w="2340"/>
            <w:shd w:fill="1B2A4A" w:val="clear"/>
          </w:tcPr>
          <w:p>
            <w:pPr>
              <w:spacing w:before="60" w:after="60"/>
              <w:jc w:val="left"/>
            </w:pPr>
            <w:r/>
            <w:r>
              <w:rPr>
                <w:rFonts w:ascii="Calibri" w:hAnsi="Calibri"/>
                <w:b/>
                <w:color w:val="FFFFFF"/>
                <w:sz w:val="20"/>
              </w:rPr>
              <w:t>Timeline</w:t>
            </w:r>
          </w:p>
        </w:tc>
        <w:tc>
          <w:tcPr>
            <w:tcW w:type="dxa" w:w="2340"/>
            <w:shd w:fill="1B2A4A" w:val="clear"/>
          </w:tcPr>
          <w:p>
            <w:pPr>
              <w:spacing w:before="60" w:after="60"/>
              <w:jc w:val="left"/>
            </w:pPr>
            <w:r/>
            <w:r>
              <w:rPr>
                <w:rFonts w:ascii="Calibri" w:hAnsi="Calibri"/>
                <w:b/>
                <w:color w:val="FFFFFF"/>
                <w:sz w:val="20"/>
              </w:rPr>
              <w:t>Dependency</w:t>
            </w:r>
          </w:p>
        </w:tc>
      </w:tr>
      <w:tr>
        <w:tc>
          <w:tcPr>
            <w:tcW w:type="dxa" w:w="2340"/>
          </w:tcPr>
          <w:p>
            <w:pPr>
              <w:spacing w:before="60" w:after="60"/>
              <w:jc w:val="left"/>
            </w:pPr>
            <w:r/>
            <w:r>
              <w:rPr>
                <w:rFonts w:ascii="Calibri" w:hAnsi="Calibri"/>
                <w:color w:val="2D2D2D"/>
                <w:sz w:val="20"/>
              </w:rPr>
              <w:t>**1. VALIDATE**</w:t>
            </w:r>
          </w:p>
        </w:tc>
        <w:tc>
          <w:tcPr>
            <w:tcW w:type="dxa" w:w="2340"/>
          </w:tcPr>
          <w:p>
            <w:pPr>
              <w:spacing w:before="60" w:after="60"/>
              <w:jc w:val="left"/>
            </w:pPr>
            <w:r/>
            <w:r>
              <w:rPr>
                <w:rFonts w:ascii="Calibri" w:hAnsi="Calibri"/>
                <w:color w:val="2D2D2D"/>
                <w:sz w:val="20"/>
              </w:rPr>
              <w:t>GWRR pilot — board-grade proof</w:t>
            </w:r>
          </w:p>
        </w:tc>
        <w:tc>
          <w:tcPr>
            <w:tcW w:type="dxa" w:w="2340"/>
          </w:tcPr>
          <w:p>
            <w:pPr>
              <w:spacing w:before="60" w:after="60"/>
              <w:jc w:val="left"/>
            </w:pPr>
            <w:r/>
            <w:r>
              <w:rPr>
                <w:rFonts w:ascii="Calibri" w:hAnsi="Calibri"/>
                <w:color w:val="2D2D2D"/>
                <w:sz w:val="20"/>
              </w:rPr>
              <w:t>Immediate (90 days)</w:t>
            </w:r>
          </w:p>
        </w:tc>
        <w:tc>
          <w:tcPr>
            <w:tcW w:type="dxa" w:w="2340"/>
          </w:tcPr>
          <w:p>
            <w:pPr>
              <w:spacing w:before="60" w:after="60"/>
              <w:jc w:val="left"/>
            </w:pPr>
            <w:r/>
            <w:r>
              <w:rPr>
                <w:rFonts w:ascii="Calibri" w:hAnsi="Calibri"/>
                <w:color w:val="2D2D2D"/>
                <w:sz w:val="20"/>
              </w:rPr>
              <w:t>None — foundation</w:t>
            </w:r>
          </w:p>
        </w:tc>
      </w:tr>
      <w:tr>
        <w:tc>
          <w:tcPr>
            <w:tcW w:type="dxa" w:w="2340"/>
            <w:shd w:fill="F0F4F8" w:val="clear"/>
          </w:tcPr>
          <w:p>
            <w:pPr>
              <w:spacing w:before="60" w:after="60"/>
              <w:jc w:val="left"/>
            </w:pPr>
            <w:r/>
            <w:r>
              <w:rPr>
                <w:rFonts w:ascii="Calibri" w:hAnsi="Calibri"/>
                <w:color w:val="2D2D2D"/>
                <w:sz w:val="20"/>
              </w:rPr>
              <w:t>**2. CONVERT**</w:t>
            </w:r>
          </w:p>
        </w:tc>
        <w:tc>
          <w:tcPr>
            <w:tcW w:type="dxa" w:w="2340"/>
            <w:shd w:fill="F0F4F8" w:val="clear"/>
          </w:tcPr>
          <w:p>
            <w:pPr>
              <w:spacing w:before="60" w:after="60"/>
              <w:jc w:val="left"/>
            </w:pPr>
            <w:r/>
            <w:r>
              <w:rPr>
                <w:rFonts w:ascii="Calibri" w:hAnsi="Calibri"/>
                <w:color w:val="2D2D2D"/>
                <w:sz w:val="20"/>
              </w:rPr>
              <w:t>OmniTrax → revenue</w:t>
            </w:r>
          </w:p>
        </w:tc>
        <w:tc>
          <w:tcPr>
            <w:tcW w:type="dxa" w:w="2340"/>
            <w:shd w:fill="F0F4F8" w:val="clear"/>
          </w:tcPr>
          <w:p>
            <w:pPr>
              <w:spacing w:before="60" w:after="60"/>
              <w:jc w:val="left"/>
            </w:pPr>
            <w:r/>
            <w:r>
              <w:rPr>
                <w:rFonts w:ascii="Calibri" w:hAnsi="Calibri"/>
                <w:color w:val="2D2D2D"/>
                <w:sz w:val="20"/>
              </w:rPr>
              <w:t>Parallel (90–120 days)</w:t>
            </w:r>
          </w:p>
        </w:tc>
        <w:tc>
          <w:tcPr>
            <w:tcW w:type="dxa" w:w="2340"/>
            <w:shd w:fill="F0F4F8" w:val="clear"/>
          </w:tcPr>
          <w:p>
            <w:pPr>
              <w:spacing w:before="60" w:after="60"/>
              <w:jc w:val="left"/>
            </w:pPr>
            <w:r/>
            <w:r>
              <w:rPr>
                <w:rFonts w:ascii="Calibri" w:hAnsi="Calibri"/>
                <w:color w:val="2D2D2D"/>
                <w:sz w:val="20"/>
              </w:rPr>
              <w:t>Independent, reinforced by P1</w:t>
            </w:r>
          </w:p>
        </w:tc>
      </w:tr>
      <w:tr>
        <w:tc>
          <w:tcPr>
            <w:tcW w:type="dxa" w:w="2340"/>
          </w:tcPr>
          <w:p>
            <w:pPr>
              <w:spacing w:before="60" w:after="60"/>
              <w:jc w:val="left"/>
            </w:pPr>
            <w:r/>
            <w:r>
              <w:rPr>
                <w:rFonts w:ascii="Calibri" w:hAnsi="Calibri"/>
                <w:color w:val="2D2D2D"/>
                <w:sz w:val="20"/>
              </w:rPr>
              <w:t>**3. SCALE**</w:t>
            </w:r>
          </w:p>
        </w:tc>
        <w:tc>
          <w:tcPr>
            <w:tcW w:type="dxa" w:w="2340"/>
          </w:tcPr>
          <w:p>
            <w:pPr>
              <w:spacing w:before="60" w:after="60"/>
              <w:jc w:val="left"/>
            </w:pPr>
            <w:r/>
            <w:r>
              <w:rPr>
                <w:rFonts w:ascii="Calibri" w:hAnsi="Calibri"/>
                <w:color w:val="2D2D2D"/>
                <w:sz w:val="20"/>
              </w:rPr>
              <w:t>Playbook + first hire</w:t>
            </w:r>
          </w:p>
        </w:tc>
        <w:tc>
          <w:tcPr>
            <w:tcW w:type="dxa" w:w="2340"/>
          </w:tcPr>
          <w:p>
            <w:pPr>
              <w:spacing w:before="60" w:after="60"/>
              <w:jc w:val="left"/>
            </w:pPr>
            <w:r/>
            <w:r>
              <w:rPr>
                <w:rFonts w:ascii="Calibri" w:hAnsi="Calibri"/>
                <w:color w:val="2D2D2D"/>
                <w:sz w:val="20"/>
              </w:rPr>
              <w:t>Months 3–9</w:t>
            </w:r>
          </w:p>
        </w:tc>
        <w:tc>
          <w:tcPr>
            <w:tcW w:type="dxa" w:w="2340"/>
          </w:tcPr>
          <w:p>
            <w:pPr>
              <w:spacing w:before="60" w:after="60"/>
              <w:jc w:val="left"/>
            </w:pPr>
            <w:r/>
            <w:r>
              <w:rPr>
                <w:rFonts w:ascii="Calibri" w:hAnsi="Calibri"/>
                <w:color w:val="2D2D2D"/>
                <w:sz w:val="20"/>
              </w:rPr>
              <w:t>Requires $3M funding (P1 dependent)</w:t>
            </w:r>
          </w:p>
        </w:tc>
      </w:tr>
      <w:tr>
        <w:tc>
          <w:tcPr>
            <w:tcW w:type="dxa" w:w="2340"/>
            <w:shd w:fill="F0F4F8" w:val="clear"/>
          </w:tcPr>
          <w:p>
            <w:pPr>
              <w:spacing w:before="60" w:after="60"/>
              <w:jc w:val="left"/>
            </w:pPr>
            <w:r/>
            <w:r>
              <w:rPr>
                <w:rFonts w:ascii="Calibri" w:hAnsi="Calibri"/>
                <w:color w:val="2D2D2D"/>
                <w:sz w:val="20"/>
              </w:rPr>
              <w:t>**4. PARTNER**</w:t>
            </w:r>
          </w:p>
        </w:tc>
        <w:tc>
          <w:tcPr>
            <w:tcW w:type="dxa" w:w="2340"/>
            <w:shd w:fill="F0F4F8" w:val="clear"/>
          </w:tcPr>
          <w:p>
            <w:pPr>
              <w:spacing w:before="60" w:after="60"/>
              <w:jc w:val="left"/>
            </w:pPr>
            <w:r/>
            <w:r>
              <w:rPr>
                <w:rFonts w:ascii="Calibri" w:hAnsi="Calibri"/>
                <w:color w:val="2D2D2D"/>
                <w:sz w:val="20"/>
              </w:rPr>
              <w:t>Wabtec structured conversation</w:t>
            </w:r>
          </w:p>
        </w:tc>
        <w:tc>
          <w:tcPr>
            <w:tcW w:type="dxa" w:w="2340"/>
            <w:shd w:fill="F0F4F8" w:val="clear"/>
          </w:tcPr>
          <w:p>
            <w:pPr>
              <w:spacing w:before="60" w:after="60"/>
              <w:jc w:val="left"/>
            </w:pPr>
            <w:r/>
            <w:r>
              <w:rPr>
                <w:rFonts w:ascii="Calibri" w:hAnsi="Calibri"/>
                <w:color w:val="2D2D2D"/>
                <w:sz w:val="20"/>
              </w:rPr>
              <w:t>Months 4–8</w:t>
            </w:r>
          </w:p>
        </w:tc>
        <w:tc>
          <w:tcPr>
            <w:tcW w:type="dxa" w:w="2340"/>
            <w:shd w:fill="F0F4F8" w:val="clear"/>
          </w:tcPr>
          <w:p>
            <w:pPr>
              <w:spacing w:before="60" w:after="60"/>
              <w:jc w:val="left"/>
            </w:pPr>
            <w:r/>
            <w:r>
              <w:rPr>
                <w:rFonts w:ascii="Calibri" w:hAnsi="Calibri"/>
                <w:color w:val="2D2D2D"/>
                <w:sz w:val="20"/>
              </w:rPr>
              <w:t>Requires P1 completion</w:t>
            </w:r>
          </w:p>
        </w:tc>
      </w:tr>
      <w:tr>
        <w:tc>
          <w:tcPr>
            <w:tcW w:type="dxa" w:w="2340"/>
          </w:tcPr>
          <w:p>
            <w:pPr>
              <w:spacing w:before="60" w:after="60"/>
              <w:jc w:val="left"/>
            </w:pPr>
            <w:r/>
            <w:r>
              <w:rPr>
                <w:rFonts w:ascii="Calibri" w:hAnsi="Calibri"/>
                <w:color w:val="2D2D2D"/>
                <w:sz w:val="20"/>
              </w:rPr>
              <w:t>**5. DISCIPLINE**</w:t>
            </w:r>
          </w:p>
        </w:tc>
        <w:tc>
          <w:tcPr>
            <w:tcW w:type="dxa" w:w="2340"/>
          </w:tcPr>
          <w:p>
            <w:pPr>
              <w:spacing w:before="60" w:after="60"/>
              <w:jc w:val="left"/>
            </w:pPr>
            <w:r/>
            <w:r>
              <w:rPr>
                <w:rFonts w:ascii="Calibri" w:hAnsi="Calibri"/>
                <w:color w:val="2D2D2D"/>
                <w:sz w:val="20"/>
              </w:rPr>
              <w:t>Clean investor projections</w:t>
            </w:r>
          </w:p>
        </w:tc>
        <w:tc>
          <w:tcPr>
            <w:tcW w:type="dxa" w:w="2340"/>
          </w:tcPr>
          <w:p>
            <w:pPr>
              <w:spacing w:before="60" w:after="60"/>
              <w:jc w:val="left"/>
            </w:pPr>
            <w:r/>
            <w:r>
              <w:rPr>
                <w:rFonts w:ascii="Calibri" w:hAnsi="Calibri"/>
                <w:color w:val="2D2D2D"/>
                <w:sz w:val="20"/>
              </w:rPr>
              <w:t>Immediate + ongoing</w:t>
            </w:r>
          </w:p>
        </w:tc>
        <w:tc>
          <w:tcPr>
            <w:tcW w:type="dxa" w:w="2340"/>
          </w:tcPr>
          <w:p>
            <w:pPr>
              <w:spacing w:before="60" w:after="60"/>
              <w:jc w:val="left"/>
            </w:pPr>
            <w:r/>
            <w:r>
              <w:rPr>
                <w:rFonts w:ascii="Calibri" w:hAnsi="Calibri"/>
                <w:color w:val="2D2D2D"/>
                <w:sz w:val="20"/>
              </w:rPr>
              <w:t>None — begin now</w:t>
            </w:r>
          </w:p>
        </w:tc>
      </w:tr>
    </w:tbl>
    <w:p/>
    <w:p>
      <w:pPr>
        <w:spacing w:before="160" w:after="160"/>
        <w:jc w:val="center"/>
      </w:pPr>
      <w:r>
        <w:rPr>
          <w:color w:val="D0D5DD"/>
          <w:sz w:val="16"/>
        </w:rPr>
        <w:t>────────────────────────────────────────────────────────────</w:t>
      </w:r>
    </w:p>
    <w:p>
      <w:pPr>
        <w:pStyle w:val="Heading1"/>
      </w:pPr>
      <w:r>
        <w:t>Data Confidence Flags</w:t>
      </w:r>
    </w:p>
    <w:p>
      <w:pPr>
        <w:spacing w:after="120" w:before="40" w:line="276" w:lineRule="auto"/>
        <w:jc w:val="both"/>
      </w:pPr>
      <w:r>
        <w:rPr>
          <w:rFonts w:ascii="Calibri" w:hAnsi="Calibri"/>
          <w:color w:val="2D2D2D"/>
          <w:sz w:val="22"/>
        </w:rPr>
        <w:t>Transparency in data confidence is essential for board-grade reporting. The following identifies the confidence level of every key data point used in this report.</w:t>
      </w:r>
    </w:p>
    <w:p>
      <w:pPr>
        <w:pStyle w:val="Heading2"/>
      </w:pPr>
      <w:r>
        <w:t>Confidence Assessment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Data Point</w:t>
            </w:r>
          </w:p>
        </w:tc>
        <w:tc>
          <w:tcPr>
            <w:tcW w:type="dxa" w:w="3120"/>
            <w:shd w:fill="1B2A4A" w:val="clear"/>
          </w:tcPr>
          <w:p>
            <w:pPr>
              <w:spacing w:before="60" w:after="60"/>
              <w:jc w:val="left"/>
            </w:pPr>
            <w:r/>
            <w:r>
              <w:rPr>
                <w:rFonts w:ascii="Calibri" w:hAnsi="Calibri"/>
                <w:b/>
                <w:color w:val="FFFFFF"/>
                <w:sz w:val="20"/>
              </w:rPr>
              <w:t>Confidence</w:t>
            </w:r>
          </w:p>
        </w:tc>
        <w:tc>
          <w:tcPr>
            <w:tcW w:type="dxa" w:w="3120"/>
            <w:shd w:fill="1B2A4A" w:val="clear"/>
          </w:tcPr>
          <w:p>
            <w:pPr>
              <w:spacing w:before="60" w:after="60"/>
              <w:jc w:val="left"/>
            </w:pPr>
            <w:r/>
            <w:r>
              <w:rPr>
                <w:rFonts w:ascii="Calibri" w:hAnsi="Calibri"/>
                <w:b/>
                <w:color w:val="FFFFFF"/>
                <w:sz w:val="20"/>
              </w:rPr>
              <w:t>Note</w:t>
            </w:r>
          </w:p>
        </w:tc>
      </w:tr>
      <w:tr>
        <w:tc>
          <w:tcPr>
            <w:tcW w:type="dxa" w:w="3120"/>
          </w:tcPr>
          <w:p>
            <w:pPr>
              <w:spacing w:before="60" w:after="60"/>
              <w:jc w:val="left"/>
            </w:pPr>
            <w:r/>
            <w:r>
              <w:rPr>
                <w:rFonts w:ascii="Calibri" w:hAnsi="Calibri"/>
                <w:color w:val="2D2D2D"/>
                <w:sz w:val="20"/>
              </w:rPr>
              <w:t>ARR pipeline by account ($20M+)</w:t>
            </w:r>
          </w:p>
        </w:tc>
        <w:tc>
          <w:tcPr>
            <w:tcW w:type="dxa" w:w="3120"/>
          </w:tcPr>
          <w:p>
            <w:pPr>
              <w:spacing w:before="60" w:after="60"/>
              <w:jc w:val="left"/>
            </w:pPr>
            <w:r/>
            <w:r>
              <w:rPr>
                <w:rFonts w:ascii="Calibri" w:hAnsi="Calibri"/>
                <w:color w:val="2D2D2D"/>
                <w:sz w:val="20"/>
              </w:rPr>
              <w:t>✅ **Confirmed**</w:t>
            </w:r>
          </w:p>
        </w:tc>
        <w:tc>
          <w:tcPr>
            <w:tcW w:type="dxa" w:w="3120"/>
          </w:tcPr>
          <w:p>
            <w:pPr>
              <w:spacing w:before="60" w:after="60"/>
              <w:jc w:val="left"/>
            </w:pPr>
            <w:r/>
            <w:r>
              <w:rPr>
                <w:rFonts w:ascii="Calibri" w:hAnsi="Calibri"/>
                <w:color w:val="2D2D2D"/>
                <w:sz w:val="20"/>
              </w:rPr>
              <w:t>Strategic facts — high confidence, multiple sources</w:t>
            </w:r>
          </w:p>
        </w:tc>
      </w:tr>
      <w:tr>
        <w:tc>
          <w:tcPr>
            <w:tcW w:type="dxa" w:w="3120"/>
            <w:shd w:fill="F0F4F8" w:val="clear"/>
          </w:tcPr>
          <w:p>
            <w:pPr>
              <w:spacing w:before="60" w:after="60"/>
              <w:jc w:val="left"/>
            </w:pPr>
            <w:r/>
            <w:r>
              <w:rPr>
                <w:rFonts w:ascii="Calibri" w:hAnsi="Calibri"/>
                <w:color w:val="2D2D2D"/>
                <w:sz w:val="20"/>
              </w:rPr>
              <w:t>Fuel savings (7% avg, 15% live max, 25% sim)</w:t>
            </w:r>
          </w:p>
        </w:tc>
        <w:tc>
          <w:tcPr>
            <w:tcW w:type="dxa" w:w="3120"/>
            <w:shd w:fill="F0F4F8" w:val="clear"/>
          </w:tcPr>
          <w:p>
            <w:pPr>
              <w:spacing w:before="60" w:after="60"/>
              <w:jc w:val="left"/>
            </w:pPr>
            <w:r/>
            <w:r>
              <w:rPr>
                <w:rFonts w:ascii="Calibri" w:hAnsi="Calibri"/>
                <w:color w:val="2D2D2D"/>
                <w:sz w:val="20"/>
              </w:rPr>
              <w:t>✅ **Confirmed**</w:t>
            </w:r>
          </w:p>
        </w:tc>
        <w:tc>
          <w:tcPr>
            <w:tcW w:type="dxa" w:w="3120"/>
            <w:shd w:fill="F0F4F8" w:val="clear"/>
          </w:tcPr>
          <w:p>
            <w:pPr>
              <w:spacing w:before="60" w:after="60"/>
              <w:jc w:val="left"/>
            </w:pPr>
            <w:r/>
            <w:r>
              <w:rPr>
                <w:rFonts w:ascii="Calibri" w:hAnsi="Calibri"/>
                <w:color w:val="2D2D2D"/>
                <w:sz w:val="20"/>
              </w:rPr>
              <w:t>Product effectiveness data from live deployments</w:t>
            </w:r>
          </w:p>
        </w:tc>
      </w:tr>
      <w:tr>
        <w:tc>
          <w:tcPr>
            <w:tcW w:type="dxa" w:w="3120"/>
          </w:tcPr>
          <w:p>
            <w:pPr>
              <w:spacing w:before="60" w:after="60"/>
              <w:jc w:val="left"/>
            </w:pPr>
            <w:r/>
            <w:r>
              <w:rPr>
                <w:rFonts w:ascii="Calibri" w:hAnsi="Calibri"/>
                <w:color w:val="2D2D2D"/>
                <w:sz w:val="20"/>
              </w:rPr>
              <w:t>GWRR pilot — 3 properties, 90-day timeline</w:t>
            </w:r>
          </w:p>
        </w:tc>
        <w:tc>
          <w:tcPr>
            <w:tcW w:type="dxa" w:w="3120"/>
          </w:tcPr>
          <w:p>
            <w:pPr>
              <w:spacing w:before="60" w:after="60"/>
              <w:jc w:val="left"/>
            </w:pPr>
            <w:r/>
            <w:r>
              <w:rPr>
                <w:rFonts w:ascii="Calibri" w:hAnsi="Calibri"/>
                <w:color w:val="2D2D2D"/>
                <w:sz w:val="20"/>
              </w:rPr>
              <w:t>✅ **Confirmed**</w:t>
            </w:r>
          </w:p>
        </w:tc>
        <w:tc>
          <w:tcPr>
            <w:tcW w:type="dxa" w:w="3120"/>
          </w:tcPr>
          <w:p>
            <w:pPr>
              <w:spacing w:before="60" w:after="60"/>
              <w:jc w:val="left"/>
            </w:pPr>
            <w:r/>
            <w:r>
              <w:rPr>
                <w:rFonts w:ascii="Calibri" w:hAnsi="Calibri"/>
                <w:color w:val="2D2D2D"/>
                <w:sz w:val="20"/>
              </w:rPr>
              <w:t>Multiple source documents</w:t>
            </w:r>
          </w:p>
        </w:tc>
      </w:tr>
      <w:tr>
        <w:tc>
          <w:tcPr>
            <w:tcW w:type="dxa" w:w="3120"/>
            <w:shd w:fill="F0F4F8" w:val="clear"/>
          </w:tcPr>
          <w:p>
            <w:pPr>
              <w:spacing w:before="60" w:after="60"/>
              <w:jc w:val="left"/>
            </w:pPr>
            <w:r/>
            <w:r>
              <w:rPr>
                <w:rFonts w:ascii="Calibri" w:hAnsi="Calibri"/>
                <w:color w:val="2D2D2D"/>
                <w:sz w:val="20"/>
              </w:rPr>
              <w:t>OmniTrax term sheet signed</w:t>
            </w:r>
          </w:p>
        </w:tc>
        <w:tc>
          <w:tcPr>
            <w:tcW w:type="dxa" w:w="3120"/>
            <w:shd w:fill="F0F4F8" w:val="clear"/>
          </w:tcPr>
          <w:p>
            <w:pPr>
              <w:spacing w:before="60" w:after="60"/>
              <w:jc w:val="left"/>
            </w:pPr>
            <w:r/>
            <w:r>
              <w:rPr>
                <w:rFonts w:ascii="Calibri" w:hAnsi="Calibri"/>
                <w:color w:val="2D2D2D"/>
                <w:sz w:val="20"/>
              </w:rPr>
              <w:t>✅ **Confirmed**</w:t>
            </w:r>
          </w:p>
        </w:tc>
        <w:tc>
          <w:tcPr>
            <w:tcW w:type="dxa" w:w="3120"/>
            <w:shd w:fill="F0F4F8" w:val="clear"/>
          </w:tcPr>
          <w:p>
            <w:pPr>
              <w:spacing w:before="60" w:after="60"/>
              <w:jc w:val="left"/>
            </w:pPr>
            <w:r/>
            <w:r>
              <w:rPr>
                <w:rFonts w:ascii="Calibri" w:hAnsi="Calibri"/>
                <w:color w:val="2D2D2D"/>
                <w:sz w:val="20"/>
              </w:rPr>
              <w:t>Strategic event logged</w:t>
            </w:r>
          </w:p>
        </w:tc>
      </w:tr>
      <w:tr>
        <w:tc>
          <w:tcPr>
            <w:tcW w:type="dxa" w:w="3120"/>
          </w:tcPr>
          <w:p>
            <w:pPr>
              <w:spacing w:before="60" w:after="60"/>
              <w:jc w:val="left"/>
            </w:pPr>
            <w:r/>
            <w:r>
              <w:rPr>
                <w:rFonts w:ascii="Calibri" w:hAnsi="Calibri"/>
                <w:color w:val="2D2D2D"/>
                <w:sz w:val="20"/>
              </w:rPr>
              <w:t>Gainshare model — 30% of verified savings</w:t>
            </w:r>
          </w:p>
        </w:tc>
        <w:tc>
          <w:tcPr>
            <w:tcW w:type="dxa" w:w="3120"/>
          </w:tcPr>
          <w:p>
            <w:pPr>
              <w:spacing w:before="60" w:after="60"/>
              <w:jc w:val="left"/>
            </w:pPr>
            <w:r/>
            <w:r>
              <w:rPr>
                <w:rFonts w:ascii="Calibri" w:hAnsi="Calibri"/>
                <w:color w:val="2D2D2D"/>
                <w:sz w:val="20"/>
              </w:rPr>
              <w:t>✅ **Confirmed**</w:t>
            </w:r>
          </w:p>
        </w:tc>
        <w:tc>
          <w:tcPr>
            <w:tcW w:type="dxa" w:w="3120"/>
          </w:tcPr>
          <w:p>
            <w:pPr>
              <w:spacing w:before="60" w:after="60"/>
              <w:jc w:val="left"/>
            </w:pPr>
            <w:r/>
            <w:r>
              <w:rPr>
                <w:rFonts w:ascii="Calibri" w:hAnsi="Calibri"/>
                <w:color w:val="2D2D2D"/>
                <w:sz w:val="20"/>
              </w:rPr>
              <w:t>Multiple sources, contractual documentation</w:t>
            </w:r>
          </w:p>
        </w:tc>
      </w:tr>
      <w:tr>
        <w:tc>
          <w:tcPr>
            <w:tcW w:type="dxa" w:w="3120"/>
            <w:shd w:fill="F0F4F8" w:val="clear"/>
          </w:tcPr>
          <w:p>
            <w:pPr>
              <w:spacing w:before="60" w:after="60"/>
              <w:jc w:val="left"/>
            </w:pPr>
            <w:r/>
            <w:r>
              <w:rPr>
                <w:rFonts w:ascii="Calibri" w:hAnsi="Calibri"/>
                <w:color w:val="2D2D2D"/>
                <w:sz w:val="20"/>
              </w:rPr>
              <w:t>Market sizing — NAM shortline TAM ($9.2M)</w:t>
            </w:r>
          </w:p>
        </w:tc>
        <w:tc>
          <w:tcPr>
            <w:tcW w:type="dxa" w:w="3120"/>
            <w:shd w:fill="F0F4F8" w:val="clear"/>
          </w:tcPr>
          <w:p>
            <w:pPr>
              <w:spacing w:before="60" w:after="60"/>
              <w:jc w:val="left"/>
            </w:pPr>
            <w:r/>
            <w:r>
              <w:rPr>
                <w:rFonts w:ascii="Calibri" w:hAnsi="Calibri"/>
                <w:color w:val="2D2D2D"/>
                <w:sz w:val="20"/>
              </w:rPr>
              <w:t>✅ **Confirmed**</w:t>
            </w:r>
          </w:p>
        </w:tc>
        <w:tc>
          <w:tcPr>
            <w:tcW w:type="dxa" w:w="3120"/>
            <w:shd w:fill="F0F4F8" w:val="clear"/>
          </w:tcPr>
          <w:p>
            <w:pPr>
              <w:spacing w:before="60" w:after="60"/>
              <w:jc w:val="left"/>
            </w:pPr>
            <w:r/>
            <w:r>
              <w:rPr>
                <w:rFonts w:ascii="Calibri" w:hAnsi="Calibri"/>
                <w:color w:val="2D2D2D"/>
                <w:sz w:val="20"/>
              </w:rPr>
              <w:t>Derived from industry data</w:t>
            </w:r>
          </w:p>
        </w:tc>
      </w:tr>
      <w:tr>
        <w:tc>
          <w:tcPr>
            <w:tcW w:type="dxa" w:w="3120"/>
          </w:tcPr>
          <w:p>
            <w:pPr>
              <w:spacing w:before="60" w:after="60"/>
              <w:jc w:val="left"/>
            </w:pPr>
            <w:r/>
            <w:r>
              <w:rPr>
                <w:rFonts w:ascii="Calibri" w:hAnsi="Calibri"/>
                <w:color w:val="2D2D2D"/>
                <w:sz w:val="20"/>
              </w:rPr>
              <w:t>Wabtec competitive positioning</w:t>
            </w:r>
          </w:p>
        </w:tc>
        <w:tc>
          <w:tcPr>
            <w:tcW w:type="dxa" w:w="3120"/>
          </w:tcPr>
          <w:p>
            <w:pPr>
              <w:spacing w:before="60" w:after="60"/>
              <w:jc w:val="left"/>
            </w:pPr>
            <w:r/>
            <w:r>
              <w:rPr>
                <w:rFonts w:ascii="Calibri" w:hAnsi="Calibri"/>
                <w:color w:val="2D2D2D"/>
                <w:sz w:val="20"/>
              </w:rPr>
              <w:t>✅ **Confirmed**</w:t>
            </w:r>
          </w:p>
        </w:tc>
        <w:tc>
          <w:tcPr>
            <w:tcW w:type="dxa" w:w="3120"/>
          </w:tcPr>
          <w:p>
            <w:pPr>
              <w:spacing w:before="60" w:after="60"/>
              <w:jc w:val="left"/>
            </w:pPr>
            <w:r/>
            <w:r>
              <w:rPr>
                <w:rFonts w:ascii="Calibri" w:hAnsi="Calibri"/>
                <w:color w:val="2D2D2D"/>
                <w:sz w:val="20"/>
              </w:rPr>
              <w:t>Public data + industry analysis</w:t>
            </w:r>
          </w:p>
        </w:tc>
      </w:tr>
      <w:tr>
        <w:tc>
          <w:tcPr>
            <w:tcW w:type="dxa" w:w="3120"/>
            <w:shd w:fill="F0F4F8" w:val="clear"/>
          </w:tcPr>
          <w:p>
            <w:pPr>
              <w:spacing w:before="60" w:after="60"/>
              <w:jc w:val="left"/>
            </w:pPr>
            <w:r/>
            <w:r>
              <w:rPr>
                <w:rFonts w:ascii="Calibri" w:hAnsi="Calibri"/>
                <w:color w:val="2D2D2D"/>
                <w:sz w:val="20"/>
              </w:rPr>
              <w:t>Current cash position / burn rate</w:t>
            </w:r>
          </w:p>
        </w:tc>
        <w:tc>
          <w:tcPr>
            <w:tcW w:type="dxa" w:w="3120"/>
            <w:shd w:fill="F0F4F8" w:val="clear"/>
          </w:tcPr>
          <w:p>
            <w:pPr>
              <w:spacing w:before="60" w:after="60"/>
              <w:jc w:val="left"/>
            </w:pPr>
            <w:r/>
            <w:r>
              <w:rPr>
                <w:rFonts w:ascii="Calibri" w:hAnsi="Calibri"/>
                <w:color w:val="2D2D2D"/>
                <w:sz w:val="20"/>
              </w:rPr>
              <w:t>⚠️ **Not available**</w:t>
            </w:r>
          </w:p>
        </w:tc>
        <w:tc>
          <w:tcPr>
            <w:tcW w:type="dxa" w:w="3120"/>
            <w:shd w:fill="F0F4F8" w:val="clear"/>
          </w:tcPr>
          <w:p>
            <w:pPr>
              <w:spacing w:before="60" w:after="60"/>
              <w:jc w:val="left"/>
            </w:pPr>
            <w:r/>
            <w:r>
              <w:rPr>
                <w:rFonts w:ascii="Calibri" w:hAnsi="Calibri"/>
                <w:color w:val="2D2D2D"/>
                <w:sz w:val="20"/>
              </w:rPr>
              <w:t>CFO data required — critical gap</w:t>
            </w:r>
          </w:p>
        </w:tc>
      </w:tr>
      <w:tr>
        <w:tc>
          <w:tcPr>
            <w:tcW w:type="dxa" w:w="3120"/>
          </w:tcPr>
          <w:p>
            <w:pPr>
              <w:spacing w:before="60" w:after="60"/>
              <w:jc w:val="left"/>
            </w:pPr>
            <w:r/>
            <w:r>
              <w:rPr>
                <w:rFonts w:ascii="Calibri" w:hAnsi="Calibri"/>
                <w:color w:val="2D2D2D"/>
                <w:sz w:val="20"/>
              </w:rPr>
              <w:t>Formal sales team structure</w:t>
            </w:r>
          </w:p>
        </w:tc>
        <w:tc>
          <w:tcPr>
            <w:tcW w:type="dxa" w:w="3120"/>
          </w:tcPr>
          <w:p>
            <w:pPr>
              <w:spacing w:before="60" w:after="60"/>
              <w:jc w:val="left"/>
            </w:pPr>
            <w:r/>
            <w:r>
              <w:rPr>
                <w:rFonts w:ascii="Calibri" w:hAnsi="Calibri"/>
                <w:color w:val="2D2D2D"/>
                <w:sz w:val="20"/>
              </w:rPr>
              <w:t>⚠️ **Does not exist**</w:t>
            </w:r>
          </w:p>
        </w:tc>
        <w:tc>
          <w:tcPr>
            <w:tcW w:type="dxa" w:w="3120"/>
          </w:tcPr>
          <w:p>
            <w:pPr>
              <w:spacing w:before="60" w:after="60"/>
              <w:jc w:val="left"/>
            </w:pPr>
            <w:r/>
            <w:r>
              <w:rPr>
                <w:rFonts w:ascii="Calibri" w:hAnsi="Calibri"/>
                <w:color w:val="2D2D2D"/>
                <w:sz w:val="20"/>
              </w:rPr>
              <w:t>CEO-led only</w:t>
            </w:r>
          </w:p>
        </w:tc>
      </w:tr>
      <w:tr>
        <w:tc>
          <w:tcPr>
            <w:tcW w:type="dxa" w:w="3120"/>
            <w:shd w:fill="F0F4F8" w:val="clear"/>
          </w:tcPr>
          <w:p>
            <w:pPr>
              <w:spacing w:before="60" w:after="60"/>
              <w:jc w:val="left"/>
            </w:pPr>
            <w:r/>
            <w:r>
              <w:rPr>
                <w:rFonts w:ascii="Calibri" w:hAnsi="Calibri"/>
                <w:color w:val="2D2D2D"/>
                <w:sz w:val="20"/>
              </w:rPr>
              <w:t>Win rate / conversion metrics</w:t>
            </w:r>
          </w:p>
        </w:tc>
        <w:tc>
          <w:tcPr>
            <w:tcW w:type="dxa" w:w="3120"/>
            <w:shd w:fill="F0F4F8" w:val="clear"/>
          </w:tcPr>
          <w:p>
            <w:pPr>
              <w:spacing w:before="60" w:after="60"/>
              <w:jc w:val="left"/>
            </w:pPr>
            <w:r/>
            <w:r>
              <w:rPr>
                <w:rFonts w:ascii="Calibri" w:hAnsi="Calibri"/>
                <w:color w:val="2D2D2D"/>
                <w:sz w:val="20"/>
              </w:rPr>
              <w:t>⚠️ **Not measurable**</w:t>
            </w:r>
          </w:p>
        </w:tc>
        <w:tc>
          <w:tcPr>
            <w:tcW w:type="dxa" w:w="3120"/>
            <w:shd w:fill="F0F4F8" w:val="clear"/>
          </w:tcPr>
          <w:p>
            <w:pPr>
              <w:spacing w:before="60" w:after="60"/>
              <w:jc w:val="left"/>
            </w:pPr>
            <w:r/>
            <w:r>
              <w:rPr>
                <w:rFonts w:ascii="Calibri" w:hAnsi="Calibri"/>
                <w:color w:val="2D2D2D"/>
                <w:sz w:val="20"/>
              </w:rPr>
              <w:t>Too early-stage</w:t>
            </w:r>
          </w:p>
        </w:tc>
      </w:tr>
      <w:tr>
        <w:tc>
          <w:tcPr>
            <w:tcW w:type="dxa" w:w="3120"/>
          </w:tcPr>
          <w:p>
            <w:pPr>
              <w:spacing w:before="60" w:after="60"/>
              <w:jc w:val="left"/>
            </w:pPr>
            <w:r/>
            <w:r>
              <w:rPr>
                <w:rFonts w:ascii="Calibri" w:hAnsi="Calibri"/>
                <w:color w:val="2D2D2D"/>
                <w:sz w:val="20"/>
              </w:rPr>
              <w:t>GWRR pilot current progress</w:t>
            </w:r>
          </w:p>
        </w:tc>
        <w:tc>
          <w:tcPr>
            <w:tcW w:type="dxa" w:w="3120"/>
          </w:tcPr>
          <w:p>
            <w:pPr>
              <w:spacing w:before="60" w:after="60"/>
              <w:jc w:val="left"/>
            </w:pPr>
            <w:r/>
            <w:r>
              <w:rPr>
                <w:rFonts w:ascii="Calibri" w:hAnsi="Calibri"/>
                <w:color w:val="2D2D2D"/>
                <w:sz w:val="20"/>
              </w:rPr>
              <w:t>⚠️ **Not confirmed**</w:t>
            </w:r>
          </w:p>
        </w:tc>
        <w:tc>
          <w:tcPr>
            <w:tcW w:type="dxa" w:w="3120"/>
          </w:tcPr>
          <w:p>
            <w:pPr>
              <w:spacing w:before="60" w:after="60"/>
              <w:jc w:val="left"/>
            </w:pPr>
            <w:r/>
            <w:r>
              <w:rPr>
                <w:rFonts w:ascii="Calibri" w:hAnsi="Calibri"/>
                <w:color w:val="2D2D2D"/>
                <w:sz w:val="20"/>
              </w:rPr>
              <w:t>Needs operational update</w:t>
            </w:r>
          </w:p>
        </w:tc>
      </w:tr>
      <w:tr>
        <w:tc>
          <w:tcPr>
            <w:tcW w:type="dxa" w:w="3120"/>
            <w:shd w:fill="F0F4F8" w:val="clear"/>
          </w:tcPr>
          <w:p>
            <w:pPr>
              <w:spacing w:before="60" w:after="60"/>
              <w:jc w:val="left"/>
            </w:pPr>
            <w:r/>
            <w:r>
              <w:rPr>
                <w:rFonts w:ascii="Calibri" w:hAnsi="Calibri"/>
                <w:color w:val="2D2D2D"/>
                <w:sz w:val="20"/>
              </w:rPr>
              <w:t>Watco engagement level</w:t>
            </w:r>
          </w:p>
        </w:tc>
        <w:tc>
          <w:tcPr>
            <w:tcW w:type="dxa" w:w="3120"/>
            <w:shd w:fill="F0F4F8" w:val="clear"/>
          </w:tcPr>
          <w:p>
            <w:pPr>
              <w:spacing w:before="60" w:after="60"/>
              <w:jc w:val="left"/>
            </w:pPr>
            <w:r/>
            <w:r>
              <w:rPr>
                <w:rFonts w:ascii="Calibri" w:hAnsi="Calibri"/>
                <w:color w:val="2D2D2D"/>
                <w:sz w:val="20"/>
              </w:rPr>
              <w:t>⚠️ **Prospecting only**</w:t>
            </w:r>
          </w:p>
        </w:tc>
        <w:tc>
          <w:tcPr>
            <w:tcW w:type="dxa" w:w="3120"/>
            <w:shd w:fill="F0F4F8" w:val="clear"/>
          </w:tcPr>
          <w:p>
            <w:pPr>
              <w:spacing w:before="60" w:after="60"/>
              <w:jc w:val="left"/>
            </w:pPr>
            <w:r/>
            <w:r>
              <w:rPr>
                <w:rFonts w:ascii="Calibri" w:hAnsi="Calibri"/>
                <w:color w:val="2D2D2D"/>
                <w:sz w:val="20"/>
              </w:rPr>
              <w:t>No confirmed conversations</w:t>
            </w:r>
          </w:p>
        </w:tc>
      </w:tr>
      <w:tr>
        <w:tc>
          <w:tcPr>
            <w:tcW w:type="dxa" w:w="3120"/>
          </w:tcPr>
          <w:p>
            <w:pPr>
              <w:spacing w:before="60" w:after="60"/>
              <w:jc w:val="left"/>
            </w:pPr>
            <w:r/>
            <w:r>
              <w:rPr>
                <w:rFonts w:ascii="Calibri" w:hAnsi="Calibri"/>
                <w:color w:val="2D2D2D"/>
                <w:sz w:val="20"/>
              </w:rPr>
              <w:t>Via Rail engagement level</w:t>
            </w:r>
          </w:p>
        </w:tc>
        <w:tc>
          <w:tcPr>
            <w:tcW w:type="dxa" w:w="3120"/>
          </w:tcPr>
          <w:p>
            <w:pPr>
              <w:spacing w:before="60" w:after="60"/>
              <w:jc w:val="left"/>
            </w:pPr>
            <w:r/>
            <w:r>
              <w:rPr>
                <w:rFonts w:ascii="Calibri" w:hAnsi="Calibri"/>
                <w:color w:val="2D2D2D"/>
                <w:sz w:val="20"/>
              </w:rPr>
              <w:t>⚠️ **Prospecting only**</w:t>
            </w:r>
          </w:p>
        </w:tc>
        <w:tc>
          <w:tcPr>
            <w:tcW w:type="dxa" w:w="3120"/>
          </w:tcPr>
          <w:p>
            <w:pPr>
              <w:spacing w:before="60" w:after="60"/>
              <w:jc w:val="left"/>
            </w:pPr>
            <w:r/>
            <w:r>
              <w:rPr>
                <w:rFonts w:ascii="Calibri" w:hAnsi="Calibri"/>
                <w:color w:val="2D2D2D"/>
                <w:sz w:val="20"/>
              </w:rPr>
              <w:t>No confirmed conversations</w:t>
            </w:r>
          </w:p>
        </w:tc>
      </w:tr>
      <w:tr>
        <w:tc>
          <w:tcPr>
            <w:tcW w:type="dxa" w:w="3120"/>
            <w:shd w:fill="F0F4F8" w:val="clear"/>
          </w:tcPr>
          <w:p>
            <w:pPr>
              <w:spacing w:before="60" w:after="60"/>
              <w:jc w:val="left"/>
            </w:pPr>
            <w:r/>
            <w:r>
              <w:rPr>
                <w:rFonts w:ascii="Calibri" w:hAnsi="Calibri"/>
                <w:color w:val="2D2D2D"/>
                <w:sz w:val="20"/>
              </w:rPr>
              <w:t>W&amp;LE engagement level</w:t>
            </w:r>
          </w:p>
        </w:tc>
        <w:tc>
          <w:tcPr>
            <w:tcW w:type="dxa" w:w="3120"/>
            <w:shd w:fill="F0F4F8" w:val="clear"/>
          </w:tcPr>
          <w:p>
            <w:pPr>
              <w:spacing w:before="60" w:after="60"/>
              <w:jc w:val="left"/>
            </w:pPr>
            <w:r/>
            <w:r>
              <w:rPr>
                <w:rFonts w:ascii="Calibri" w:hAnsi="Calibri"/>
                <w:color w:val="2D2D2D"/>
                <w:sz w:val="20"/>
              </w:rPr>
              <w:t>⚠️ **Prospecting only**</w:t>
            </w:r>
          </w:p>
        </w:tc>
        <w:tc>
          <w:tcPr>
            <w:tcW w:type="dxa" w:w="3120"/>
            <w:shd w:fill="F0F4F8" w:val="clear"/>
          </w:tcPr>
          <w:p>
            <w:pPr>
              <w:spacing w:before="60" w:after="60"/>
              <w:jc w:val="left"/>
            </w:pPr>
            <w:r/>
            <w:r>
              <w:rPr>
                <w:rFonts w:ascii="Calibri" w:hAnsi="Calibri"/>
                <w:color w:val="2D2D2D"/>
                <w:sz w:val="20"/>
              </w:rPr>
              <w:t>No confirmed conversations</w:t>
            </w:r>
          </w:p>
        </w:tc>
      </w:tr>
      <w:tr>
        <w:tc>
          <w:tcPr>
            <w:tcW w:type="dxa" w:w="3120"/>
          </w:tcPr>
          <w:p>
            <w:pPr>
              <w:spacing w:before="60" w:after="60"/>
              <w:jc w:val="left"/>
            </w:pPr>
            <w:r/>
            <w:r>
              <w:rPr>
                <w:rFonts w:ascii="Calibri" w:hAnsi="Calibri"/>
                <w:color w:val="2D2D2D"/>
                <w:sz w:val="20"/>
              </w:rPr>
              <w:t>OmniTrax ARR potential</w:t>
            </w:r>
          </w:p>
        </w:tc>
        <w:tc>
          <w:tcPr>
            <w:tcW w:type="dxa" w:w="3120"/>
          </w:tcPr>
          <w:p>
            <w:pPr>
              <w:spacing w:before="60" w:after="60"/>
              <w:jc w:val="left"/>
            </w:pPr>
            <w:r/>
            <w:r>
              <w:rPr>
                <w:rFonts w:ascii="Calibri" w:hAnsi="Calibri"/>
                <w:color w:val="2D2D2D"/>
                <w:sz w:val="20"/>
              </w:rPr>
              <w:t>⚠️ **TBD**</w:t>
            </w:r>
          </w:p>
        </w:tc>
        <w:tc>
          <w:tcPr>
            <w:tcW w:type="dxa" w:w="3120"/>
          </w:tcPr>
          <w:p>
            <w:pPr>
              <w:spacing w:before="60" w:after="60"/>
              <w:jc w:val="left"/>
            </w:pPr>
            <w:r/>
            <w:r>
              <w:rPr>
                <w:rFonts w:ascii="Calibri" w:hAnsi="Calibri"/>
                <w:color w:val="2D2D2D"/>
                <w:sz w:val="20"/>
              </w:rPr>
              <w:t>Term sheet signed, ARR not quantified</w:t>
            </w:r>
          </w:p>
        </w:tc>
      </w:tr>
      <w:tr>
        <w:tc>
          <w:tcPr>
            <w:tcW w:type="dxa" w:w="3120"/>
            <w:shd w:fill="F0F4F8" w:val="clear"/>
          </w:tcPr>
          <w:p>
            <w:pPr>
              <w:spacing w:before="60" w:after="60"/>
              <w:jc w:val="left"/>
            </w:pPr>
            <w:r/>
            <w:r>
              <w:rPr>
                <w:rFonts w:ascii="Calibri" w:hAnsi="Calibri"/>
                <w:color w:val="2D2D2D"/>
                <w:sz w:val="20"/>
              </w:rPr>
              <w:t>Holland-Loram consortium</w:t>
            </w:r>
          </w:p>
        </w:tc>
        <w:tc>
          <w:tcPr>
            <w:tcW w:type="dxa" w:w="3120"/>
            <w:shd w:fill="F0F4F8" w:val="clear"/>
          </w:tcPr>
          <w:p>
            <w:pPr>
              <w:spacing w:before="60" w:after="60"/>
              <w:jc w:val="left"/>
            </w:pPr>
            <w:r/>
            <w:r>
              <w:rPr>
                <w:rFonts w:ascii="Calibri" w:hAnsi="Calibri"/>
                <w:color w:val="2D2D2D"/>
                <w:sz w:val="20"/>
              </w:rPr>
              <w:t>⚠️ **Emerging**</w:t>
            </w:r>
          </w:p>
        </w:tc>
        <w:tc>
          <w:tcPr>
            <w:tcW w:type="dxa" w:w="3120"/>
            <w:shd w:fill="F0F4F8" w:val="clear"/>
          </w:tcPr>
          <w:p>
            <w:pPr>
              <w:spacing w:before="60" w:after="60"/>
              <w:jc w:val="left"/>
            </w:pPr>
            <w:r/>
            <w:r>
              <w:rPr>
                <w:rFonts w:ascii="Calibri" w:hAnsi="Calibri"/>
                <w:color w:val="2D2D2D"/>
                <w:sz w:val="20"/>
              </w:rPr>
              <w:t>Conceptual stage, no formal terms</w:t>
            </w:r>
          </w:p>
        </w:tc>
      </w:tr>
    </w:tbl>
    <w:p/>
    <w:p>
      <w:pPr>
        <w:pStyle w:val="Heading2"/>
      </w:pPr>
      <w:r>
        <w:t>Data Gaps Requiring Resolution</w:t>
      </w:r>
    </w:p>
    <w:p>
      <w:pPr>
        <w:pStyle w:val="ListNumber"/>
        <w:spacing w:after="40" w:before="20"/>
      </w:pPr>
      <w:r>
        <w:rPr>
          <w:rFonts w:ascii="Calibri" w:hAnsi="Calibri"/>
          <w:b/>
          <w:color w:val="2D2D2D"/>
          <w:sz w:val="22"/>
        </w:rPr>
        <w:t>Cash position and monthly burn rate</w:t>
      </w:r>
      <w:r>
        <w:rPr>
          <w:rFonts w:ascii="Calibri" w:hAnsi="Calibri"/>
          <w:color w:val="2D2D2D"/>
          <w:sz w:val="22"/>
        </w:rPr>
        <w:t xml:space="preserve"> — Required from CFO (Raphael)</w:t>
      </w:r>
    </w:p>
    <w:p>
      <w:pPr>
        <w:pStyle w:val="ListNumber"/>
        <w:spacing w:after="40" w:before="20"/>
      </w:pPr>
      <w:r>
        <w:rPr>
          <w:rFonts w:ascii="Calibri" w:hAnsi="Calibri"/>
          <w:b/>
          <w:color w:val="2D2D2D"/>
          <w:sz w:val="22"/>
        </w:rPr>
        <w:t>GWRR pilot Day X status</w:t>
      </w:r>
      <w:r>
        <w:rPr>
          <w:rFonts w:ascii="Calibri" w:hAnsi="Calibri"/>
          <w:color w:val="2D2D2D"/>
          <w:sz w:val="22"/>
        </w:rPr>
        <w:t xml:space="preserve"> — Required from CTO/field operations</w:t>
      </w:r>
    </w:p>
    <w:p>
      <w:pPr>
        <w:pStyle w:val="ListNumber"/>
        <w:spacing w:after="40" w:before="20"/>
      </w:pPr>
      <w:r>
        <w:rPr>
          <w:rFonts w:ascii="Calibri" w:hAnsi="Calibri"/>
          <w:b/>
          <w:color w:val="2D2D2D"/>
          <w:sz w:val="22"/>
        </w:rPr>
        <w:t>OmniTrax ARR quantification</w:t>
      </w:r>
      <w:r>
        <w:rPr>
          <w:rFonts w:ascii="Calibri" w:hAnsi="Calibri"/>
          <w:color w:val="2D2D2D"/>
          <w:sz w:val="22"/>
        </w:rPr>
        <w:t xml:space="preserve"> — Required from CCO/CEO</w:t>
      </w:r>
    </w:p>
    <w:p>
      <w:pPr>
        <w:pStyle w:val="ListNumber"/>
        <w:spacing w:after="40" w:before="20"/>
      </w:pPr>
      <w:r>
        <w:rPr>
          <w:rFonts w:ascii="Calibri" w:hAnsi="Calibri"/>
          <w:b/>
          <w:color w:val="2D2D2D"/>
          <w:sz w:val="22"/>
        </w:rPr>
        <w:t>Prospect engagement confirmation</w:t>
      </w:r>
      <w:r>
        <w:rPr>
          <w:rFonts w:ascii="Calibri" w:hAnsi="Calibri"/>
          <w:color w:val="2D2D2D"/>
          <w:sz w:val="22"/>
        </w:rPr>
        <w:t xml:space="preserve"> — Watco, Via Rail, W&amp;LE need status verification</w:t>
      </w:r>
    </w:p>
    <w:p>
      <w:pPr>
        <w:spacing w:before="200" w:after="200"/>
        <w:jc w:val="center"/>
      </w:pPr>
      <w:r>
        <w:rPr>
          <w:color w:val="D0D5DD"/>
          <w:sz w:val="12"/>
        </w:rPr>
        <w:t>──────────────────────────────────────────────────────────────────────</w:t>
      </w:r>
    </w:p>
    <w:p>
      <w:pPr>
        <w:spacing w:before="120" w:after="120"/>
        <w:ind w:left="720"/>
        <w:pBdr>
          <w:left w:val="single" w:sz="12" w:space="8" w:color="3A86C8"/>
        </w:pBdr>
      </w:pPr>
      <w:r>
        <w:rPr>
          <w:rFonts w:ascii="Calibri" w:hAnsi="Calibri"/>
          <w:i/>
          <w:color w:val="4A5A6A"/>
          <w:sz w:val="22"/>
        </w:rPr>
        <w:t>*All confirmed data points are sourced from RailVision strategic knowledge base, product documentation, and executive briefings. No data has been fabricated or inflated.*</w:t>
      </w:r>
    </w:p>
    <w:p>
      <w:pPr>
        <w:spacing w:before="160" w:after="160"/>
        <w:jc w:val="center"/>
      </w:pPr>
      <w:r>
        <w:rPr>
          <w:color w:val="D0D5DD"/>
          <w:sz w:val="16"/>
        </w:rPr>
        <w:t>────────────────────────────────────────────────────────────</w:t>
      </w:r>
    </w:p>
    <w:p>
      <w:pPr>
        <w:pStyle w:val="Heading1"/>
      </w:pPr>
      <w:r>
        <w:t>Closing Statement — Chief Strategy Officer</w:t>
      </w:r>
    </w:p>
    <w:p>
      <w:pPr>
        <w:spacing w:before="120" w:after="120"/>
        <w:ind w:left="720"/>
        <w:pBdr>
          <w:left w:val="single" w:sz="12" w:space="8" w:color="3A86C8"/>
        </w:pBdr>
      </w:pPr>
      <w:r>
        <w:rPr>
          <w:rFonts w:ascii="Calibri" w:hAnsi="Calibri"/>
          <w:i/>
          <w:color w:val="4A5A6A"/>
          <w:sz w:val="22"/>
        </w:rPr>
        <w:t>**"This report is the commercial truth. The $2.5M ARR target is achievable but contingent on a single pilot. The pipeline is real but early. The partnerships are powerful but must be timed correctly. Every recommendation in this document points to one truth: prove the GWRR pilot, then everything accelerates."**</w:t>
      </w:r>
    </w:p>
    <w:p>
      <w:pPr>
        <w:spacing w:after="120" w:before="40" w:line="276" w:lineRule="auto"/>
        <w:jc w:val="both"/>
      </w:pPr>
      <w:r>
        <w:rPr>
          <w:rFonts w:ascii="Calibri" w:hAnsi="Calibri"/>
          <w:color w:val="2D2D2D"/>
          <w:sz w:val="22"/>
        </w:rPr>
        <w:t>&gt;</w:t>
      </w:r>
    </w:p>
    <w:p>
      <w:pPr>
        <w:spacing w:before="120" w:after="120"/>
        <w:ind w:left="720"/>
        <w:pBdr>
          <w:left w:val="single" w:sz="12" w:space="8" w:color="3A86C8"/>
        </w:pBdr>
      </w:pPr>
      <w:r>
        <w:rPr>
          <w:rFonts w:ascii="Calibri" w:hAnsi="Calibri"/>
          <w:i/>
          <w:color w:val="4A5A6A"/>
          <w:sz w:val="22"/>
        </w:rPr>
        <w:t>— **Michael, Chief Strategy Officer**</w:t>
      </w:r>
    </w:p>
    <w:p>
      <w:pPr>
        <w:spacing w:before="200" w:after="200"/>
        <w:jc w:val="center"/>
      </w:pPr>
      <w:r>
        <w:rPr>
          <w:color w:val="D0D5DD"/>
          <w:sz w:val="12"/>
        </w:rPr>
        <w:t>──────────────────────────────────────────────────────────────────────</w:t>
      </w:r>
    </w:p>
    <w:p>
      <w:pPr>
        <w:pStyle w:val="Heading2"/>
      </w:pPr>
      <w:r>
        <w:t>Final Board-Level Summary</w:t>
      </w:r>
    </w:p>
    <w:p>
      <w:pPr>
        <w:spacing w:after="120" w:before="40" w:line="276" w:lineRule="auto"/>
        <w:jc w:val="both"/>
      </w:pPr>
      <w:r>
        <w:rPr>
          <w:rFonts w:ascii="Calibri" w:hAnsi="Calibri"/>
          <w:color w:val="2D2D2D"/>
          <w:sz w:val="22"/>
        </w:rPr>
        <w:t>RailVision Analytics stands at an inflection point. The commercial fundamentals are strong: a validated product with documented fuel savings, a revenue model that eliminates customer risk, a $20M+ identified pipeline across named accounts, and strategic partnership opportunities with three global rail technology leaders.</w:t>
      </w:r>
    </w:p>
    <w:p>
      <w:pPr>
        <w:spacing w:after="120" w:before="40" w:line="276" w:lineRule="auto"/>
        <w:jc w:val="both"/>
      </w:pPr>
      <w:r>
        <w:rPr>
          <w:rFonts w:ascii="Calibri" w:hAnsi="Calibri"/>
          <w:color w:val="2D2D2D"/>
          <w:sz w:val="22"/>
        </w:rPr>
        <w:t xml:space="preserve">But none of that matters without </w:t>
      </w:r>
      <w:r>
        <w:rPr>
          <w:rFonts w:ascii="Calibri" w:hAnsi="Calibri"/>
          <w:b/>
          <w:color w:val="2D2D2D"/>
          <w:sz w:val="22"/>
        </w:rPr>
        <w:t>execution on the GWRR pilot.</w:t>
      </w:r>
      <w:r>
        <w:rPr>
          <w:rFonts w:ascii="Calibri" w:hAnsi="Calibri"/>
          <w:color w:val="2D2D2D"/>
          <w:sz w:val="22"/>
        </w:rPr>
        <w:t xml:space="preserve"> This single 90-day validation window is the gateway to everything: recurring revenue, Series A credibility, partnership leverage, and market leadership in a segment no competitor currently serves.</w:t>
      </w:r>
    </w:p>
    <w:p>
      <w:pPr>
        <w:spacing w:after="120" w:before="40" w:line="276" w:lineRule="auto"/>
        <w:jc w:val="both"/>
      </w:pPr>
      <w:r>
        <w:rPr>
          <w:rFonts w:ascii="Calibri" w:hAnsi="Calibri"/>
          <w:color w:val="2D2D2D"/>
          <w:sz w:val="22"/>
        </w:rPr>
        <w:t xml:space="preserve">The CCO and CSO are aligned: </w:t>
      </w:r>
      <w:r>
        <w:rPr>
          <w:rFonts w:ascii="Calibri" w:hAnsi="Calibri"/>
          <w:b/>
          <w:color w:val="2D2D2D"/>
          <w:sz w:val="22"/>
        </w:rPr>
        <w:t>the next 90 days define the next 3 years.</w:t>
      </w:r>
    </w:p>
    <w:p>
      <w:pPr>
        <w:spacing w:before="200" w:after="200"/>
        <w:jc w:val="center"/>
      </w:pPr>
      <w:r>
        <w:rPr>
          <w:color w:val="D0D5DD"/>
          <w:sz w:val="12"/>
        </w:rPr>
        <w:t>──────────────────────────────────────────────────────────────────────</w:t>
      </w:r>
    </w:p>
    <w:p>
      <w:pPr>
        <w:spacing w:after="120" w:before="40" w:line="276" w:lineRule="auto"/>
        <w:jc w:val="both"/>
      </w:pPr>
      <w:r>
        <w:rPr>
          <w:rFonts w:ascii="Calibri" w:hAnsi="Calibri"/>
          <w:b/>
          <w:color w:val="2D2D2D"/>
          <w:sz w:val="22"/>
        </w:rPr>
        <w:t>Document Classification:</w:t>
      </w:r>
      <w:r>
        <w:rPr>
          <w:rFonts w:ascii="Calibri" w:hAnsi="Calibri"/>
          <w:color w:val="2D2D2D"/>
          <w:sz w:val="22"/>
        </w:rPr>
        <w:t xml:space="preserve"> CONFIDENTIAL — Executive Leadership Only</w:t>
      </w:r>
    </w:p>
    <w:p>
      <w:pPr>
        <w:spacing w:after="120" w:before="40" w:line="276" w:lineRule="auto"/>
        <w:jc w:val="both"/>
      </w:pPr>
      <w:r>
        <w:rPr>
          <w:rFonts w:ascii="Calibri" w:hAnsi="Calibri"/>
          <w:b/>
          <w:color w:val="2D2D2D"/>
          <w:sz w:val="22"/>
        </w:rPr>
        <w:t>Prepared by:</w:t>
      </w:r>
      <w:r>
        <w:rPr>
          <w:rFonts w:ascii="Calibri" w:hAnsi="Calibri"/>
          <w:color w:val="2D2D2D"/>
          <w:sz w:val="22"/>
        </w:rPr>
        <w:t xml:space="preserve"> Mary, Chief Commercial Officer</w:t>
      </w:r>
    </w:p>
    <w:p>
      <w:pPr>
        <w:spacing w:after="120" w:before="40" w:line="276" w:lineRule="auto"/>
        <w:jc w:val="both"/>
      </w:pPr>
      <w:r>
        <w:rPr>
          <w:rFonts w:ascii="Calibri" w:hAnsi="Calibri"/>
          <w:b/>
          <w:color w:val="2D2D2D"/>
          <w:sz w:val="22"/>
        </w:rPr>
        <w:t>Synthesized by:</w:t>
      </w:r>
      <w:r>
        <w:rPr>
          <w:rFonts w:ascii="Calibri" w:hAnsi="Calibri"/>
          <w:color w:val="2D2D2D"/>
          <w:sz w:val="22"/>
        </w:rPr>
        <w:t xml:space="preserve"> Michael, Chief Strategy Officer</w:t>
      </w:r>
    </w:p>
    <w:p>
      <w:pPr>
        <w:spacing w:after="120" w:before="40" w:line="276" w:lineRule="auto"/>
        <w:jc w:val="both"/>
      </w:pPr>
      <w:r>
        <w:rPr>
          <w:rFonts w:ascii="Calibri" w:hAnsi="Calibri"/>
          <w:b/>
          <w:color w:val="2D2D2D"/>
          <w:sz w:val="22"/>
        </w:rPr>
        <w:t>Date:</w:t>
      </w:r>
      <w:r>
        <w:rPr>
          <w:rFonts w:ascii="Calibri" w:hAnsi="Calibri"/>
          <w:color w:val="2D2D2D"/>
          <w:sz w:val="22"/>
        </w:rPr>
        <w:t xml:space="preserve"> June 2025</w:t>
      </w:r>
    </w:p>
    <w:p>
      <w:pPr>
        <w:spacing w:after="120" w:before="40" w:line="276" w:lineRule="auto"/>
        <w:jc w:val="both"/>
      </w:pPr>
      <w:r>
        <w:rPr>
          <w:rFonts w:ascii="Calibri" w:hAnsi="Calibri"/>
          <w:b/>
          <w:color w:val="2D2D2D"/>
          <w:sz w:val="22"/>
        </w:rPr>
        <w:t>Next Review:</w:t>
      </w:r>
      <w:r>
        <w:rPr>
          <w:rFonts w:ascii="Calibri" w:hAnsi="Calibri"/>
          <w:color w:val="2D2D2D"/>
          <w:sz w:val="22"/>
        </w:rPr>
        <w:t xml:space="preserve"> Post-GWRR Pilot Day 45 Checkpoint</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07B"/>
        <w:sz w:val="16"/>
      </w:rPr>
      <w:t xml:space="preserve">Page </w:t>
    </w:r>
    <w:fldSimple w:instr=" PAGE \* MERGEFORMAT ">
      <w:r>
        <w:rPr>
          <w:sz w:val="16"/>
          <w:color w:val="6B707B"/>
          <w:rFonts w:ascii="Calibri" w:hAnsi="Calibri"/>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B707B"/>
        <w:sz w:val="16"/>
      </w:rPr>
      <w:t>RailVision Analytics — CCO Commercial Strategy Report FY2025–2026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86C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