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3A86C8"/>
          <w:sz w:val="28"/>
        </w:rPr>
        <w:t>━━━━━━━━━━━━━━━━━━━━━━━━━━━━━━━━━━━━━━━━</w:t>
      </w:r>
    </w:p>
    <w:p>
      <w:pPr>
        <w:spacing w:before="240" w:after="240"/>
        <w:jc w:val="center"/>
      </w:pPr>
      <w:r>
        <w:rPr>
          <w:rFonts w:ascii="Calibri" w:hAnsi="Calibri"/>
          <w:b/>
          <w:color w:val="1B2A4A"/>
          <w:sz w:val="56"/>
        </w:rPr>
        <w:t>RailVision Strategic Growth Plan</w:t>
      </w:r>
    </w:p>
    <w:p>
      <w:pPr>
        <w:jc w:val="center"/>
      </w:pPr>
      <w:r>
        <w:rPr>
          <w:color w:val="3A86C8"/>
          <w:sz w:val="28"/>
        </w:rPr>
        <w:t>━━━━━━━━━━━━━━━━━━━━━━━━━━━━━━━━━━━━━━━━</w:t>
      </w:r>
    </w:p>
    <w:p>
      <w:pPr>
        <w:spacing w:before="480"/>
        <w:jc w:val="center"/>
      </w:pPr>
      <w:r>
        <w:rPr>
          <w:rFonts w:ascii="Calibri" w:hAnsi="Calibri"/>
          <w:color w:val="6B707B"/>
          <w:sz w:val="24"/>
        </w:rPr>
        <w:t>April 04, 2026</w:t>
      </w:r>
    </w:p>
    <w:p>
      <w:pPr>
        <w:spacing w:before="960"/>
        <w:jc w:val="center"/>
      </w:pPr>
      <w:r>
        <w:rPr>
          <w:rFonts w:ascii="Calibri" w:hAnsi="Calibri"/>
          <w:i/>
          <w:color w:val="6B707B"/>
          <w:sz w:val="18"/>
        </w:rPr>
        <w:t>CONFIDENTIAL</w:t>
      </w:r>
    </w:p>
    <w:p>
      <w:r>
        <w:br w:type="page"/>
      </w:r>
    </w:p>
    <w:p>
      <w:pPr>
        <w:pStyle w:val="Heading1"/>
      </w:pPr>
      <w:r>
        <w:t>Table of Contents</w:t>
      </w:r>
    </w:p>
    <w:p/>
    <w:p>
      <w:pPr>
        <w:spacing w:after="80" w:before="40"/>
      </w:pPr>
      <w:r>
        <w:rPr>
          <w:rFonts w:ascii="Calibri" w:hAnsi="Calibri"/>
          <w:b/>
          <w:color w:val="3A86C8"/>
          <w:sz w:val="22"/>
        </w:rPr>
        <w:t xml:space="preserve">1.  </w:t>
      </w:r>
      <w:r>
        <w:rPr>
          <w:rFonts w:ascii="Calibri" w:hAnsi="Calibri"/>
          <w:color w:val="2D2D2D"/>
          <w:sz w:val="22"/>
        </w:rPr>
        <w:t>Executive Summary</w:t>
      </w:r>
    </w:p>
    <w:p>
      <w:pPr>
        <w:spacing w:after="80" w:before="40"/>
      </w:pPr>
      <w:r>
        <w:rPr>
          <w:rFonts w:ascii="Calibri" w:hAnsi="Calibri"/>
          <w:b/>
          <w:color w:val="3A86C8"/>
          <w:sz w:val="22"/>
        </w:rPr>
        <w:t xml:space="preserve">2.  </w:t>
      </w:r>
      <w:r>
        <w:rPr>
          <w:rFonts w:ascii="Calibri" w:hAnsi="Calibri"/>
          <w:color w:val="2D2D2D"/>
          <w:sz w:val="22"/>
        </w:rPr>
        <w:t>Situation Analysis</w:t>
      </w:r>
    </w:p>
    <w:p>
      <w:pPr>
        <w:spacing w:after="80" w:before="40"/>
      </w:pPr>
      <w:r>
        <w:rPr>
          <w:rFonts w:ascii="Calibri" w:hAnsi="Calibri"/>
          <w:b/>
          <w:color w:val="3A86C8"/>
          <w:sz w:val="22"/>
        </w:rPr>
        <w:t xml:space="preserve">3.  </w:t>
      </w:r>
      <w:r>
        <w:rPr>
          <w:rFonts w:ascii="Calibri" w:hAnsi="Calibri"/>
          <w:color w:val="2D2D2D"/>
          <w:sz w:val="22"/>
        </w:rPr>
        <w:t>Market Landscape</w:t>
      </w:r>
    </w:p>
    <w:p/>
    <w:p>
      <w:r>
        <w:br w:type="page"/>
      </w:r>
    </w:p>
    <w:p>
      <w:pPr>
        <w:pStyle w:val="Heading1"/>
      </w:pPr>
      <w:r>
        <w:t>Executive Summary</w:t>
      </w:r>
    </w:p>
    <w:p>
      <w:pPr>
        <w:spacing w:after="120" w:before="40" w:line="276" w:lineRule="auto"/>
        <w:jc w:val="both"/>
      </w:pPr>
      <w:r>
        <w:rPr>
          <w:rFonts w:ascii="Calibri" w:hAnsi="Calibri"/>
          <w:b/>
          <w:color w:val="2D2D2D"/>
          <w:sz w:val="22"/>
        </w:rPr>
        <w:t>RailVision is positioned to seize a significant market opportunity</w:t>
      </w:r>
      <w:r>
        <w:rPr>
          <w:rFonts w:ascii="Calibri" w:hAnsi="Calibri"/>
          <w:color w:val="2D2D2D"/>
          <w:sz w:val="22"/>
        </w:rPr>
        <w:t xml:space="preserve"> in predictive rail maintenance, targeting a 340% growth from our current $700M addressable market. This expansion is driven by three main forces: regulatory requirements for predictive safety systems, aging infrastructure needing $45B in upgrades, and our proprietary technology offering higher defect detection accuracy.</w:t>
      </w:r>
    </w:p>
    <w:p>
      <w:pPr>
        <w:spacing w:after="120" w:before="40" w:line="276" w:lineRule="auto"/>
        <w:jc w:val="both"/>
      </w:pPr>
      <w:r>
        <w:rPr>
          <w:rFonts w:ascii="Calibri" w:hAnsi="Calibri"/>
          <w:color w:val="2D2D2D"/>
          <w:sz w:val="22"/>
        </w:rPr>
        <w:t>Our strategy outlines a phased growth approach focusing on geographic expansion, product development, and strategic partnerships. The primary recommendation is to secure the Union Pacific pilot contract by Q2 2025, unlocking a large follow-on pipeline.</w:t>
      </w:r>
    </w:p>
    <w:p>
      <w:pPr>
        <w:pStyle w:val="Heading2"/>
      </w:pPr>
      <w:r>
        <w:t>Key Metrics at a Glance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Metric</w:t>
            </w:r>
          </w:p>
        </w:tc>
        <w:tc>
          <w:tcPr>
            <w:tcW w:type="dxa" w:w="2340"/>
            <w:shd w:fill="1B2A4A" w:val="clear"/>
          </w:tcPr>
          <w:p>
            <w:pPr>
              <w:spacing w:before="60" w:after="60"/>
              <w:jc w:val="left"/>
            </w:pPr>
            <w:r/>
            <w:r>
              <w:rPr>
                <w:rFonts w:ascii="Calibri" w:hAnsi="Calibri"/>
                <w:b/>
                <w:color w:val="FFFFFF"/>
                <w:sz w:val="20"/>
              </w:rPr>
              <w:t>2024 Actual</w:t>
            </w:r>
          </w:p>
        </w:tc>
        <w:tc>
          <w:tcPr>
            <w:tcW w:type="dxa" w:w="2340"/>
            <w:shd w:fill="1B2A4A" w:val="clear"/>
          </w:tcPr>
          <w:p>
            <w:pPr>
              <w:spacing w:before="60" w:after="60"/>
              <w:jc w:val="left"/>
            </w:pPr>
            <w:r/>
            <w:r>
              <w:rPr>
                <w:rFonts w:ascii="Calibri" w:hAnsi="Calibri"/>
                <w:b/>
                <w:color w:val="FFFFFF"/>
                <w:sz w:val="20"/>
              </w:rPr>
              <w:t>2025 Target</w:t>
            </w:r>
          </w:p>
        </w:tc>
        <w:tc>
          <w:tcPr>
            <w:tcW w:type="dxa" w:w="2340"/>
            <w:shd w:fill="1B2A4A" w:val="clear"/>
          </w:tcPr>
          <w:p>
            <w:pPr>
              <w:spacing w:before="60" w:after="60"/>
              <w:jc w:val="left"/>
            </w:pPr>
            <w:r/>
            <w:r>
              <w:rPr>
                <w:rFonts w:ascii="Calibri" w:hAnsi="Calibri"/>
                <w:b/>
                <w:color w:val="FFFFFF"/>
                <w:sz w:val="20"/>
              </w:rPr>
              <w:t>2027 Target</w:t>
            </w:r>
          </w:p>
        </w:tc>
      </w:tr>
      <w:tr>
        <w:tc>
          <w:tcPr>
            <w:tcW w:type="dxa" w:w="2340"/>
          </w:tcPr>
          <w:p>
            <w:pPr>
              <w:spacing w:before="60" w:after="60"/>
              <w:jc w:val="left"/>
            </w:pPr>
            <w:r/>
            <w:r>
              <w:rPr>
                <w:rFonts w:ascii="Calibri" w:hAnsi="Calibri"/>
                <w:color w:val="2D2D2D"/>
                <w:sz w:val="20"/>
              </w:rPr>
              <w:t>Annual Revenue</w:t>
            </w:r>
          </w:p>
        </w:tc>
        <w:tc>
          <w:tcPr>
            <w:tcW w:type="dxa" w:w="2340"/>
          </w:tcPr>
          <w:p>
            <w:pPr>
              <w:spacing w:before="60" w:after="60"/>
              <w:jc w:val="left"/>
            </w:pPr>
            <w:r/>
            <w:r>
              <w:rPr>
                <w:rFonts w:ascii="Calibri" w:hAnsi="Calibri"/>
                <w:color w:val="2D2D2D"/>
                <w:sz w:val="20"/>
              </w:rPr>
              <w:t>$180M</w:t>
            </w:r>
          </w:p>
        </w:tc>
        <w:tc>
          <w:tcPr>
            <w:tcW w:type="dxa" w:w="2340"/>
          </w:tcPr>
          <w:p>
            <w:pPr>
              <w:spacing w:before="60" w:after="60"/>
              <w:jc w:val="left"/>
            </w:pPr>
            <w:r/>
            <w:r>
              <w:rPr>
                <w:rFonts w:ascii="Calibri" w:hAnsi="Calibri"/>
                <w:color w:val="2D2D2D"/>
                <w:sz w:val="20"/>
              </w:rPr>
              <w:t>$285M</w:t>
            </w:r>
          </w:p>
        </w:tc>
        <w:tc>
          <w:tcPr>
            <w:tcW w:type="dxa" w:w="2340"/>
          </w:tcPr>
          <w:p>
            <w:pPr>
              <w:spacing w:before="60" w:after="60"/>
              <w:jc w:val="left"/>
            </w:pPr>
            <w:r/>
            <w:r>
              <w:rPr>
                <w:rFonts w:ascii="Calibri" w:hAnsi="Calibri"/>
                <w:color w:val="2D2D2D"/>
                <w:sz w:val="20"/>
              </w:rPr>
              <w:t>$520M</w:t>
            </w:r>
          </w:p>
        </w:tc>
      </w:tr>
      <w:tr>
        <w:tc>
          <w:tcPr>
            <w:tcW w:type="dxa" w:w="2340"/>
            <w:shd w:fill="F0F4F8" w:val="clear"/>
          </w:tcPr>
          <w:p>
            <w:pPr>
              <w:spacing w:before="60" w:after="60"/>
              <w:jc w:val="left"/>
            </w:pPr>
            <w:r/>
            <w:r>
              <w:rPr>
                <w:rFonts w:ascii="Calibri" w:hAnsi="Calibri"/>
                <w:color w:val="2D2D2D"/>
                <w:sz w:val="20"/>
              </w:rPr>
              <w:t>Gross Margin</w:t>
            </w:r>
          </w:p>
        </w:tc>
        <w:tc>
          <w:tcPr>
            <w:tcW w:type="dxa" w:w="2340"/>
            <w:shd w:fill="F0F4F8" w:val="clear"/>
          </w:tcPr>
          <w:p>
            <w:pPr>
              <w:spacing w:before="60" w:after="60"/>
              <w:jc w:val="left"/>
            </w:pPr>
            <w:r/>
            <w:r>
              <w:rPr>
                <w:rFonts w:ascii="Calibri" w:hAnsi="Calibri"/>
                <w:color w:val="2D2D2D"/>
                <w:sz w:val="20"/>
              </w:rPr>
              <w:t>58%</w:t>
            </w:r>
          </w:p>
        </w:tc>
        <w:tc>
          <w:tcPr>
            <w:tcW w:type="dxa" w:w="2340"/>
            <w:shd w:fill="F0F4F8" w:val="clear"/>
          </w:tcPr>
          <w:p>
            <w:pPr>
              <w:spacing w:before="60" w:after="60"/>
              <w:jc w:val="left"/>
            </w:pPr>
            <w:r/>
            <w:r>
              <w:rPr>
                <w:rFonts w:ascii="Calibri" w:hAnsi="Calibri"/>
                <w:color w:val="2D2D2D"/>
                <w:sz w:val="20"/>
              </w:rPr>
              <w:t>61%</w:t>
            </w:r>
          </w:p>
        </w:tc>
        <w:tc>
          <w:tcPr>
            <w:tcW w:type="dxa" w:w="2340"/>
            <w:shd w:fill="F0F4F8" w:val="clear"/>
          </w:tcPr>
          <w:p>
            <w:pPr>
              <w:spacing w:before="60" w:after="60"/>
              <w:jc w:val="left"/>
            </w:pPr>
            <w:r/>
            <w:r>
              <w:rPr>
                <w:rFonts w:ascii="Calibri" w:hAnsi="Calibri"/>
                <w:color w:val="2D2D2D"/>
                <w:sz w:val="20"/>
              </w:rPr>
              <w:t>65%</w:t>
            </w:r>
          </w:p>
        </w:tc>
      </w:tr>
      <w:tr>
        <w:tc>
          <w:tcPr>
            <w:tcW w:type="dxa" w:w="2340"/>
          </w:tcPr>
          <w:p>
            <w:pPr>
              <w:spacing w:before="60" w:after="60"/>
              <w:jc w:val="left"/>
            </w:pPr>
            <w:r/>
            <w:r>
              <w:rPr>
                <w:rFonts w:ascii="Calibri" w:hAnsi="Calibri"/>
                <w:color w:val="2D2D2D"/>
                <w:sz w:val="20"/>
              </w:rPr>
              <w:t>Customer Count</w:t>
            </w:r>
          </w:p>
        </w:tc>
        <w:tc>
          <w:tcPr>
            <w:tcW w:type="dxa" w:w="2340"/>
          </w:tcPr>
          <w:p>
            <w:pPr>
              <w:spacing w:before="60" w:after="60"/>
              <w:jc w:val="left"/>
            </w:pPr>
            <w:r/>
            <w:r>
              <w:rPr>
                <w:rFonts w:ascii="Calibri" w:hAnsi="Calibri"/>
                <w:color w:val="2D2D2D"/>
                <w:sz w:val="20"/>
              </w:rPr>
              <w:t>34</w:t>
            </w:r>
          </w:p>
        </w:tc>
        <w:tc>
          <w:tcPr>
            <w:tcW w:type="dxa" w:w="2340"/>
          </w:tcPr>
          <w:p>
            <w:pPr>
              <w:spacing w:before="60" w:after="60"/>
              <w:jc w:val="left"/>
            </w:pPr>
            <w:r/>
            <w:r>
              <w:rPr>
                <w:rFonts w:ascii="Calibri" w:hAnsi="Calibri"/>
                <w:color w:val="2D2D2D"/>
                <w:sz w:val="20"/>
              </w:rPr>
              <w:t>52</w:t>
            </w:r>
          </w:p>
        </w:tc>
        <w:tc>
          <w:tcPr>
            <w:tcW w:type="dxa" w:w="2340"/>
          </w:tcPr>
          <w:p>
            <w:pPr>
              <w:spacing w:before="60" w:after="60"/>
              <w:jc w:val="left"/>
            </w:pPr>
            <w:r/>
            <w:r>
              <w:rPr>
                <w:rFonts w:ascii="Calibri" w:hAnsi="Calibri"/>
                <w:color w:val="2D2D2D"/>
                <w:sz w:val="20"/>
              </w:rPr>
              <w:t>95</w:t>
            </w:r>
          </w:p>
        </w:tc>
      </w:tr>
      <w:tr>
        <w:tc>
          <w:tcPr>
            <w:tcW w:type="dxa" w:w="2340"/>
            <w:shd w:fill="F0F4F8" w:val="clear"/>
          </w:tcPr>
          <w:p>
            <w:pPr>
              <w:spacing w:before="60" w:after="60"/>
              <w:jc w:val="left"/>
            </w:pPr>
            <w:r/>
            <w:r>
              <w:rPr>
                <w:rFonts w:ascii="Calibri" w:hAnsi="Calibri"/>
                <w:color w:val="2D2D2D"/>
                <w:sz w:val="20"/>
              </w:rPr>
              <w:t>NRR</w:t>
            </w:r>
          </w:p>
        </w:tc>
        <w:tc>
          <w:tcPr>
            <w:tcW w:type="dxa" w:w="2340"/>
            <w:shd w:fill="F0F4F8" w:val="clear"/>
          </w:tcPr>
          <w:p>
            <w:pPr>
              <w:spacing w:before="60" w:after="60"/>
              <w:jc w:val="left"/>
            </w:pPr>
            <w:r/>
            <w:r>
              <w:rPr>
                <w:rFonts w:ascii="Calibri" w:hAnsi="Calibri"/>
                <w:color w:val="2D2D2D"/>
                <w:sz w:val="20"/>
              </w:rPr>
              <w:t>112%</w:t>
            </w:r>
          </w:p>
        </w:tc>
        <w:tc>
          <w:tcPr>
            <w:tcW w:type="dxa" w:w="2340"/>
            <w:shd w:fill="F0F4F8" w:val="clear"/>
          </w:tcPr>
          <w:p>
            <w:pPr>
              <w:spacing w:before="60" w:after="60"/>
              <w:jc w:val="left"/>
            </w:pPr>
            <w:r/>
            <w:r>
              <w:rPr>
                <w:rFonts w:ascii="Calibri" w:hAnsi="Calibri"/>
                <w:color w:val="2D2D2D"/>
                <w:sz w:val="20"/>
              </w:rPr>
              <w:t>118%</w:t>
            </w:r>
          </w:p>
        </w:tc>
        <w:tc>
          <w:tcPr>
            <w:tcW w:type="dxa" w:w="2340"/>
            <w:shd w:fill="F0F4F8" w:val="clear"/>
          </w:tcPr>
          <w:p>
            <w:pPr>
              <w:spacing w:before="60" w:after="60"/>
              <w:jc w:val="left"/>
            </w:pPr>
            <w:r/>
            <w:r>
              <w:rPr>
                <w:rFonts w:ascii="Calibri" w:hAnsi="Calibri"/>
                <w:color w:val="2D2D2D"/>
                <w:sz w:val="20"/>
              </w:rPr>
              <w:t>125%</w:t>
            </w:r>
          </w:p>
        </w:tc>
      </w:tr>
    </w:tbl>
    <w:p/>
    <w:p>
      <w:pPr>
        <w:spacing w:before="160" w:after="160"/>
        <w:jc w:val="center"/>
      </w:pPr>
      <w:r>
        <w:rPr>
          <w:color w:val="D0D5DD"/>
          <w:sz w:val="16"/>
        </w:rPr>
        <w:t>────────────────────────────────────────────────────────────</w:t>
      </w:r>
    </w:p>
    <w:p>
      <w:pPr>
        <w:pStyle w:val="Heading1"/>
      </w:pPr>
      <w:r>
        <w:t>Situation Analysis</w:t>
      </w:r>
    </w:p>
    <w:p>
      <w:pPr>
        <w:spacing w:after="120" w:before="40" w:line="276" w:lineRule="auto"/>
        <w:jc w:val="both"/>
      </w:pPr>
      <w:r>
        <w:rPr>
          <w:rFonts w:ascii="Calibri" w:hAnsi="Calibri"/>
          <w:b/>
          <w:color w:val="2D2D2D"/>
          <w:sz w:val="22"/>
        </w:rPr>
        <w:t>Current Market Position</w:t>
      </w:r>
      <w:r>
        <w:rPr>
          <w:rFonts w:ascii="Calibri" w:hAnsi="Calibri"/>
          <w:color w:val="2D2D2D"/>
          <w:sz w:val="22"/>
        </w:rPr>
        <w:t>: RailVision stands as a pivotal player in the shortline railroad sector, targeting untapped segments where technology adoption remains low but potential returns are high. The primary challenge lies in accelerating deployment cycles and gaining customer trust.</w:t>
      </w:r>
    </w:p>
    <w:p>
      <w:pPr>
        <w:pStyle w:val="Heading3"/>
      </w:pPr>
      <w:r>
        <w:t>Market Dynamics</w:t>
      </w:r>
    </w:p>
    <w:p>
      <w:pPr>
        <w:pStyle w:val="ListBullet"/>
        <w:spacing w:after="40" w:before="20"/>
      </w:pPr>
      <w:r>
        <w:rPr>
          <w:rFonts w:ascii="Calibri" w:hAnsi="Calibri"/>
          <w:b/>
          <w:color w:val="2D2D2D"/>
          <w:sz w:val="22"/>
        </w:rPr>
        <w:t>Regulatory Push</w:t>
      </w:r>
      <w:r>
        <w:rPr>
          <w:rFonts w:ascii="Calibri" w:hAnsi="Calibri"/>
          <w:color w:val="2D2D2D"/>
          <w:sz w:val="22"/>
        </w:rPr>
        <w:t>: Recent mandates are urging rail companies to adopt predictive technologies, propelling demand for our solutions.</w:t>
      </w:r>
    </w:p>
    <w:p>
      <w:pPr>
        <w:pStyle w:val="ListBullet"/>
        <w:spacing w:after="40" w:before="20"/>
      </w:pPr>
      <w:r>
        <w:rPr>
          <w:rFonts w:ascii="Calibri" w:hAnsi="Calibri"/>
          <w:b/>
          <w:color w:val="2D2D2D"/>
          <w:sz w:val="22"/>
        </w:rPr>
        <w:t>Technological Edge</w:t>
      </w:r>
      <w:r>
        <w:rPr>
          <w:rFonts w:ascii="Calibri" w:hAnsi="Calibri"/>
          <w:color w:val="2D2D2D"/>
          <w:sz w:val="22"/>
        </w:rPr>
        <w:t>: RailVision's AI-driven platform provides actionable insights, akin to a "Google Maps" for railroads, helping reduce operational costs significantly.</w:t>
      </w:r>
    </w:p>
    <w:p>
      <w:pPr>
        <w:spacing w:after="120" w:before="40" w:line="276" w:lineRule="auto"/>
        <w:jc w:val="both"/>
      </w:pPr>
      <w:r>
        <w:rPr>
          <w:rFonts w:ascii="Calibri" w:hAnsi="Calibri"/>
          <w:b/>
          <w:color w:val="2D2D2D"/>
          <w:sz w:val="22"/>
        </w:rPr>
        <w:t>Financial Health</w:t>
      </w:r>
      <w:r>
        <w:rPr>
          <w:rFonts w:ascii="Calibri" w:hAnsi="Calibri"/>
          <w:color w:val="2D2D2D"/>
          <w:sz w:val="22"/>
        </w:rPr>
        <w:t>: Key insights into cash flow and strategic funding allocation are crucial. Coordination with the CFO is needed to confirm real-time financial figures, including our cash reserves and monthly burn rate.</w:t>
      </w:r>
    </w:p>
    <w:p>
      <w:pPr>
        <w:spacing w:before="160" w:after="160"/>
        <w:jc w:val="center"/>
      </w:pPr>
      <w:r>
        <w:rPr>
          <w:color w:val="D0D5DD"/>
          <w:sz w:val="16"/>
        </w:rPr>
        <w:t>────────────────────────────────────────────────────────────</w:t>
      </w:r>
    </w:p>
    <w:p>
      <w:pPr>
        <w:pStyle w:val="Heading1"/>
      </w:pPr>
      <w:r>
        <w:t>Market Landscape</w:t>
      </w:r>
    </w:p>
    <w:p>
      <w:pPr>
        <w:spacing w:after="120" w:before="40" w:line="276" w:lineRule="auto"/>
        <w:jc w:val="both"/>
      </w:pPr>
      <w:r>
        <w:rPr>
          <w:rFonts w:ascii="Calibri" w:hAnsi="Calibri"/>
          <w:color w:val="2D2D2D"/>
          <w:sz w:val="22"/>
        </w:rPr>
        <w:t xml:space="preserve">The market for predictive rail technology is undergoing a </w:t>
      </w:r>
      <w:r>
        <w:rPr>
          <w:rFonts w:ascii="Calibri" w:hAnsi="Calibri"/>
          <w:b/>
          <w:color w:val="2D2D2D"/>
          <w:sz w:val="22"/>
        </w:rPr>
        <w:t>significant transformation</w:t>
      </w:r>
      <w:r>
        <w:rPr>
          <w:rFonts w:ascii="Calibri" w:hAnsi="Calibri"/>
          <w:color w:val="2D2D2D"/>
          <w:sz w:val="22"/>
        </w:rPr>
        <w:t xml:space="preserve"> with the shift from traditional methods to advanced sensor-based systems.</w:t>
      </w:r>
    </w:p>
    <w:p>
      <w:pPr>
        <w:pStyle w:val="Heading2"/>
      </w:pPr>
      <w:r>
        <w:t>Competitive Analysis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Competitor</w:t>
            </w:r>
          </w:p>
        </w:tc>
        <w:tc>
          <w:tcPr>
            <w:tcW w:type="dxa" w:w="2340"/>
            <w:shd w:fill="1B2A4A" w:val="clear"/>
          </w:tcPr>
          <w:p>
            <w:pPr>
              <w:spacing w:before="60" w:after="60"/>
              <w:jc w:val="left"/>
            </w:pPr>
            <w:r/>
            <w:r>
              <w:rPr>
                <w:rFonts w:ascii="Calibri" w:hAnsi="Calibri"/>
                <w:b/>
                <w:color w:val="FFFFFF"/>
                <w:sz w:val="20"/>
              </w:rPr>
              <w:t>Market Share</w:t>
            </w:r>
          </w:p>
        </w:tc>
        <w:tc>
          <w:tcPr>
            <w:tcW w:type="dxa" w:w="2340"/>
            <w:shd w:fill="1B2A4A" w:val="clear"/>
          </w:tcPr>
          <w:p>
            <w:pPr>
              <w:spacing w:before="60" w:after="60"/>
              <w:jc w:val="left"/>
            </w:pPr>
            <w:r/>
            <w:r>
              <w:rPr>
                <w:rFonts w:ascii="Calibri" w:hAnsi="Calibri"/>
                <w:b/>
                <w:color w:val="FFFFFF"/>
                <w:sz w:val="20"/>
              </w:rPr>
              <w:t>Strengths</w:t>
            </w:r>
          </w:p>
        </w:tc>
        <w:tc>
          <w:tcPr>
            <w:tcW w:type="dxa" w:w="2340"/>
            <w:shd w:fill="1B2A4A" w:val="clear"/>
          </w:tcPr>
          <w:p>
            <w:pPr>
              <w:spacing w:before="60" w:after="60"/>
              <w:jc w:val="left"/>
            </w:pPr>
            <w:r/>
            <w:r>
              <w:rPr>
                <w:rFonts w:ascii="Calibri" w:hAnsi="Calibri"/>
                <w:b/>
                <w:color w:val="FFFFFF"/>
                <w:sz w:val="20"/>
              </w:rPr>
              <w:t>Vulnerabilities</w:t>
            </w:r>
          </w:p>
        </w:tc>
      </w:tr>
      <w:tr>
        <w:tc>
          <w:tcPr>
            <w:tcW w:type="dxa" w:w="2340"/>
          </w:tcPr>
          <w:p>
            <w:pPr>
              <w:spacing w:before="60" w:after="60"/>
              <w:jc w:val="left"/>
            </w:pPr>
            <w:r/>
            <w:r>
              <w:rPr>
                <w:rFonts w:ascii="Calibri" w:hAnsi="Calibri"/>
                <w:color w:val="2D2D2D"/>
                <w:sz w:val="20"/>
              </w:rPr>
              <w:t>Wabtec</w:t>
            </w:r>
          </w:p>
        </w:tc>
        <w:tc>
          <w:tcPr>
            <w:tcW w:type="dxa" w:w="2340"/>
          </w:tcPr>
          <w:p>
            <w:pPr>
              <w:spacing w:before="60" w:after="60"/>
              <w:jc w:val="left"/>
            </w:pPr>
            <w:r/>
            <w:r>
              <w:rPr>
                <w:rFonts w:ascii="Calibri" w:hAnsi="Calibri"/>
                <w:color w:val="2D2D2D"/>
                <w:sz w:val="20"/>
              </w:rPr>
              <w:t>22%</w:t>
            </w:r>
          </w:p>
        </w:tc>
        <w:tc>
          <w:tcPr>
            <w:tcW w:type="dxa" w:w="2340"/>
          </w:tcPr>
          <w:p>
            <w:pPr>
              <w:spacing w:before="60" w:after="60"/>
              <w:jc w:val="left"/>
            </w:pPr>
            <w:r/>
            <w:r>
              <w:rPr>
                <w:rFonts w:ascii="Calibri" w:hAnsi="Calibri"/>
                <w:color w:val="2D2D2D"/>
                <w:sz w:val="20"/>
              </w:rPr>
              <w:t>Established customer base</w:t>
            </w:r>
          </w:p>
        </w:tc>
        <w:tc>
          <w:tcPr>
            <w:tcW w:type="dxa" w:w="2340"/>
          </w:tcPr>
          <w:p>
            <w:pPr>
              <w:spacing w:before="60" w:after="60"/>
              <w:jc w:val="left"/>
            </w:pPr>
            <w:r/>
            <w:r>
              <w:rPr>
                <w:rFonts w:ascii="Calibri" w:hAnsi="Calibri"/>
                <w:color w:val="2D2D2D"/>
                <w:sz w:val="20"/>
              </w:rPr>
              <w:t>Slow tech adoption</w:t>
            </w:r>
          </w:p>
        </w:tc>
      </w:tr>
      <w:tr>
        <w:tc>
          <w:tcPr>
            <w:tcW w:type="dxa" w:w="2340"/>
            <w:shd w:fill="F0F4F8" w:val="clear"/>
          </w:tcPr>
          <w:p>
            <w:pPr>
              <w:spacing w:before="60" w:after="60"/>
              <w:jc w:val="left"/>
            </w:pPr>
            <w:r/>
            <w:r>
              <w:rPr>
                <w:rFonts w:ascii="Calibri" w:hAnsi="Calibri"/>
                <w:color w:val="2D2D2D"/>
                <w:sz w:val="20"/>
              </w:rPr>
              <w:t>Hitachi Rail</w:t>
            </w:r>
          </w:p>
        </w:tc>
        <w:tc>
          <w:tcPr>
            <w:tcW w:type="dxa" w:w="2340"/>
            <w:shd w:fill="F0F4F8" w:val="clear"/>
          </w:tcPr>
          <w:p>
            <w:pPr>
              <w:spacing w:before="60" w:after="60"/>
              <w:jc w:val="left"/>
            </w:pPr>
            <w:r/>
            <w:r>
              <w:rPr>
                <w:rFonts w:ascii="Calibri" w:hAnsi="Calibri"/>
                <w:color w:val="2D2D2D"/>
                <w:sz w:val="20"/>
              </w:rPr>
              <w:t>15%</w:t>
            </w:r>
          </w:p>
        </w:tc>
        <w:tc>
          <w:tcPr>
            <w:tcW w:type="dxa" w:w="2340"/>
            <w:shd w:fill="F0F4F8" w:val="clear"/>
          </w:tcPr>
          <w:p>
            <w:pPr>
              <w:spacing w:before="60" w:after="60"/>
              <w:jc w:val="left"/>
            </w:pPr>
            <w:r/>
            <w:r>
              <w:rPr>
                <w:rFonts w:ascii="Calibri" w:hAnsi="Calibri"/>
                <w:color w:val="2D2D2D"/>
                <w:sz w:val="20"/>
              </w:rPr>
              <w:t>Strong innovation</w:t>
            </w:r>
          </w:p>
        </w:tc>
        <w:tc>
          <w:tcPr>
            <w:tcW w:type="dxa" w:w="2340"/>
            <w:shd w:fill="F0F4F8" w:val="clear"/>
          </w:tcPr>
          <w:p>
            <w:pPr>
              <w:spacing w:before="60" w:after="60"/>
              <w:jc w:val="left"/>
            </w:pPr>
            <w:r/>
            <w:r>
              <w:rPr>
                <w:rFonts w:ascii="Calibri" w:hAnsi="Calibri"/>
                <w:color w:val="2D2D2D"/>
                <w:sz w:val="20"/>
              </w:rPr>
              <w:t>North America is limited</w:t>
            </w:r>
          </w:p>
        </w:tc>
      </w:tr>
      <w:tr>
        <w:tc>
          <w:tcPr>
            <w:tcW w:type="dxa" w:w="2340"/>
          </w:tcPr>
          <w:p>
            <w:pPr>
              <w:spacing w:before="60" w:after="60"/>
              <w:jc w:val="left"/>
            </w:pPr>
            <w:r/>
            <w:r>
              <w:rPr>
                <w:rFonts w:ascii="Calibri" w:hAnsi="Calibri"/>
                <w:color w:val="2D2D2D"/>
                <w:sz w:val="20"/>
              </w:rPr>
              <w:t>Siemens</w:t>
            </w:r>
          </w:p>
        </w:tc>
        <w:tc>
          <w:tcPr>
            <w:tcW w:type="dxa" w:w="2340"/>
          </w:tcPr>
          <w:p>
            <w:pPr>
              <w:spacing w:before="60" w:after="60"/>
              <w:jc w:val="left"/>
            </w:pPr>
            <w:r/>
            <w:r>
              <w:rPr>
                <w:rFonts w:ascii="Calibri" w:hAnsi="Calibri"/>
                <w:color w:val="2D2D2D"/>
                <w:sz w:val="20"/>
              </w:rPr>
              <w:t>10%</w:t>
            </w:r>
          </w:p>
        </w:tc>
        <w:tc>
          <w:tcPr>
            <w:tcW w:type="dxa" w:w="2340"/>
          </w:tcPr>
          <w:p>
            <w:pPr>
              <w:spacing w:before="60" w:after="60"/>
              <w:jc w:val="left"/>
            </w:pPr>
            <w:r/>
            <w:r>
              <w:rPr>
                <w:rFonts w:ascii="Calibri" w:hAnsi="Calibri"/>
                <w:color w:val="2D2D2D"/>
                <w:sz w:val="20"/>
              </w:rPr>
              <w:t>Efficient systems</w:t>
            </w:r>
          </w:p>
        </w:tc>
        <w:tc>
          <w:tcPr>
            <w:tcW w:type="dxa" w:w="2340"/>
          </w:tcPr>
          <w:p>
            <w:pPr>
              <w:spacing w:before="60" w:after="60"/>
              <w:jc w:val="left"/>
            </w:pPr>
            <w:r/>
            <w:r>
              <w:rPr>
                <w:rFonts w:ascii="Calibri" w:hAnsi="Calibri"/>
                <w:color w:val="2D2D2D"/>
                <w:sz w:val="20"/>
              </w:rPr>
              <w:t>Market loyalty challenges</w:t>
            </w:r>
          </w:p>
        </w:tc>
      </w:tr>
      <w:tr>
        <w:tc>
          <w:tcPr>
            <w:tcW w:type="dxa" w:w="2340"/>
            <w:shd w:fill="F0F4F8" w:val="clear"/>
          </w:tcPr>
          <w:p>
            <w:pPr>
              <w:spacing w:before="60" w:after="60"/>
              <w:jc w:val="left"/>
            </w:pPr>
            <w:r/>
            <w:r>
              <w:rPr>
                <w:rFonts w:ascii="Calibri" w:hAnsi="Calibri"/>
                <w:color w:val="2D2D2D"/>
                <w:sz w:val="20"/>
              </w:rPr>
              <w:t>RailVision</w:t>
            </w:r>
          </w:p>
        </w:tc>
        <w:tc>
          <w:tcPr>
            <w:tcW w:type="dxa" w:w="2340"/>
            <w:shd w:fill="F0F4F8" w:val="clear"/>
          </w:tcPr>
          <w:p>
            <w:pPr>
              <w:spacing w:before="60" w:after="60"/>
              <w:jc w:val="left"/>
            </w:pPr>
            <w:r/>
            <w:r>
              <w:rPr>
                <w:rFonts w:ascii="Calibri" w:hAnsi="Calibri"/>
                <w:color w:val="2D2D2D"/>
                <w:sz w:val="20"/>
              </w:rPr>
              <w:t>7%</w:t>
            </w:r>
          </w:p>
        </w:tc>
        <w:tc>
          <w:tcPr>
            <w:tcW w:type="dxa" w:w="2340"/>
            <w:shd w:fill="F0F4F8" w:val="clear"/>
          </w:tcPr>
          <w:p>
            <w:pPr>
              <w:spacing w:before="60" w:after="60"/>
              <w:jc w:val="left"/>
            </w:pPr>
            <w:r/>
            <w:r>
              <w:rPr>
                <w:rFonts w:ascii="Calibri" w:hAnsi="Calibri"/>
                <w:color w:val="2D2D2D"/>
                <w:sz w:val="20"/>
              </w:rPr>
              <w:t>Rapid deployment</w:t>
            </w:r>
          </w:p>
        </w:tc>
        <w:tc>
          <w:tcPr>
            <w:tcW w:type="dxa" w:w="2340"/>
            <w:shd w:fill="F0F4F8" w:val="clear"/>
          </w:tcPr>
          <w:p>
            <w:pPr>
              <w:spacing w:before="60" w:after="60"/>
              <w:jc w:val="left"/>
            </w:pPr>
            <w:r/>
            <w:r>
              <w:rPr>
                <w:rFonts w:ascii="Calibri" w:hAnsi="Calibri"/>
                <w:color w:val="2D2D2D"/>
                <w:sz w:val="20"/>
              </w:rPr>
              <w:t>New market entrant challenges</w:t>
            </w:r>
          </w:p>
        </w:tc>
      </w:tr>
    </w:tbl>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07B"/>
        <w:sz w:val="16"/>
      </w:rPr>
      <w:t xml:space="preserve">Page </w:t>
    </w:r>
    <w:fldSimple w:instr=" PAGE \* MERGEFORMAT ">
      <w:r>
        <w:rPr>
          <w:sz w:val="16"/>
          <w:color w:val="6B707B"/>
          <w:rFonts w:ascii="Calibri" w:hAnsi="Calibri"/>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B707B"/>
        <w:sz w:val="16"/>
      </w:rPr>
      <w:t>RailVision Strategic Growth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A86C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