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ALSTOM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Alstom's digital mobility platform (Mastria) focuses on passenger rail and European freight—minimal penetration in North American shortlines</w:t>
      </w:r>
    </w:p>
    <w:p>
      <w:pPr>
        <w:pStyle w:val="ListParagraph"/>
        <w:numPr>
          <w:ilvl w:val="0"/>
          <w:numId w:val="2"/>
        </w:numPr>
      </w:pPr>
      <w:r>
        <w:t xml:space="preserve">RailVision provides Alstom instant entry into $9.2M North American shortline market with proven technology and customer relationships</w:t>
      </w:r>
    </w:p>
    <w:p>
      <w:pPr>
        <w:pStyle w:val="ListParagraph"/>
        <w:numPr>
          <w:ilvl w:val="0"/>
          <w:numId w:val="2"/>
        </w:numPr>
      </w:pPr>
      <w:r>
        <w:t xml:space="preserve">Combined offering: Alstom's signaling/automation expertise + RailVision's operational AI creates complete autonomous rail solution</w:t>
      </w:r>
    </w:p>
    <w:p>
      <w:pPr>
        <w:pStyle w:val="ListParagraph"/>
        <w:numPr>
          <w:ilvl w:val="0"/>
          <w:numId w:val="2"/>
        </w:numPr>
      </w:pPr>
      <w:r>
        <w:t xml:space="preserve">Strategic positioning for Alstom to compete against Wabtec in North American freight while building autonomous operations capability</w:t>
      </w:r>
    </w:p>
    <w:p>
      <w:pPr>
        <w:spacing w:before="240"/>
      </w:pPr>
    </w:p>
    <w:p>
      <w:pPr>
        <w:pStyle w:val="Heading2"/>
      </w:pPr>
      <w:r>
        <w:t xml:space="preserve">Value-Add to Alstom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North American Freight Entry: </w:t>
      </w:r>
      <w:r>
        <w:t xml:space="preserve">Acquire proven technology and customer relationships in market where Alstom currently has limited presence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Autonomous Rail Foundation: </w:t>
      </w:r>
      <w:r>
        <w:t xml:space="preserve">RailVision's AI-powered navigation system provides building blocks for Alstom's autonomous train ambitions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Competitive Differentiation: </w:t>
      </w:r>
      <w:r>
        <w:t xml:space="preserve">Unique software-first approach vs. Wabtec's hardware-heavy Trip Optimizer positions Alstom for next-generation rail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 Services Growth: </w:t>
      </w:r>
      <w:r>
        <w:t xml:space="preserve">30% gainshare model creates recurring revenue aligned with Alstom's strategic shift toward digital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Sustainability Leadership: </w:t>
      </w:r>
      <w:r>
        <w:t xml:space="preserve">8% fuel reduction directly supports Alstom's carbon reduction commitments and green rail positioning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Scale: </w:t>
      </w:r>
      <w:r>
        <w:t xml:space="preserve">Alstom's presence in 70+ countries provides platform for international heavy haul expansion ($52M ARR opportunity)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Signaling Integration: </w:t>
      </w:r>
      <w:r>
        <w:t xml:space="preserve">Access to Alstom's advanced signaling technology enables RailVision to develop next-generation train control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R&amp;D Resources: </w:t>
      </w:r>
      <w:r>
        <w:t xml:space="preserve">Alstom's innovation centers and autonomous rail research accelerate RailVision's product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European Market Access: </w:t>
      </w:r>
      <w:r>
        <w:t xml:space="preserve">Pathway to European rail operators through Alstom's established customer relationships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Alstom's Mastria platform, autonomous systems development, and European compliance preparation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North American shortline deployments to prove technology before international expansion with Alstom support</w:t>
      </w:r>
    </w:p>
    <w:p>
      <w:pPr>
        <w:spacing w:before="360"/>
      </w:pPr>
    </w:p>
    <w:p>
      <w:pPr>
        <w:jc w:val="center"/>
      </w:pPr>
      <w:r>
        <w:rPr>
          <w:b/>
          <w:bCs/>
          <w:color w:val="00C9A7"/>
          <w:sz w:val="24"/>
          <w:szCs w:val="24"/>
        </w:rPr>
        <w:t xml:space="preserve">Strategic Positioning: Alstom's North American Freight Platform + Autonomous Operations Foundation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2026-01-28T18:47:57.276Z</dcterms:created>
  <dcterms:modified xsi:type="dcterms:W3CDTF">2026-01-28T18:47:57.276Z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