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1A7E8" w14:textId="77777777" w:rsidR="004E17ED" w:rsidRDefault="00000000">
      <w:pPr>
        <w:pStyle w:val="Heading1"/>
      </w:pPr>
      <w:bookmarkStart w:id="0" w:name="Xeede4d275d1c5c3adbc0f9b6606eada5df00e75"/>
      <w:r>
        <w:t>Holland × RailVision — Co‑Sell Partner Memo (Draft v1)</w:t>
      </w:r>
    </w:p>
    <w:p w14:paraId="2A533770" w14:textId="77777777" w:rsidR="004E17ED" w:rsidRDefault="00000000">
      <w:pPr>
        <w:pStyle w:val="FirstParagraph"/>
      </w:pPr>
      <w:r>
        <w:rPr>
          <w:b/>
          <w:bCs/>
        </w:rPr>
        <w:t>Date:</w:t>
      </w:r>
      <w:r>
        <w:t xml:space="preserve"> December 1, 2025</w:t>
      </w:r>
      <w:r>
        <w:br/>
      </w:r>
      <w:r>
        <w:rPr>
          <w:b/>
          <w:bCs/>
        </w:rPr>
        <w:t>From:</w:t>
      </w:r>
      <w:r>
        <w:t xml:space="preserve"> Michael, Chief Strategy Officer</w:t>
      </w:r>
      <w:r>
        <w:br/>
      </w:r>
      <w:r>
        <w:rPr>
          <w:b/>
          <w:bCs/>
        </w:rPr>
        <w:t>To:</w:t>
      </w:r>
      <w:r>
        <w:t xml:space="preserve"> Jamie O’Rourke (CEO), Sales, Product, CS, Ops</w:t>
      </w:r>
    </w:p>
    <w:p w14:paraId="55829A74" w14:textId="77777777" w:rsidR="004E17ED" w:rsidRDefault="00EC365F">
      <w:r>
        <w:rPr>
          <w:noProof/>
        </w:rPr>
        <w:pict w14:anchorId="65D15DD8">
          <v:rect id="_x0000_i1035" alt="" style="width:468pt;height:.05pt;mso-width-percent:0;mso-height-percent:0;mso-width-percent:0;mso-height-percent:0" o:hralign="center" o:hrstd="t" o:hr="t"/>
        </w:pict>
      </w:r>
    </w:p>
    <w:p w14:paraId="0E6C3B05" w14:textId="77777777" w:rsidR="004E17ED" w:rsidRDefault="00000000">
      <w:pPr>
        <w:pStyle w:val="Heading2"/>
      </w:pPr>
      <w:bookmarkStart w:id="1" w:name="purpose"/>
      <w:r>
        <w:t>1) Purpose</w:t>
      </w:r>
    </w:p>
    <w:p w14:paraId="6920F15A" w14:textId="77777777" w:rsidR="004E17ED" w:rsidRDefault="00000000">
      <w:pPr>
        <w:pStyle w:val="FirstParagraph"/>
      </w:pPr>
      <w:r>
        <w:t xml:space="preserve">Decide whether to pursue Holland as a </w:t>
      </w:r>
      <w:r>
        <w:rPr>
          <w:b/>
          <w:bCs/>
        </w:rPr>
        <w:t>non‑exclusive co‑sell partner</w:t>
      </w:r>
      <w:r>
        <w:t xml:space="preserve"> to accelerate adoption with shortlines/regionals, while preserving RailVision’s direct customer relationship and data rights.</w:t>
      </w:r>
    </w:p>
    <w:p w14:paraId="2FD7EEED" w14:textId="77777777" w:rsidR="004E17ED" w:rsidRDefault="00EC365F">
      <w:r>
        <w:rPr>
          <w:noProof/>
        </w:rPr>
        <w:pict w14:anchorId="18485535">
          <v:rect id="_x0000_i1034" alt="" style="width:468pt;height:.05pt;mso-width-percent:0;mso-height-percent:0;mso-width-percent:0;mso-height-percent:0" o:hralign="center" o:hrstd="t" o:hr="t"/>
        </w:pict>
      </w:r>
    </w:p>
    <w:p w14:paraId="09F5BCCA" w14:textId="77777777" w:rsidR="004E17ED" w:rsidRDefault="00000000">
      <w:pPr>
        <w:pStyle w:val="Heading2"/>
      </w:pPr>
      <w:bookmarkStart w:id="2" w:name="why-holland-short-version"/>
      <w:bookmarkEnd w:id="1"/>
      <w:r>
        <w:t>2) Why Holland (Short Version)</w:t>
      </w:r>
    </w:p>
    <w:p w14:paraId="335837D2" w14:textId="77777777" w:rsidR="004E17E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Access &amp; trust:</w:t>
      </w:r>
      <w:r>
        <w:t xml:space="preserve"> Embedded relationships with shortlines; routine site presence via maintenance/services.</w:t>
      </w:r>
      <w:r>
        <w:br/>
      </w:r>
    </w:p>
    <w:p w14:paraId="5A625418" w14:textId="77777777" w:rsidR="004E17E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Credibility with crews:</w:t>
      </w:r>
      <w:r>
        <w:t xml:space="preserve"> Field techs/operators know them; helps overcome engineer adoption friction.</w:t>
      </w:r>
      <w:r>
        <w:br/>
      </w:r>
    </w:p>
    <w:p w14:paraId="094110A3" w14:textId="77777777" w:rsidR="004E17E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Complementary footprint:</w:t>
      </w:r>
      <w:r>
        <w:t xml:space="preserve"> We’re tablet‑first, low‑capex, rapid deploy; they can bundle us without locomotive surgery.</w:t>
      </w:r>
      <w:r>
        <w:br/>
      </w:r>
    </w:p>
    <w:p w14:paraId="2027F09E" w14:textId="77777777" w:rsidR="004E17E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De‑risked pilots:</w:t>
      </w:r>
      <w:r>
        <w:t xml:space="preserve"> Faster intros, easier scheduling, shared onsite enablement.</w:t>
      </w:r>
    </w:p>
    <w:p w14:paraId="3746A81A" w14:textId="77777777" w:rsidR="004E17ED" w:rsidRDefault="00000000">
      <w:pPr>
        <w:pStyle w:val="FirstParagraph"/>
      </w:pPr>
      <w:r>
        <w:rPr>
          <w:b/>
          <w:bCs/>
        </w:rPr>
        <w:t>Non‑go risk:</w:t>
      </w:r>
      <w:r>
        <w:t xml:space="preserve"> If they insist on exclusivity, reseller control (they invoice), or restrict our data rights.</w:t>
      </w:r>
    </w:p>
    <w:p w14:paraId="2CABCAF5" w14:textId="77777777" w:rsidR="004E17ED" w:rsidRDefault="00EC365F">
      <w:r>
        <w:rPr>
          <w:noProof/>
        </w:rPr>
        <w:pict w14:anchorId="67C5237D">
          <v:rect id="_x0000_i1033" alt="" style="width:468pt;height:.05pt;mso-width-percent:0;mso-height-percent:0;mso-width-percent:0;mso-height-percent:0" o:hralign="center" o:hrstd="t" o:hr="t"/>
        </w:pict>
      </w:r>
    </w:p>
    <w:p w14:paraId="5595E6DA" w14:textId="77777777" w:rsidR="004E17ED" w:rsidRDefault="00000000">
      <w:pPr>
        <w:pStyle w:val="Heading2"/>
      </w:pPr>
      <w:bookmarkStart w:id="3" w:name="partnership-model-guardrails"/>
      <w:bookmarkEnd w:id="2"/>
      <w:r>
        <w:t>3) Partnership Model (Guardrails)</w:t>
      </w:r>
    </w:p>
    <w:p w14:paraId="72C62ED4" w14:textId="77777777" w:rsidR="004E17ED" w:rsidRDefault="00000000">
      <w:pPr>
        <w:pStyle w:val="FirstParagraph"/>
      </w:pPr>
      <w:r>
        <w:rPr>
          <w:b/>
          <w:bCs/>
        </w:rPr>
        <w:t>Type:</w:t>
      </w:r>
      <w:r>
        <w:t xml:space="preserve"> Referral + co‑sell (no reseller/white‑label).</w:t>
      </w:r>
      <w:r>
        <w:br/>
      </w:r>
      <w:r>
        <w:rPr>
          <w:b/>
          <w:bCs/>
        </w:rPr>
        <w:t>Territory:</w:t>
      </w:r>
      <w:r>
        <w:t xml:space="preserve"> North America shortlines &amp; regionals; </w:t>
      </w:r>
      <w:r>
        <w:rPr>
          <w:i/>
          <w:iCs/>
        </w:rPr>
        <w:t>explicitly non‑exclusive</w:t>
      </w:r>
      <w:r>
        <w:t>.</w:t>
      </w:r>
      <w:r>
        <w:br/>
      </w:r>
      <w:r>
        <w:rPr>
          <w:b/>
          <w:bCs/>
        </w:rPr>
        <w:t>Positioning:</w:t>
      </w:r>
      <w:r>
        <w:t xml:space="preserve"> “Engineer‑first efficiency companion” (not autopilot, not surveillance).</w:t>
      </w:r>
      <w:r>
        <w:br/>
      </w:r>
      <w:r>
        <w:rPr>
          <w:b/>
          <w:bCs/>
        </w:rPr>
        <w:t>Customer relationship:</w:t>
      </w:r>
      <w:r>
        <w:t xml:space="preserve"> RailVision holds SOW, price, and renewals.</w:t>
      </w:r>
      <w:r>
        <w:br/>
      </w:r>
      <w:r>
        <w:rPr>
          <w:b/>
          <w:bCs/>
        </w:rPr>
        <w:t>Data rights:</w:t>
      </w:r>
      <w:r>
        <w:t xml:space="preserve"> RailVision receives usage, trip, and baseline/performance data for all joint deployments.</w:t>
      </w:r>
      <w:r>
        <w:br/>
      </w:r>
      <w:r>
        <w:rPr>
          <w:b/>
          <w:bCs/>
        </w:rPr>
        <w:t>Brand:</w:t>
      </w:r>
      <w:r>
        <w:t xml:space="preserve"> Co‑branded field materials; RailVision logo primary on product/UI.</w:t>
      </w:r>
    </w:p>
    <w:p w14:paraId="37FF81F6" w14:textId="77777777" w:rsidR="004E17ED" w:rsidRDefault="00EC365F">
      <w:r>
        <w:rPr>
          <w:noProof/>
        </w:rPr>
        <w:pict w14:anchorId="4835DA72">
          <v:rect id="_x0000_i1032" alt="" style="width:468pt;height:.05pt;mso-width-percent:0;mso-height-percent:0;mso-width-percent:0;mso-height-percent:0" o:hralign="center" o:hrstd="t" o:hr="t"/>
        </w:pict>
      </w:r>
    </w:p>
    <w:p w14:paraId="60299973" w14:textId="77777777" w:rsidR="004E17ED" w:rsidRDefault="00000000">
      <w:pPr>
        <w:pStyle w:val="Heading2"/>
      </w:pPr>
      <w:bookmarkStart w:id="4" w:name="commercial-terms-draft-for-redlines"/>
      <w:bookmarkEnd w:id="3"/>
      <w:r>
        <w:lastRenderedPageBreak/>
        <w:t>4) Commercial Terms (Draft for Redlines)</w:t>
      </w:r>
    </w:p>
    <w:p w14:paraId="36F0BDE0" w14:textId="77777777" w:rsidR="004E17E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Economics (choose one per deal):</w:t>
      </w:r>
    </w:p>
    <w:p w14:paraId="4CB0FFD5" w14:textId="77777777" w:rsidR="004E17ED" w:rsidRDefault="00000000">
      <w:pPr>
        <w:pStyle w:val="Compact"/>
        <w:numPr>
          <w:ilvl w:val="1"/>
          <w:numId w:val="4"/>
        </w:numPr>
      </w:pPr>
      <w:r>
        <w:rPr>
          <w:i/>
          <w:iCs/>
        </w:rPr>
        <w:t>Referral fee:</w:t>
      </w:r>
      <w:r>
        <w:t xml:space="preserve"> 10–15% of first‑year net revenue (NRR), paid on customer cash receipt.</w:t>
      </w:r>
      <w:r>
        <w:br/>
      </w:r>
    </w:p>
    <w:p w14:paraId="3D5376D4" w14:textId="77777777" w:rsidR="004E17ED" w:rsidRDefault="00000000">
      <w:pPr>
        <w:pStyle w:val="Compact"/>
        <w:numPr>
          <w:ilvl w:val="1"/>
          <w:numId w:val="4"/>
        </w:numPr>
      </w:pPr>
      <w:r>
        <w:rPr>
          <w:i/>
          <w:iCs/>
        </w:rPr>
        <w:t>Co‑sell split:</w:t>
      </w:r>
      <w:r>
        <w:t xml:space="preserve"> RailVision retains 100% revenue; Holland receives fixed success fee per signed SOW + milestone bonus after 90‑day adoption target.</w:t>
      </w:r>
      <w:r>
        <w:br/>
      </w:r>
    </w:p>
    <w:p w14:paraId="460284CC" w14:textId="77777777" w:rsidR="004E17E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No reseller:</w:t>
      </w:r>
      <w:r>
        <w:t xml:space="preserve"> Holland does </w:t>
      </w:r>
      <w:r>
        <w:rPr>
          <w:b/>
          <w:bCs/>
        </w:rPr>
        <w:t>not</w:t>
      </w:r>
      <w:r>
        <w:t xml:space="preserve"> take title or set price.</w:t>
      </w:r>
      <w:r>
        <w:br/>
      </w:r>
    </w:p>
    <w:p w14:paraId="69AD6185" w14:textId="77777777" w:rsidR="004E17E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Services:</w:t>
      </w:r>
      <w:r>
        <w:t xml:space="preserve"> Holland may provide paid field services (install assistance, crew coaching, change‑management) under a separate SOW with the railroad; scope coordinated in joint plan.</w:t>
      </w:r>
      <w:r>
        <w:br/>
      </w:r>
    </w:p>
    <w:p w14:paraId="3B831C3C" w14:textId="77777777" w:rsidR="004E17E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SPIFs:</w:t>
      </w:r>
      <w:r>
        <w:t xml:space="preserve"> Modest sales SPIFs for Holland AEs/field reps (e.g., $500 per qualified POC, $2,000 per closed‑won &gt;$50k).</w:t>
      </w:r>
    </w:p>
    <w:p w14:paraId="2FDEF95F" w14:textId="77777777" w:rsidR="004E17ED" w:rsidRDefault="00EC365F">
      <w:r>
        <w:rPr>
          <w:noProof/>
        </w:rPr>
        <w:pict w14:anchorId="02511947">
          <v:rect id="_x0000_i1031" alt="" style="width:468pt;height:.05pt;mso-width-percent:0;mso-height-percent:0;mso-width-percent:0;mso-height-percent:0" o:hralign="center" o:hrstd="t" o:hr="t"/>
        </w:pict>
      </w:r>
    </w:p>
    <w:p w14:paraId="1811879B" w14:textId="77777777" w:rsidR="004E17ED" w:rsidRDefault="00000000">
      <w:pPr>
        <w:pStyle w:val="Heading2"/>
      </w:pPr>
      <w:bookmarkStart w:id="5" w:name="first-90-days-joint-gtm-plan"/>
      <w:bookmarkEnd w:id="4"/>
      <w:r>
        <w:t>5) First 90 Days — Joint GTM Plan</w:t>
      </w:r>
    </w:p>
    <w:p w14:paraId="738C13D5" w14:textId="77777777" w:rsidR="004E17ED" w:rsidRDefault="00000000">
      <w:pPr>
        <w:pStyle w:val="FirstParagraph"/>
      </w:pPr>
      <w:r>
        <w:rPr>
          <w:b/>
          <w:bCs/>
        </w:rPr>
        <w:t>Goal:</w:t>
      </w:r>
      <w:r>
        <w:t xml:space="preserve"> 3 signed POCs and 1 production contract from target shortlines; show statistically significant fuel/time savings and high crew acceptance.</w:t>
      </w:r>
    </w:p>
    <w:p w14:paraId="5FE1BA01" w14:textId="77777777" w:rsidR="004E17ED" w:rsidRDefault="00000000">
      <w:pPr>
        <w:pStyle w:val="BodyText"/>
      </w:pPr>
      <w:r>
        <w:rPr>
          <w:b/>
          <w:bCs/>
        </w:rPr>
        <w:t>A. Account Mapping (Week 1)</w:t>
      </w:r>
      <w:r>
        <w:br/>
        <w:t>- Build a 25‑logo target list (shortlines/regionals) with: fleet size, freight mix, decision maker, relationship owner, and intro path.</w:t>
      </w:r>
      <w:r>
        <w:br/>
        <w:t>- Secure 6 joint exec calls on calendar; define deal hypotheses and pilots.</w:t>
      </w:r>
    </w:p>
    <w:p w14:paraId="71A99A4B" w14:textId="77777777" w:rsidR="004E17ED" w:rsidRDefault="00000000">
      <w:pPr>
        <w:pStyle w:val="BodyText"/>
      </w:pPr>
      <w:r>
        <w:rPr>
          <w:b/>
          <w:bCs/>
        </w:rPr>
        <w:t>B. POC Kit (Weeks 1–2)</w:t>
      </w:r>
      <w:r>
        <w:br/>
        <w:t>- Baseline &amp; measurement plan (fuel/consumption, schedule adherence, throttle/brake usage).</w:t>
      </w:r>
      <w:r>
        <w:br/>
        <w:t>- Success metrics with confidence intervals; target 5–10% fuel savings where applicable.</w:t>
      </w:r>
      <w:r>
        <w:br/>
        <w:t>- Standard SOW; value‑based pricing examples.</w:t>
      </w:r>
    </w:p>
    <w:p w14:paraId="12911899" w14:textId="77777777" w:rsidR="004E17ED" w:rsidRDefault="00000000">
      <w:pPr>
        <w:pStyle w:val="BodyText"/>
      </w:pPr>
      <w:r>
        <w:rPr>
          <w:b/>
          <w:bCs/>
        </w:rPr>
        <w:t>C. Adoption Playbook Enablement (Weeks 2–3)</w:t>
      </w:r>
      <w:r>
        <w:br/>
        <w:t>- Train Holland field staff on crew‑first adoption: messaging rubrics, ride‑along coaching, scorecards, and feedback loops.</w:t>
      </w:r>
      <w:r>
        <w:br/>
        <w:t>- Co‑develop a 1‑pager for engineers: benefits, what it is/isn’t, how data is used.</w:t>
      </w:r>
    </w:p>
    <w:p w14:paraId="636967E4" w14:textId="77777777" w:rsidR="004E17ED" w:rsidRDefault="00000000">
      <w:pPr>
        <w:pStyle w:val="BodyText"/>
      </w:pPr>
      <w:r>
        <w:rPr>
          <w:b/>
          <w:bCs/>
        </w:rPr>
        <w:t>D. Pipeline &amp; Ops Rhythm (Weekly)</w:t>
      </w:r>
      <w:r>
        <w:br/>
        <w:t>- Joint deal review; stage progression; blocker removal.</w:t>
      </w:r>
      <w:r>
        <w:br/>
        <w:t>- Shared tracker of intros, meetings, POCs, and deployments.</w:t>
      </w:r>
    </w:p>
    <w:p w14:paraId="5DC38C83" w14:textId="77777777" w:rsidR="004E17ED" w:rsidRDefault="00000000">
      <w:pPr>
        <w:pStyle w:val="BodyText"/>
      </w:pPr>
      <w:r>
        <w:rPr>
          <w:b/>
          <w:bCs/>
        </w:rPr>
        <w:lastRenderedPageBreak/>
        <w:t>Exit/Review Gate (Day 90):</w:t>
      </w:r>
      <w:r>
        <w:t xml:space="preserve"> If &lt;3 qualified POCs signed or data rights not honored, we pause/renegotiate.</w:t>
      </w:r>
    </w:p>
    <w:p w14:paraId="31F27301" w14:textId="77777777" w:rsidR="004E17ED" w:rsidRDefault="00EC365F">
      <w:r>
        <w:rPr>
          <w:noProof/>
        </w:rPr>
        <w:pict w14:anchorId="42BFB7AE">
          <v:rect id="_x0000_i1030" alt="" style="width:468pt;height:.05pt;mso-width-percent:0;mso-height-percent:0;mso-width-percent:0;mso-height-percent:0" o:hralign="center" o:hrstd="t" o:hr="t"/>
        </w:pict>
      </w:r>
    </w:p>
    <w:p w14:paraId="3D32B90B" w14:textId="77777777" w:rsidR="004E17ED" w:rsidRDefault="00000000">
      <w:pPr>
        <w:pStyle w:val="Heading2"/>
      </w:pPr>
      <w:bookmarkStart w:id="6" w:name="success-metrics-proof"/>
      <w:bookmarkEnd w:id="5"/>
      <w:r>
        <w:t>6) Success Metrics &amp; Proof</w:t>
      </w:r>
    </w:p>
    <w:p w14:paraId="5DF1A001" w14:textId="77777777" w:rsidR="004E17E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Commercial:</w:t>
      </w:r>
      <w:r>
        <w:t xml:space="preserve"> 3 POCs signed, 1 production contract, $X in new ARR (target to be set per logo size).</w:t>
      </w:r>
      <w:r>
        <w:br/>
      </w:r>
    </w:p>
    <w:p w14:paraId="19942B5F" w14:textId="77777777" w:rsidR="004E17E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Adoption:</w:t>
      </w:r>
      <w:r>
        <w:t xml:space="preserve"> ≥70% active crew use in POC, positive NPS from engineers, &lt;10% opt‑out.</w:t>
      </w:r>
      <w:r>
        <w:br/>
      </w:r>
    </w:p>
    <w:p w14:paraId="6450894B" w14:textId="77777777" w:rsidR="004E17E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Operational:</w:t>
      </w:r>
      <w:r>
        <w:t xml:space="preserve"> Time‑to‑first‑train ≤ 14 days from SOW; pilot runbooks executed.</w:t>
      </w:r>
      <w:r>
        <w:br/>
      </w:r>
    </w:p>
    <w:p w14:paraId="00AFDB6A" w14:textId="77777777" w:rsidR="004E17E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Savings:</w:t>
      </w:r>
      <w:r>
        <w:t xml:space="preserve"> Documented fuel/time savings with methodology and CI; publish 2 anonymized case snaps for demand gen.</w:t>
      </w:r>
    </w:p>
    <w:p w14:paraId="75812AD3" w14:textId="77777777" w:rsidR="004E17ED" w:rsidRDefault="00EC365F">
      <w:r>
        <w:rPr>
          <w:noProof/>
        </w:rPr>
        <w:pict w14:anchorId="39815DBA">
          <v:rect id="_x0000_i1029" alt="" style="width:468pt;height:.05pt;mso-width-percent:0;mso-height-percent:0;mso-width-percent:0;mso-height-percent:0" o:hralign="center" o:hrstd="t" o:hr="t"/>
        </w:pict>
      </w:r>
    </w:p>
    <w:p w14:paraId="7754DF21" w14:textId="77777777" w:rsidR="004E17ED" w:rsidRDefault="00000000">
      <w:pPr>
        <w:pStyle w:val="Heading2"/>
      </w:pPr>
      <w:bookmarkStart w:id="7" w:name="risks-mitigations"/>
      <w:bookmarkEnd w:id="6"/>
      <w:r>
        <w:t>7) Risks &amp; Mitigations</w:t>
      </w:r>
    </w:p>
    <w:p w14:paraId="0E00F1BF" w14:textId="77777777" w:rsidR="004E17E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Channel conflict / loss of intimacy</w:t>
      </w:r>
      <w:r>
        <w:t xml:space="preserve"> → Co‑sell only; RailVision controls SOW/pricing; joint QBRs.</w:t>
      </w:r>
      <w:r>
        <w:br/>
      </w:r>
    </w:p>
    <w:p w14:paraId="5546F07F" w14:textId="77777777" w:rsidR="004E17E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Slow sell‑through</w:t>
      </w:r>
      <w:r>
        <w:t xml:space="preserve"> → 90‑day quota + exit clause; named‑account plan with executive air cover.</w:t>
      </w:r>
      <w:r>
        <w:br/>
      </w:r>
    </w:p>
    <w:p w14:paraId="1D851640" w14:textId="77777777" w:rsidR="004E17E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Messaging drift (“autopilot” expectations)</w:t>
      </w:r>
      <w:r>
        <w:t xml:space="preserve"> → Shared talk‑track; review/approve external materials; crew‑first coaching.</w:t>
      </w:r>
      <w:r>
        <w:br/>
      </w:r>
    </w:p>
    <w:p w14:paraId="15B34E20" w14:textId="77777777" w:rsidR="004E17E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Data friction</w:t>
      </w:r>
      <w:r>
        <w:t xml:space="preserve"> → Data clause in MSA/SOW; secure transfer mechanism; anonymization standard.</w:t>
      </w:r>
      <w:r>
        <w:br/>
      </w:r>
    </w:p>
    <w:p w14:paraId="1AC8CFEF" w14:textId="77777777" w:rsidR="004E17E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Incumbent pushback (Trip Optimizer)</w:t>
      </w:r>
      <w:r>
        <w:t xml:space="preserve"> → Lead with low‑capex, fast time‑to‑value; position as “first step” efficiency.</w:t>
      </w:r>
    </w:p>
    <w:p w14:paraId="24DDC10B" w14:textId="77777777" w:rsidR="004E17ED" w:rsidRDefault="00EC365F">
      <w:r>
        <w:rPr>
          <w:noProof/>
        </w:rPr>
        <w:pict w14:anchorId="0C0C70B0">
          <v:rect id="_x0000_i1028" alt="" style="width:468pt;height:.05pt;mso-width-percent:0;mso-height-percent:0;mso-width-percent:0;mso-height-percent:0" o:hralign="center" o:hrstd="t" o:hr="t"/>
        </w:pict>
      </w:r>
    </w:p>
    <w:p w14:paraId="6A4385D4" w14:textId="77777777" w:rsidR="004E17ED" w:rsidRDefault="00000000">
      <w:pPr>
        <w:pStyle w:val="Heading2"/>
      </w:pPr>
      <w:bookmarkStart w:id="8" w:name="operating-cadence"/>
      <w:bookmarkEnd w:id="7"/>
      <w:r>
        <w:t>8) Operating Cadence</w:t>
      </w:r>
    </w:p>
    <w:p w14:paraId="3B72171E" w14:textId="77777777" w:rsidR="004E17E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Weekly:</w:t>
      </w:r>
      <w:r>
        <w:t xml:space="preserve"> 30‑min pipeline &amp; deal ops.</w:t>
      </w:r>
      <w:r>
        <w:br/>
      </w:r>
    </w:p>
    <w:p w14:paraId="22EDB277" w14:textId="77777777" w:rsidR="004E17E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Monthly:</w:t>
      </w:r>
      <w:r>
        <w:t xml:space="preserve"> Enablement refresh; content updates.</w:t>
      </w:r>
      <w:r>
        <w:br/>
      </w:r>
    </w:p>
    <w:p w14:paraId="13E44D89" w14:textId="77777777" w:rsidR="004E17E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Quarterly (QBR):</w:t>
      </w:r>
      <w:r>
        <w:t xml:space="preserve"> Scorecard review vs. targets; renew/adjust plan.</w:t>
      </w:r>
    </w:p>
    <w:p w14:paraId="387F2D21" w14:textId="77777777" w:rsidR="004E17ED" w:rsidRDefault="00EC365F">
      <w:r>
        <w:rPr>
          <w:noProof/>
        </w:rPr>
        <w:lastRenderedPageBreak/>
        <w:pict w14:anchorId="7932CF93">
          <v:rect id="_x0000_i1027" alt="" style="width:468pt;height:.05pt;mso-width-percent:0;mso-height-percent:0;mso-width-percent:0;mso-height-percent:0" o:hralign="center" o:hrstd="t" o:hr="t"/>
        </w:pict>
      </w:r>
    </w:p>
    <w:p w14:paraId="01F312D9" w14:textId="77777777" w:rsidR="004E17ED" w:rsidRDefault="00000000">
      <w:pPr>
        <w:pStyle w:val="Heading2"/>
      </w:pPr>
      <w:bookmarkStart w:id="9" w:name="next-steps"/>
      <w:bookmarkEnd w:id="8"/>
      <w:r>
        <w:t>9) Next Steps</w:t>
      </w:r>
    </w:p>
    <w:p w14:paraId="6526C9B9" w14:textId="77777777" w:rsidR="004E17ED" w:rsidRDefault="00000000">
      <w:pPr>
        <w:pStyle w:val="Compact"/>
        <w:numPr>
          <w:ilvl w:val="0"/>
          <w:numId w:val="8"/>
        </w:numPr>
      </w:pPr>
      <w:r>
        <w:t>Send this memo + redlines to Holland counterpart (today).</w:t>
      </w:r>
      <w:r>
        <w:br/>
      </w:r>
    </w:p>
    <w:p w14:paraId="1C15B593" w14:textId="77777777" w:rsidR="004E17ED" w:rsidRDefault="00000000">
      <w:pPr>
        <w:pStyle w:val="Compact"/>
        <w:numPr>
          <w:ilvl w:val="0"/>
          <w:numId w:val="8"/>
        </w:numPr>
      </w:pPr>
      <w:r>
        <w:t>Schedule kickoff to draft named‑account map (within 7 days).</w:t>
      </w:r>
      <w:r>
        <w:br/>
      </w:r>
    </w:p>
    <w:p w14:paraId="07E37A15" w14:textId="77777777" w:rsidR="004E17ED" w:rsidRDefault="00000000">
      <w:pPr>
        <w:pStyle w:val="Compact"/>
        <w:numPr>
          <w:ilvl w:val="0"/>
          <w:numId w:val="8"/>
        </w:numPr>
      </w:pPr>
      <w:r>
        <w:t>Finalize POC kit + adoption playbook v1 (by end of Week 2).</w:t>
      </w:r>
      <w:r>
        <w:br/>
      </w:r>
    </w:p>
    <w:p w14:paraId="3CCF3B84" w14:textId="77777777" w:rsidR="004E17ED" w:rsidRDefault="00000000">
      <w:pPr>
        <w:pStyle w:val="Compact"/>
        <w:numPr>
          <w:ilvl w:val="0"/>
          <w:numId w:val="8"/>
        </w:numPr>
      </w:pPr>
      <w:r>
        <w:t>Confirm data‑sharing mechanics &amp; security review (by end of Week 2).</w:t>
      </w:r>
    </w:p>
    <w:p w14:paraId="752B0028" w14:textId="77777777" w:rsidR="004E17ED" w:rsidRDefault="00EC365F">
      <w:r>
        <w:rPr>
          <w:noProof/>
        </w:rPr>
        <w:pict w14:anchorId="448E35DA">
          <v:rect id="_x0000_i1026" alt="" style="width:468pt;height:.05pt;mso-width-percent:0;mso-height-percent:0;mso-width-percent:0;mso-height-percent:0" o:hralign="center" o:hrstd="t" o:hr="t"/>
        </w:pict>
      </w:r>
    </w:p>
    <w:p w14:paraId="0DB1EA22" w14:textId="77777777" w:rsidR="004E17ED" w:rsidRDefault="00000000">
      <w:pPr>
        <w:pStyle w:val="Heading2"/>
      </w:pPr>
      <w:bookmarkStart w:id="10" w:name="X7663aa7bad1936290696705d9af20789315b2de"/>
      <w:bookmarkEnd w:id="9"/>
      <w:r>
        <w:t>Appendix A — Named‑Account Hypotheses (Working List)</w:t>
      </w:r>
    </w:p>
    <w:p w14:paraId="7D6FC788" w14:textId="77777777" w:rsidR="004E17E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High‑fit shortlines:</w:t>
      </w:r>
      <w:r>
        <w:t xml:space="preserve"> Energy/aggregates, high throttle variability, receptive to low‑capex tools; ops leaders known to Holland field teams.</w:t>
      </w:r>
      <w:r>
        <w:br/>
      </w:r>
    </w:p>
    <w:p w14:paraId="44469A8D" w14:textId="77777777" w:rsidR="004E17E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Prioritization signals:</w:t>
      </w:r>
      <w:r>
        <w:t xml:space="preserve"> Fuel exposure, on‑time pressure, safety culture, openness to pilot on select routes.</w:t>
      </w:r>
    </w:p>
    <w:p w14:paraId="63A3ED82" w14:textId="77777777" w:rsidR="004E17ED" w:rsidRDefault="00000000">
      <w:pPr>
        <w:pStyle w:val="Heading2"/>
      </w:pPr>
      <w:bookmarkStart w:id="11" w:name="X2fb08f658ddc04c9687d22aa0267149fd16301d"/>
      <w:bookmarkEnd w:id="10"/>
      <w:r>
        <w:t>Appendix B — Messaging Guardrails (Crew‑First)</w:t>
      </w:r>
    </w:p>
    <w:p w14:paraId="22DB8FB6" w14:textId="77777777" w:rsidR="004E17E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Do say:</w:t>
      </w:r>
      <w:r>
        <w:t xml:space="preserve"> “Helps you run smoother, reduce rework, cut wasted fuel, and arrive more predictably.”</w:t>
      </w:r>
      <w:r>
        <w:br/>
      </w:r>
    </w:p>
    <w:p w14:paraId="5C24F9C7" w14:textId="77777777" w:rsidR="004E17E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Don’t say:</w:t>
      </w:r>
      <w:r>
        <w:t xml:space="preserve"> “Autopilot,” “surveillance,” “replace engineers,” or anything implying loss of craft.</w:t>
      </w:r>
      <w:r>
        <w:br/>
      </w:r>
    </w:p>
    <w:p w14:paraId="118F3E22" w14:textId="77777777" w:rsidR="004E17E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Transparency:</w:t>
      </w:r>
      <w:r>
        <w:t xml:space="preserve"> What data we collect, why, and how it improves schedules and fuel.</w:t>
      </w:r>
    </w:p>
    <w:p w14:paraId="3F4F54FA" w14:textId="77777777" w:rsidR="004E17ED" w:rsidRDefault="00EC365F">
      <w:r>
        <w:rPr>
          <w:noProof/>
        </w:rPr>
        <w:pict w14:anchorId="17BF3D36">
          <v:rect id="_x0000_i1025" alt="" style="width:468pt;height:.05pt;mso-width-percent:0;mso-height-percent:0;mso-width-percent:0;mso-height-percent:0" o:hralign="center" o:hrstd="t" o:hr="t"/>
        </w:pict>
      </w:r>
    </w:p>
    <w:p w14:paraId="617BBE41" w14:textId="77777777" w:rsidR="004E17ED" w:rsidRDefault="00000000">
      <w:pPr>
        <w:pStyle w:val="Heading1"/>
      </w:pPr>
      <w:bookmarkStart w:id="12" w:name="oneslide-holland-partner-scorecard-v1"/>
      <w:bookmarkEnd w:id="0"/>
      <w:bookmarkEnd w:id="11"/>
      <w:r>
        <w:t>One‑Slide: Holland Partner Scorecard (v1)</w:t>
      </w:r>
    </w:p>
    <w:p w14:paraId="633EAFBC" w14:textId="77777777" w:rsidR="004E17ED" w:rsidRDefault="00000000">
      <w:pPr>
        <w:pStyle w:val="FirstParagraph"/>
      </w:pPr>
      <w:r>
        <w:rPr>
          <w:b/>
          <w:bCs/>
        </w:rPr>
        <w:t>Goal:</w:t>
      </w:r>
      <w:r>
        <w:t xml:space="preserve"> Decide go/no‑go and track partner performance in first 90 days.</w:t>
      </w:r>
    </w:p>
    <w:p w14:paraId="76E89D41" w14:textId="77777777" w:rsidR="004E17ED" w:rsidRDefault="00000000">
      <w:pPr>
        <w:pStyle w:val="BodyText"/>
      </w:pPr>
      <w:r>
        <w:rPr>
          <w:b/>
          <w:bCs/>
        </w:rPr>
        <w:t>Fit &amp; Access</w:t>
      </w:r>
      <w:r>
        <w:br/>
        <w:t>- Coverage of shortlines/regionals</w:t>
      </w:r>
      <w:r>
        <w:br/>
        <w:t>- C‑suite and ops champions identified</w:t>
      </w:r>
      <w:r>
        <w:br/>
        <w:t>- 6 exec intros scheduled in 30 days</w:t>
      </w:r>
    </w:p>
    <w:p w14:paraId="54E5BE46" w14:textId="77777777" w:rsidR="004E17ED" w:rsidRDefault="00000000">
      <w:pPr>
        <w:pStyle w:val="BodyText"/>
      </w:pPr>
      <w:r>
        <w:rPr>
          <w:b/>
          <w:bCs/>
        </w:rPr>
        <w:t>Execution Readiness</w:t>
      </w:r>
      <w:r>
        <w:br/>
        <w:t>- Named‑account map (25 logos)</w:t>
      </w:r>
      <w:r>
        <w:br/>
        <w:t>- Trained 10+ field staff on adoption playbook</w:t>
      </w:r>
      <w:r>
        <w:br/>
        <w:t>- POC kit signed off; data‑sharing path validated</w:t>
      </w:r>
    </w:p>
    <w:p w14:paraId="0CC1606B" w14:textId="77777777" w:rsidR="004E17ED" w:rsidRDefault="00000000">
      <w:pPr>
        <w:pStyle w:val="BodyText"/>
      </w:pPr>
      <w:r>
        <w:rPr>
          <w:b/>
          <w:bCs/>
        </w:rPr>
        <w:lastRenderedPageBreak/>
        <w:t>Early Outcomes (90‑day Gate)</w:t>
      </w:r>
      <w:r>
        <w:br/>
        <w:t>- ≥3 POCs signed</w:t>
      </w:r>
      <w:r>
        <w:br/>
        <w:t>- ≥1 production contract</w:t>
      </w:r>
      <w:r>
        <w:br/>
        <w:t>- ≥70% active crew usage in POC</w:t>
      </w:r>
      <w:r>
        <w:br/>
        <w:t>- Documented savings case (CI‑backed)</w:t>
      </w:r>
    </w:p>
    <w:p w14:paraId="719CAC4E" w14:textId="77777777" w:rsidR="004E17ED" w:rsidRDefault="00000000">
      <w:pPr>
        <w:pStyle w:val="BodyText"/>
      </w:pPr>
      <w:r>
        <w:rPr>
          <w:b/>
          <w:bCs/>
        </w:rPr>
        <w:t>Commercials &amp; Governance</w:t>
      </w:r>
      <w:r>
        <w:br/>
        <w:t>- Non‑exclusive; no reseller/white‑label</w:t>
      </w:r>
      <w:r>
        <w:br/>
        <w:t>- Referral 10–15% or success‑fee model</w:t>
      </w:r>
      <w:r>
        <w:br/>
        <w:t>- Joint weekly, monthly, QBR cadence</w:t>
      </w:r>
    </w:p>
    <w:p w14:paraId="228B1876" w14:textId="77777777" w:rsidR="004E17ED" w:rsidRDefault="00000000">
      <w:pPr>
        <w:pStyle w:val="BodyText"/>
      </w:pPr>
      <w:r>
        <w:rPr>
          <w:b/>
          <w:bCs/>
        </w:rPr>
        <w:t>Risk Flags</w:t>
      </w:r>
      <w:r>
        <w:br/>
        <w:t>- Slow intros / slipped timelines</w:t>
      </w:r>
      <w:r>
        <w:br/>
        <w:t>- Data access blocked</w:t>
      </w:r>
      <w:r>
        <w:br/>
        <w:t>- Messaging drift (autopilot claims)</w:t>
      </w:r>
    </w:p>
    <w:p w14:paraId="4D361E8A" w14:textId="77777777" w:rsidR="004E17ED" w:rsidRDefault="00000000">
      <w:pPr>
        <w:pStyle w:val="BodyText"/>
      </w:pPr>
      <w:r>
        <w:rPr>
          <w:b/>
          <w:bCs/>
        </w:rPr>
        <w:t>Go/No‑Go Bar</w:t>
      </w:r>
      <w:r>
        <w:br/>
        <w:t xml:space="preserve">- </w:t>
      </w:r>
      <w:r>
        <w:rPr>
          <w:b/>
          <w:bCs/>
        </w:rPr>
        <w:t>Go:</w:t>
      </w:r>
      <w:r>
        <w:t xml:space="preserve"> Gate metrics met and pipeline ≥5 qualified deals</w:t>
      </w:r>
      <w:r>
        <w:br/>
        <w:t xml:space="preserve">- </w:t>
      </w:r>
      <w:r>
        <w:rPr>
          <w:b/>
          <w:bCs/>
        </w:rPr>
        <w:t>No‑Go:</w:t>
      </w:r>
      <w:r>
        <w:t xml:space="preserve"> &lt;3 POCs or failure to deliver data rights</w:t>
      </w:r>
    </w:p>
    <w:p w14:paraId="303E6C66" w14:textId="77777777" w:rsidR="004E17ED" w:rsidRDefault="00000000">
      <w:pPr>
        <w:pStyle w:val="BodyText"/>
      </w:pPr>
      <w:r>
        <w:rPr>
          <w:b/>
          <w:bCs/>
        </w:rPr>
        <w:t>Owner(s):</w:t>
      </w:r>
      <w:r>
        <w:t xml:space="preserve"> RailVision CSO (lead) • Sales (co‑lead) • Holland channel lead</w:t>
      </w:r>
      <w:bookmarkEnd w:id="12"/>
    </w:p>
    <w:sectPr w:rsidR="004E17E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2ED5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1E55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05E6C2D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480197395">
    <w:abstractNumId w:val="0"/>
  </w:num>
  <w:num w:numId="2" w16cid:durableId="1782992257">
    <w:abstractNumId w:val="1"/>
  </w:num>
  <w:num w:numId="3" w16cid:durableId="854459605">
    <w:abstractNumId w:val="1"/>
  </w:num>
  <w:num w:numId="4" w16cid:durableId="9995046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99116355">
    <w:abstractNumId w:val="1"/>
  </w:num>
  <w:num w:numId="6" w16cid:durableId="2013411574">
    <w:abstractNumId w:val="1"/>
  </w:num>
  <w:num w:numId="7" w16cid:durableId="533269861">
    <w:abstractNumId w:val="1"/>
  </w:num>
  <w:num w:numId="8" w16cid:durableId="14199863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50421397">
    <w:abstractNumId w:val="1"/>
  </w:num>
  <w:num w:numId="10" w16cid:durableId="934745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7ED"/>
    <w:rsid w:val="0048503A"/>
    <w:rsid w:val="004E17ED"/>
    <w:rsid w:val="00DF7769"/>
    <w:rsid w:val="00EC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5476D"/>
  <w15:docId w15:val="{E6DC6F39-D295-9348-B0C2-27601CCC6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928</Words>
  <Characters>5294</Characters>
  <Application>Microsoft Office Word</Application>
  <DocSecurity>0</DocSecurity>
  <Lines>44</Lines>
  <Paragraphs>12</Paragraphs>
  <ScaleCrop>false</ScaleCrop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Kimberly Fanelli</dc:creator>
  <cp:keywords/>
  <cp:lastModifiedBy>Kimberly Fanelli</cp:lastModifiedBy>
  <cp:revision>2</cp:revision>
  <dcterms:created xsi:type="dcterms:W3CDTF">2025-12-01T23:08:00Z</dcterms:created>
  <dcterms:modified xsi:type="dcterms:W3CDTF">2025-12-01T23:08:00Z</dcterms:modified>
</cp:coreProperties>
</file>