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color w:val="3A86C8"/>
          <w:sz w:val="28"/>
        </w:rPr>
        <w:t>━━━━━━━━━━━━━━━━━━━━━━━━━━━━━━━━━━━━━━━━</w:t>
      </w:r>
    </w:p>
    <w:p>
      <w:pPr>
        <w:spacing w:before="240" w:after="240"/>
        <w:jc w:val="center"/>
      </w:pPr>
      <w:r>
        <w:rPr>
          <w:rFonts w:ascii="Calibri" w:hAnsi="Calibri"/>
          <w:b/>
          <w:color w:val="1B2A4A"/>
          <w:sz w:val="56"/>
        </w:rPr>
        <w:t>RailVision × Holland Co-Sell Partnership — Strategic Assessment &amp; Execution Plan</w:t>
      </w:r>
    </w:p>
    <w:p>
      <w:pPr>
        <w:jc w:val="center"/>
      </w:pPr>
      <w:r>
        <w:rPr>
          <w:color w:val="3A86C8"/>
          <w:sz w:val="28"/>
        </w:rPr>
        <w:t>━━━━━━━━━━━━━━━━━━━━━━━━━━━━━━━━━━━━━━━━</w:t>
      </w:r>
    </w:p>
    <w:p>
      <w:pPr>
        <w:spacing w:before="480"/>
        <w:jc w:val="center"/>
      </w:pPr>
      <w:r>
        <w:rPr>
          <w:rFonts w:ascii="Calibri" w:hAnsi="Calibri"/>
          <w:color w:val="6B707B"/>
          <w:sz w:val="24"/>
        </w:rPr>
        <w:t>March 23, 2026</w:t>
      </w:r>
    </w:p>
    <w:p>
      <w:pPr>
        <w:spacing w:before="960"/>
        <w:jc w:val="center"/>
      </w:pPr>
      <w:r>
        <w:rPr>
          <w:rFonts w:ascii="Calibri" w:hAnsi="Calibri"/>
          <w:i/>
          <w:color w:val="6B707B"/>
          <w:sz w:val="18"/>
        </w:rPr>
        <w:t>CONFIDENTIAL</w:t>
      </w:r>
    </w:p>
    <w:p>
      <w:r>
        <w:br w:type="page"/>
      </w:r>
    </w:p>
    <w:p>
      <w:pPr>
        <w:pStyle w:val="Heading1"/>
      </w:pPr>
      <w:r>
        <w:t>Table of Contents</w:t>
      </w:r>
    </w:p>
    <w:p/>
    <w:p>
      <w:pPr>
        <w:spacing w:after="80" w:before="40"/>
      </w:pPr>
      <w:r>
        <w:rPr>
          <w:rFonts w:ascii="Calibri" w:hAnsi="Calibri"/>
          <w:b/>
          <w:color w:val="3A86C8"/>
          <w:sz w:val="22"/>
        </w:rPr>
        <w:t xml:space="preserve">1.  </w:t>
      </w:r>
      <w:r>
        <w:rPr>
          <w:rFonts w:ascii="Calibri" w:hAnsi="Calibri"/>
          <w:color w:val="2D2D2D"/>
          <w:sz w:val="22"/>
        </w:rPr>
        <w:t>Executive Summary</w:t>
      </w:r>
    </w:p>
    <w:p>
      <w:pPr>
        <w:spacing w:after="80" w:before="40"/>
      </w:pPr>
      <w:r>
        <w:rPr>
          <w:rFonts w:ascii="Calibri" w:hAnsi="Calibri"/>
          <w:b/>
          <w:color w:val="3A86C8"/>
          <w:sz w:val="22"/>
        </w:rPr>
        <w:t xml:space="preserve">2.  </w:t>
      </w:r>
      <w:r>
        <w:rPr>
          <w:rFonts w:ascii="Calibri" w:hAnsi="Calibri"/>
          <w:color w:val="2D2D2D"/>
          <w:sz w:val="22"/>
        </w:rPr>
        <w:t>Partnership Rationale &amp; Strategic Fit</w:t>
      </w:r>
    </w:p>
    <w:p>
      <w:pPr>
        <w:spacing w:after="80" w:before="40"/>
      </w:pPr>
      <w:r>
        <w:rPr>
          <w:rFonts w:ascii="Calibri" w:hAnsi="Calibri"/>
          <w:b/>
          <w:color w:val="3A86C8"/>
          <w:sz w:val="22"/>
        </w:rPr>
        <w:t xml:space="preserve">3.  </w:t>
      </w:r>
      <w:r>
        <w:rPr>
          <w:rFonts w:ascii="Calibri" w:hAnsi="Calibri"/>
          <w:color w:val="2D2D2D"/>
          <w:sz w:val="22"/>
        </w:rPr>
        <w:t>Partnership Model &amp; Commercial Terms</w:t>
      </w:r>
    </w:p>
    <w:p>
      <w:pPr>
        <w:spacing w:after="80" w:before="40"/>
      </w:pPr>
      <w:r>
        <w:rPr>
          <w:rFonts w:ascii="Calibri" w:hAnsi="Calibri"/>
          <w:b/>
          <w:color w:val="3A86C8"/>
          <w:sz w:val="22"/>
        </w:rPr>
        <w:t xml:space="preserve">4.  </w:t>
      </w:r>
      <w:r>
        <w:rPr>
          <w:rFonts w:ascii="Calibri" w:hAnsi="Calibri"/>
          <w:color w:val="2D2D2D"/>
          <w:sz w:val="22"/>
        </w:rPr>
        <w:t>Joint Go-To-Market Plan — First 90 Days</w:t>
      </w:r>
    </w:p>
    <w:p>
      <w:pPr>
        <w:spacing w:after="80" w:before="40"/>
      </w:pPr>
      <w:r>
        <w:rPr>
          <w:rFonts w:ascii="Calibri" w:hAnsi="Calibri"/>
          <w:b/>
          <w:color w:val="3A86C8"/>
          <w:sz w:val="22"/>
        </w:rPr>
        <w:t xml:space="preserve">5.  </w:t>
      </w:r>
      <w:r>
        <w:rPr>
          <w:rFonts w:ascii="Calibri" w:hAnsi="Calibri"/>
          <w:color w:val="2D2D2D"/>
          <w:sz w:val="22"/>
        </w:rPr>
        <w:t>Success Metrics &amp; KPI Framework</w:t>
      </w:r>
    </w:p>
    <w:p>
      <w:pPr>
        <w:spacing w:after="80" w:before="40"/>
      </w:pPr>
      <w:r>
        <w:rPr>
          <w:rFonts w:ascii="Calibri" w:hAnsi="Calibri"/>
          <w:b/>
          <w:color w:val="3A86C8"/>
          <w:sz w:val="22"/>
        </w:rPr>
        <w:t xml:space="preserve">6.  </w:t>
      </w:r>
      <w:r>
        <w:rPr>
          <w:rFonts w:ascii="Calibri" w:hAnsi="Calibri"/>
          <w:color w:val="2D2D2D"/>
          <w:sz w:val="22"/>
        </w:rPr>
        <w:t>Six-Month Execution Roadmap</w:t>
      </w:r>
    </w:p>
    <w:p>
      <w:pPr>
        <w:spacing w:after="80" w:before="40"/>
      </w:pPr>
      <w:r>
        <w:rPr>
          <w:rFonts w:ascii="Calibri" w:hAnsi="Calibri"/>
          <w:b/>
          <w:color w:val="3A86C8"/>
          <w:sz w:val="22"/>
        </w:rPr>
        <w:t xml:space="preserve">7.  </w:t>
      </w:r>
      <w:r>
        <w:rPr>
          <w:rFonts w:ascii="Calibri" w:hAnsi="Calibri"/>
          <w:color w:val="2D2D2D"/>
          <w:sz w:val="22"/>
        </w:rPr>
        <w:t>Risk Assessment &amp; Mitigation Framework</w:t>
      </w:r>
    </w:p>
    <w:p>
      <w:pPr>
        <w:spacing w:after="80" w:before="40"/>
      </w:pPr>
      <w:r>
        <w:rPr>
          <w:rFonts w:ascii="Calibri" w:hAnsi="Calibri"/>
          <w:b/>
          <w:color w:val="3A86C8"/>
          <w:sz w:val="22"/>
        </w:rPr>
        <w:t xml:space="preserve">8.  </w:t>
      </w:r>
      <w:r>
        <w:rPr>
          <w:rFonts w:ascii="Calibri" w:hAnsi="Calibri"/>
          <w:color w:val="2D2D2D"/>
          <w:sz w:val="22"/>
        </w:rPr>
        <w:t>Next Steps &amp; Recommendations</w:t>
      </w:r>
    </w:p>
    <w:p/>
    <w:p>
      <w:r>
        <w:br w:type="page"/>
      </w:r>
    </w:p>
    <w:p>
      <w:pPr>
        <w:pStyle w:val="Heading1"/>
      </w:pPr>
      <w:r>
        <w:t>Executive Summary</w:t>
      </w:r>
    </w:p>
    <w:p>
      <w:pPr>
        <w:spacing w:after="120" w:before="40" w:line="276" w:lineRule="auto"/>
        <w:jc w:val="both"/>
      </w:pPr>
      <w:r>
        <w:rPr>
          <w:rFonts w:ascii="Calibri" w:hAnsi="Calibri"/>
          <w:b/>
          <w:color w:val="2D2D2D"/>
          <w:sz w:val="22"/>
        </w:rPr>
        <w:t>RailVision stands at an inflection point.</w:t>
      </w:r>
      <w:r>
        <w:rPr>
          <w:rFonts w:ascii="Calibri" w:hAnsi="Calibri"/>
          <w:color w:val="2D2D2D"/>
          <w:sz w:val="22"/>
        </w:rPr>
        <w:t xml:space="preserve"> The decision to pursue Holland as a non-exclusive co-sell partner represents the single highest-leverage commercial move available in Q1 2026 — unlocking embedded shortline relationships, accelerating pipeline development, and de-risking the path to </w:t>
      </w:r>
      <w:r>
        <w:rPr>
          <w:rFonts w:ascii="Calibri" w:hAnsi="Calibri"/>
          <w:b/>
          <w:color w:val="2D2D2D"/>
          <w:sz w:val="22"/>
        </w:rPr>
        <w:t>$750K ARR</w:t>
      </w:r>
      <w:r>
        <w:rPr>
          <w:rFonts w:ascii="Calibri" w:hAnsi="Calibri"/>
          <w:color w:val="2D2D2D"/>
          <w:sz w:val="22"/>
        </w:rPr>
        <w:t xml:space="preserve"> by year-end. This document provides the strategic rationale, commercial framework, execution roadmap, and risk assessment required for a confident go/no-go decision.</w:t>
      </w:r>
    </w:p>
    <w:p>
      <w:pPr>
        <w:spacing w:after="120" w:before="40" w:line="276" w:lineRule="auto"/>
        <w:jc w:val="both"/>
      </w:pPr>
      <w:r>
        <w:rPr>
          <w:rFonts w:ascii="Calibri" w:hAnsi="Calibri"/>
          <w:color w:val="2D2D2D"/>
          <w:sz w:val="22"/>
        </w:rPr>
        <w:t xml:space="preserve">The core recommendation is unambiguous: </w:t>
      </w:r>
      <w:r>
        <w:rPr>
          <w:rFonts w:ascii="Calibri" w:hAnsi="Calibri"/>
          <w:b/>
          <w:color w:val="2D2D2D"/>
          <w:sz w:val="22"/>
        </w:rPr>
        <w:t>proceed with Holland as a referral + co-sell partner under strict guardrails</w:t>
      </w:r>
      <w:r>
        <w:rPr>
          <w:rFonts w:ascii="Calibri" w:hAnsi="Calibri"/>
          <w:color w:val="2D2D2D"/>
          <w:sz w:val="22"/>
        </w:rPr>
        <w:t xml:space="preserve"> — no reseller rights, no white-labeling, no exclusivity. RailVision retains full control of the customer relationship, pricing, SOW execution, and all data rights. Holland earns referral fees (10–15% of first-year NRR) or fixed success fees per signed deal, incentivizing introductions without ceding margin or brand equity.</w:t>
      </w:r>
    </w:p>
    <w:p>
      <w:pPr>
        <w:spacing w:before="120" w:after="120"/>
        <w:ind w:left="720"/>
        <w:pBdr>
          <w:left w:val="single" w:sz="12" w:space="8" w:color="3A86C8"/>
        </w:pBdr>
      </w:pPr>
      <w:r>
        <w:rPr>
          <w:rFonts w:ascii="Calibri" w:hAnsi="Calibri"/>
          <w:i/>
          <w:color w:val="4A5A6A"/>
          <w:sz w:val="22"/>
        </w:rPr>
        <w:t>The strategic imperative: RailVision must convert its technology advantage into contracted revenue within the next 180 days. Holland's field-level access to 25+ shortline and regional railroad operators provides the fastest credible path to **3 signed POCs and 1 production contract** within 90 days of partnership launch.</w:t>
      </w:r>
    </w:p>
    <w:p>
      <w:pPr>
        <w:spacing w:after="120" w:before="40" w:line="276" w:lineRule="auto"/>
        <w:jc w:val="both"/>
      </w:pPr>
      <w:r>
        <w:rPr>
          <w:rFonts w:ascii="Calibri" w:hAnsi="Calibri"/>
          <w:color w:val="2D2D2D"/>
          <w:sz w:val="22"/>
        </w:rPr>
        <w:t xml:space="preserve">The six-month execution plan outlined herein bridges the Holland partnership into a broader commercial engine — targeting </w:t>
      </w:r>
      <w:r>
        <w:rPr>
          <w:rFonts w:ascii="Calibri" w:hAnsi="Calibri"/>
          <w:b/>
          <w:color w:val="2D2D2D"/>
          <w:sz w:val="22"/>
        </w:rPr>
        <w:t>$400K+ ARR</w:t>
      </w:r>
      <w:r>
        <w:rPr>
          <w:rFonts w:ascii="Calibri" w:hAnsi="Calibri"/>
          <w:color w:val="2D2D2D"/>
          <w:sz w:val="22"/>
        </w:rPr>
        <w:t xml:space="preserve"> by June 2026, with a clear decision framework for fundraising, strategic sale, or continued scaling based on demonstrated traction.</w:t>
      </w:r>
    </w:p>
    <w:p>
      <w:pPr>
        <w:pStyle w:val="Heading2"/>
      </w:pPr>
      <w:r>
        <w:t>Summary of Key Targets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A4A" w:val="clear"/>
          </w:tcPr>
          <w:p>
            <w:pPr>
              <w:spacing w:before="60" w:after="60"/>
              <w:jc w:val="left"/>
            </w:pPr>
            <w:r/>
            <w:r>
              <w:rPr>
                <w:rFonts w:ascii="Calibri" w:hAnsi="Calibri"/>
                <w:b/>
                <w:color w:val="FFFFFF"/>
                <w:sz w:val="20"/>
              </w:rPr>
              <w:t>Metric</w:t>
            </w:r>
          </w:p>
        </w:tc>
        <w:tc>
          <w:tcPr>
            <w:tcW w:type="dxa" w:w="2340"/>
            <w:shd w:fill="1B2A4A" w:val="clear"/>
          </w:tcPr>
          <w:p>
            <w:pPr>
              <w:spacing w:before="60" w:after="60"/>
              <w:jc w:val="left"/>
            </w:pPr>
            <w:r/>
            <w:r>
              <w:rPr>
                <w:rFonts w:ascii="Calibri" w:hAnsi="Calibri"/>
                <w:b/>
                <w:color w:val="FFFFFF"/>
                <w:sz w:val="20"/>
              </w:rPr>
              <w:t>30-Day Target</w:t>
            </w:r>
          </w:p>
        </w:tc>
        <w:tc>
          <w:tcPr>
            <w:tcW w:type="dxa" w:w="2340"/>
            <w:shd w:fill="1B2A4A" w:val="clear"/>
          </w:tcPr>
          <w:p>
            <w:pPr>
              <w:spacing w:before="60" w:after="60"/>
              <w:jc w:val="left"/>
            </w:pPr>
            <w:r/>
            <w:r>
              <w:rPr>
                <w:rFonts w:ascii="Calibri" w:hAnsi="Calibri"/>
                <w:b/>
                <w:color w:val="FFFFFF"/>
                <w:sz w:val="20"/>
              </w:rPr>
              <w:t>90-Day Target</w:t>
            </w:r>
          </w:p>
        </w:tc>
        <w:tc>
          <w:tcPr>
            <w:tcW w:type="dxa" w:w="2340"/>
            <w:shd w:fill="1B2A4A" w:val="clear"/>
          </w:tcPr>
          <w:p>
            <w:pPr>
              <w:spacing w:before="60" w:after="60"/>
              <w:jc w:val="left"/>
            </w:pPr>
            <w:r/>
            <w:r>
              <w:rPr>
                <w:rFonts w:ascii="Calibri" w:hAnsi="Calibri"/>
                <w:b/>
                <w:color w:val="FFFFFF"/>
                <w:sz w:val="20"/>
              </w:rPr>
              <w:t>180-Day Target</w:t>
            </w:r>
          </w:p>
        </w:tc>
      </w:tr>
      <w:tr>
        <w:tc>
          <w:tcPr>
            <w:tcW w:type="dxa" w:w="2340"/>
          </w:tcPr>
          <w:p>
            <w:pPr>
              <w:spacing w:before="60" w:after="60"/>
              <w:jc w:val="left"/>
            </w:pPr>
            <w:r/>
            <w:r>
              <w:rPr>
                <w:rFonts w:ascii="Calibri" w:hAnsi="Calibri"/>
                <w:color w:val="2D2D2D"/>
                <w:sz w:val="20"/>
              </w:rPr>
              <w:t>**POCs Signed**</w:t>
            </w:r>
          </w:p>
        </w:tc>
        <w:tc>
          <w:tcPr>
            <w:tcW w:type="dxa" w:w="2340"/>
          </w:tcPr>
          <w:p>
            <w:pPr>
              <w:spacing w:before="60" w:after="60"/>
              <w:jc w:val="left"/>
            </w:pPr>
            <w:r/>
            <w:r>
              <w:rPr>
                <w:rFonts w:ascii="Calibri" w:hAnsi="Calibri"/>
                <w:color w:val="2D2D2D"/>
                <w:sz w:val="20"/>
              </w:rPr>
              <w:t>1</w:t>
            </w:r>
          </w:p>
        </w:tc>
        <w:tc>
          <w:tcPr>
            <w:tcW w:type="dxa" w:w="2340"/>
          </w:tcPr>
          <w:p>
            <w:pPr>
              <w:spacing w:before="60" w:after="60"/>
              <w:jc w:val="left"/>
            </w:pPr>
            <w:r/>
            <w:r>
              <w:rPr>
                <w:rFonts w:ascii="Calibri" w:hAnsi="Calibri"/>
                <w:color w:val="2D2D2D"/>
                <w:sz w:val="20"/>
              </w:rPr>
              <w:t>≥3</w:t>
            </w:r>
          </w:p>
        </w:tc>
        <w:tc>
          <w:tcPr>
            <w:tcW w:type="dxa" w:w="2340"/>
          </w:tcPr>
          <w:p>
            <w:pPr>
              <w:spacing w:before="60" w:after="60"/>
              <w:jc w:val="left"/>
            </w:pPr>
            <w:r/>
            <w:r>
              <w:rPr>
                <w:rFonts w:ascii="Calibri" w:hAnsi="Calibri"/>
                <w:color w:val="2D2D2D"/>
                <w:sz w:val="20"/>
              </w:rPr>
              <w:t>5+</w:t>
            </w:r>
          </w:p>
        </w:tc>
      </w:tr>
      <w:tr>
        <w:tc>
          <w:tcPr>
            <w:tcW w:type="dxa" w:w="2340"/>
            <w:shd w:fill="F0F4F8" w:val="clear"/>
          </w:tcPr>
          <w:p>
            <w:pPr>
              <w:spacing w:before="60" w:after="60"/>
              <w:jc w:val="left"/>
            </w:pPr>
            <w:r/>
            <w:r>
              <w:rPr>
                <w:rFonts w:ascii="Calibri" w:hAnsi="Calibri"/>
                <w:color w:val="2D2D2D"/>
                <w:sz w:val="20"/>
              </w:rPr>
              <w:t>**Production Contracts**</w:t>
            </w:r>
          </w:p>
        </w:tc>
        <w:tc>
          <w:tcPr>
            <w:tcW w:type="dxa" w:w="2340"/>
            <w:shd w:fill="F0F4F8" w:val="clear"/>
          </w:tcPr>
          <w:p>
            <w:pPr>
              <w:spacing w:before="60" w:after="60"/>
              <w:jc w:val="left"/>
            </w:pPr>
            <w:r/>
            <w:r>
              <w:rPr>
                <w:rFonts w:ascii="Calibri" w:hAnsi="Calibri"/>
                <w:color w:val="2D2D2D"/>
                <w:sz w:val="20"/>
              </w:rPr>
              <w:t>0</w:t>
            </w:r>
          </w:p>
        </w:tc>
        <w:tc>
          <w:tcPr>
            <w:tcW w:type="dxa" w:w="2340"/>
            <w:shd w:fill="F0F4F8" w:val="clear"/>
          </w:tcPr>
          <w:p>
            <w:pPr>
              <w:spacing w:before="60" w:after="60"/>
              <w:jc w:val="left"/>
            </w:pPr>
            <w:r/>
            <w:r>
              <w:rPr>
                <w:rFonts w:ascii="Calibri" w:hAnsi="Calibri"/>
                <w:color w:val="2D2D2D"/>
                <w:sz w:val="20"/>
              </w:rPr>
              <w:t>≥1</w:t>
            </w:r>
          </w:p>
        </w:tc>
        <w:tc>
          <w:tcPr>
            <w:tcW w:type="dxa" w:w="2340"/>
            <w:shd w:fill="F0F4F8" w:val="clear"/>
          </w:tcPr>
          <w:p>
            <w:pPr>
              <w:spacing w:before="60" w:after="60"/>
              <w:jc w:val="left"/>
            </w:pPr>
            <w:r/>
            <w:r>
              <w:rPr>
                <w:rFonts w:ascii="Calibri" w:hAnsi="Calibri"/>
                <w:color w:val="2D2D2D"/>
                <w:sz w:val="20"/>
              </w:rPr>
              <w:t>3+</w:t>
            </w:r>
          </w:p>
        </w:tc>
      </w:tr>
      <w:tr>
        <w:tc>
          <w:tcPr>
            <w:tcW w:type="dxa" w:w="2340"/>
          </w:tcPr>
          <w:p>
            <w:pPr>
              <w:spacing w:before="60" w:after="60"/>
              <w:jc w:val="left"/>
            </w:pPr>
            <w:r/>
            <w:r>
              <w:rPr>
                <w:rFonts w:ascii="Calibri" w:hAnsi="Calibri"/>
                <w:color w:val="2D2D2D"/>
                <w:sz w:val="20"/>
              </w:rPr>
              <w:t>**Active Crew Usage (POC)**</w:t>
            </w:r>
          </w:p>
        </w:tc>
        <w:tc>
          <w:tcPr>
            <w:tcW w:type="dxa" w:w="2340"/>
          </w:tcPr>
          <w:p>
            <w:pPr>
              <w:spacing w:before="60" w:after="60"/>
              <w:jc w:val="left"/>
            </w:pPr>
            <w:r/>
            <w:r>
              <w:rPr>
                <w:rFonts w:ascii="Calibri" w:hAnsi="Calibri"/>
                <w:color w:val="2D2D2D"/>
                <w:sz w:val="20"/>
              </w:rPr>
              <w:t>Baseline</w:t>
            </w:r>
          </w:p>
        </w:tc>
        <w:tc>
          <w:tcPr>
            <w:tcW w:type="dxa" w:w="2340"/>
          </w:tcPr>
          <w:p>
            <w:pPr>
              <w:spacing w:before="60" w:after="60"/>
              <w:jc w:val="left"/>
            </w:pPr>
            <w:r/>
            <w:r>
              <w:rPr>
                <w:rFonts w:ascii="Calibri" w:hAnsi="Calibri"/>
                <w:color w:val="2D2D2D"/>
                <w:sz w:val="20"/>
              </w:rPr>
              <w:t>≥70%</w:t>
            </w:r>
          </w:p>
        </w:tc>
        <w:tc>
          <w:tcPr>
            <w:tcW w:type="dxa" w:w="2340"/>
          </w:tcPr>
          <w:p>
            <w:pPr>
              <w:spacing w:before="60" w:after="60"/>
              <w:jc w:val="left"/>
            </w:pPr>
            <w:r/>
            <w:r>
              <w:rPr>
                <w:rFonts w:ascii="Calibri" w:hAnsi="Calibri"/>
                <w:color w:val="2D2D2D"/>
                <w:sz w:val="20"/>
              </w:rPr>
              <w:t>≥80%</w:t>
            </w:r>
          </w:p>
        </w:tc>
      </w:tr>
      <w:tr>
        <w:tc>
          <w:tcPr>
            <w:tcW w:type="dxa" w:w="2340"/>
            <w:shd w:fill="F0F4F8" w:val="clear"/>
          </w:tcPr>
          <w:p>
            <w:pPr>
              <w:spacing w:before="60" w:after="60"/>
              <w:jc w:val="left"/>
            </w:pPr>
            <w:r/>
            <w:r>
              <w:rPr>
                <w:rFonts w:ascii="Calibri" w:hAnsi="Calibri"/>
                <w:color w:val="2D2D2D"/>
                <w:sz w:val="20"/>
              </w:rPr>
              <w:t>**ARR (Cumulative)**</w:t>
            </w:r>
          </w:p>
        </w:tc>
        <w:tc>
          <w:tcPr>
            <w:tcW w:type="dxa" w:w="2340"/>
            <w:shd w:fill="F0F4F8" w:val="clear"/>
          </w:tcPr>
          <w:p>
            <w:pPr>
              <w:spacing w:before="60" w:after="60"/>
              <w:jc w:val="left"/>
            </w:pPr>
            <w:r/>
            <w:r>
              <w:rPr>
                <w:rFonts w:ascii="Calibri" w:hAnsi="Calibri"/>
                <w:color w:val="2D2D2D"/>
                <w:sz w:val="20"/>
              </w:rPr>
              <w:t>—</w:t>
            </w:r>
          </w:p>
        </w:tc>
        <w:tc>
          <w:tcPr>
            <w:tcW w:type="dxa" w:w="2340"/>
            <w:shd w:fill="F0F4F8" w:val="clear"/>
          </w:tcPr>
          <w:p>
            <w:pPr>
              <w:spacing w:before="60" w:after="60"/>
              <w:jc w:val="left"/>
            </w:pPr>
            <w:r/>
            <w:r>
              <w:rPr>
                <w:rFonts w:ascii="Calibri" w:hAnsi="Calibri"/>
                <w:color w:val="2D2D2D"/>
                <w:sz w:val="20"/>
              </w:rPr>
              <w:t>$100–150K</w:t>
            </w:r>
          </w:p>
        </w:tc>
        <w:tc>
          <w:tcPr>
            <w:tcW w:type="dxa" w:w="2340"/>
            <w:shd w:fill="F0F4F8" w:val="clear"/>
          </w:tcPr>
          <w:p>
            <w:pPr>
              <w:spacing w:before="60" w:after="60"/>
              <w:jc w:val="left"/>
            </w:pPr>
            <w:r/>
            <w:r>
              <w:rPr>
                <w:rFonts w:ascii="Calibri" w:hAnsi="Calibri"/>
                <w:color w:val="2D2D2D"/>
                <w:sz w:val="20"/>
              </w:rPr>
              <w:t>$400K+</w:t>
            </w:r>
          </w:p>
        </w:tc>
      </w:tr>
      <w:tr>
        <w:tc>
          <w:tcPr>
            <w:tcW w:type="dxa" w:w="2340"/>
          </w:tcPr>
          <w:p>
            <w:pPr>
              <w:spacing w:before="60" w:after="60"/>
              <w:jc w:val="left"/>
            </w:pPr>
            <w:r/>
            <w:r>
              <w:rPr>
                <w:rFonts w:ascii="Calibri" w:hAnsi="Calibri"/>
                <w:color w:val="2D2D2D"/>
                <w:sz w:val="20"/>
              </w:rPr>
              <w:t>**Qualified Pipeline**</w:t>
            </w:r>
          </w:p>
        </w:tc>
        <w:tc>
          <w:tcPr>
            <w:tcW w:type="dxa" w:w="2340"/>
          </w:tcPr>
          <w:p>
            <w:pPr>
              <w:spacing w:before="60" w:after="60"/>
              <w:jc w:val="left"/>
            </w:pPr>
            <w:r/>
            <w:r>
              <w:rPr>
                <w:rFonts w:ascii="Calibri" w:hAnsi="Calibri"/>
                <w:color w:val="2D2D2D"/>
                <w:sz w:val="20"/>
              </w:rPr>
              <w:t>6 intros</w:t>
            </w:r>
          </w:p>
        </w:tc>
        <w:tc>
          <w:tcPr>
            <w:tcW w:type="dxa" w:w="2340"/>
          </w:tcPr>
          <w:p>
            <w:pPr>
              <w:spacing w:before="60" w:after="60"/>
              <w:jc w:val="left"/>
            </w:pPr>
            <w:r/>
            <w:r>
              <w:rPr>
                <w:rFonts w:ascii="Calibri" w:hAnsi="Calibri"/>
                <w:color w:val="2D2D2D"/>
                <w:sz w:val="20"/>
              </w:rPr>
              <w:t>≥5 deals</w:t>
            </w:r>
          </w:p>
        </w:tc>
        <w:tc>
          <w:tcPr>
            <w:tcW w:type="dxa" w:w="2340"/>
          </w:tcPr>
          <w:p>
            <w:pPr>
              <w:spacing w:before="60" w:after="60"/>
              <w:jc w:val="left"/>
            </w:pPr>
            <w:r/>
            <w:r>
              <w:rPr>
                <w:rFonts w:ascii="Calibri" w:hAnsi="Calibri"/>
                <w:color w:val="2D2D2D"/>
                <w:sz w:val="20"/>
              </w:rPr>
              <w:t>10+ deals</w:t>
            </w:r>
          </w:p>
        </w:tc>
      </w:tr>
      <w:tr>
        <w:tc>
          <w:tcPr>
            <w:tcW w:type="dxa" w:w="2340"/>
            <w:shd w:fill="F0F4F8" w:val="clear"/>
          </w:tcPr>
          <w:p>
            <w:pPr>
              <w:spacing w:before="60" w:after="60"/>
              <w:jc w:val="left"/>
            </w:pPr>
            <w:r/>
            <w:r>
              <w:rPr>
                <w:rFonts w:ascii="Calibri" w:hAnsi="Calibri"/>
                <w:color w:val="2D2D2D"/>
                <w:sz w:val="20"/>
              </w:rPr>
              <w:t>**Documented Fuel Savings**</w:t>
            </w:r>
          </w:p>
        </w:tc>
        <w:tc>
          <w:tcPr>
            <w:tcW w:type="dxa" w:w="2340"/>
            <w:shd w:fill="F0F4F8" w:val="clear"/>
          </w:tcPr>
          <w:p>
            <w:pPr>
              <w:spacing w:before="60" w:after="60"/>
              <w:jc w:val="left"/>
            </w:pPr>
            <w:r/>
            <w:r>
              <w:rPr>
                <w:rFonts w:ascii="Calibri" w:hAnsi="Calibri"/>
                <w:color w:val="2D2D2D"/>
                <w:sz w:val="20"/>
              </w:rPr>
              <w:t>Baseline data</w:t>
            </w:r>
          </w:p>
        </w:tc>
        <w:tc>
          <w:tcPr>
            <w:tcW w:type="dxa" w:w="2340"/>
            <w:shd w:fill="F0F4F8" w:val="clear"/>
          </w:tcPr>
          <w:p>
            <w:pPr>
              <w:spacing w:before="60" w:after="60"/>
              <w:jc w:val="left"/>
            </w:pPr>
            <w:r/>
            <w:r>
              <w:rPr>
                <w:rFonts w:ascii="Calibri" w:hAnsi="Calibri"/>
                <w:color w:val="2D2D2D"/>
                <w:sz w:val="20"/>
              </w:rPr>
              <w:t>5–10% target</w:t>
            </w:r>
          </w:p>
        </w:tc>
        <w:tc>
          <w:tcPr>
            <w:tcW w:type="dxa" w:w="2340"/>
            <w:shd w:fill="F0F4F8" w:val="clear"/>
          </w:tcPr>
          <w:p>
            <w:pPr>
              <w:spacing w:before="60" w:after="60"/>
              <w:jc w:val="left"/>
            </w:pPr>
            <w:r/>
            <w:r>
              <w:rPr>
                <w:rFonts w:ascii="Calibri" w:hAnsi="Calibri"/>
                <w:color w:val="2D2D2D"/>
                <w:sz w:val="20"/>
              </w:rPr>
              <w:t>Published case studies</w:t>
            </w:r>
          </w:p>
        </w:tc>
      </w:tr>
    </w:tbl>
    <w:p/>
    <w:p>
      <w:pPr>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tmplzqizbpm.png"/>
                    <pic:cNvPicPr/>
                  </pic:nvPicPr>
                  <pic:blipFill>
                    <a:blip r:embed="rId11"/>
                    <a:stretch>
                      <a:fillRect/>
                    </a:stretch>
                  </pic:blipFill>
                  <pic:spPr>
                    <a:xfrm>
                      <a:off x="0" y="0"/>
                      <a:ext cx="5029200" cy="3143250"/>
                    </a:xfrm>
                    <a:prstGeom prst="rect"/>
                  </pic:spPr>
                </pic:pic>
              </a:graphicData>
            </a:graphic>
          </wp:inline>
        </w:drawing>
      </w:r>
    </w:p>
    <w:p/>
    <w:p>
      <w:pPr>
        <w:spacing w:after="120" w:before="40" w:line="276" w:lineRule="auto"/>
        <w:jc w:val="both"/>
      </w:pPr>
      <w:r>
        <w:rPr>
          <w:rFonts w:ascii="Calibri" w:hAnsi="Calibri"/>
          <w:color w:val="2D2D2D"/>
          <w:sz w:val="22"/>
        </w:rPr>
        <w:t>The balance of this document details the strategic fit assessment, commercial terms, joint GTM plan, success metrics, full six-month roadmap, and risk mitigation framework. Each section is designed to be actionable — providing decision-ready analysis rather than abstract strategy.</w:t>
      </w:r>
    </w:p>
    <w:p>
      <w:pPr>
        <w:spacing w:before="160" w:after="160"/>
        <w:jc w:val="center"/>
      </w:pPr>
      <w:r>
        <w:rPr>
          <w:color w:val="D0D5DD"/>
          <w:sz w:val="16"/>
        </w:rPr>
        <w:t>────────────────────────────────────────────────────────────</w:t>
      </w:r>
    </w:p>
    <w:p>
      <w:pPr>
        <w:pStyle w:val="Heading1"/>
      </w:pPr>
      <w:r>
        <w:t>Partnership Rationale &amp; Strategic Fit</w:t>
      </w:r>
    </w:p>
    <w:p>
      <w:pPr>
        <w:pStyle w:val="Heading2"/>
      </w:pPr>
      <w:r>
        <w:t>Why Holland — And Why Now</w:t>
      </w:r>
    </w:p>
    <w:p>
      <w:pPr>
        <w:spacing w:after="120" w:before="40" w:line="276" w:lineRule="auto"/>
        <w:jc w:val="both"/>
      </w:pPr>
      <w:r>
        <w:rPr>
          <w:rFonts w:ascii="Calibri" w:hAnsi="Calibri"/>
          <w:color w:val="2D2D2D"/>
          <w:sz w:val="22"/>
        </w:rPr>
        <w:t xml:space="preserve">RailVision's core challenge is not technology — it is </w:t>
      </w:r>
      <w:r>
        <w:rPr>
          <w:rFonts w:ascii="Calibri" w:hAnsi="Calibri"/>
          <w:b/>
          <w:color w:val="2D2D2D"/>
          <w:sz w:val="22"/>
        </w:rPr>
        <w:t>distribution</w:t>
      </w:r>
      <w:r>
        <w:rPr>
          <w:rFonts w:ascii="Calibri" w:hAnsi="Calibri"/>
          <w:color w:val="2D2D2D"/>
          <w:sz w:val="22"/>
        </w:rPr>
        <w:t>. The product delivers measurable fuel savings (5–10%), improved schedule adherence, and crew-friendly efficiency tooling. But shortline and regional railroads are notoriously relationship-driven markets where vendor trust is earned through years of field presence, not product demos. Holland occupies precisely this position: embedded, trusted, and operationally present across the shortline ecosystem.</w:t>
      </w:r>
    </w:p>
    <w:p>
      <w:pPr>
        <w:spacing w:after="120" w:before="40" w:line="276" w:lineRule="auto"/>
        <w:jc w:val="both"/>
      </w:pPr>
      <w:r>
        <w:rPr>
          <w:rFonts w:ascii="Calibri" w:hAnsi="Calibri"/>
          <w:color w:val="2D2D2D"/>
          <w:sz w:val="22"/>
        </w:rPr>
        <w:t>Four factors make Holland the right partner at the right time:</w:t>
      </w:r>
    </w:p>
    <w:p>
      <w:pPr>
        <w:pStyle w:val="ListBullet"/>
        <w:spacing w:after="40" w:before="20"/>
      </w:pPr>
      <w:r>
        <w:rPr>
          <w:rFonts w:ascii="Calibri" w:hAnsi="Calibri"/>
          <w:b/>
          <w:color w:val="2D2D2D"/>
          <w:sz w:val="22"/>
        </w:rPr>
        <w:t>Access &amp; Trust</w:t>
      </w:r>
      <w:r>
        <w:rPr>
          <w:rFonts w:ascii="Calibri" w:hAnsi="Calibri"/>
          <w:color w:val="2D2D2D"/>
          <w:sz w:val="22"/>
        </w:rPr>
        <w:t xml:space="preserve">: Holland maintains active maintenance and service contracts with dozens of shortline operators. Their field technicians are on-site regularly, known by name to operations managers and locomotive engineers. This is the kind of access that would take RailVision </w:t>
      </w:r>
      <w:r>
        <w:rPr>
          <w:rFonts w:ascii="Calibri" w:hAnsi="Calibri"/>
          <w:b/>
          <w:color w:val="2D2D2D"/>
          <w:sz w:val="22"/>
        </w:rPr>
        <w:t>18–24 months</w:t>
      </w:r>
      <w:r>
        <w:rPr>
          <w:rFonts w:ascii="Calibri" w:hAnsi="Calibri"/>
          <w:color w:val="2D2D2D"/>
          <w:sz w:val="22"/>
        </w:rPr>
        <w:t xml:space="preserve"> to build independently.</w:t>
      </w:r>
    </w:p>
    <w:p>
      <w:pPr>
        <w:pStyle w:val="ListBullet"/>
        <w:spacing w:after="40" w:before="20"/>
      </w:pPr>
      <w:r>
        <w:rPr>
          <w:rFonts w:ascii="Calibri" w:hAnsi="Calibri"/>
          <w:b/>
          <w:color w:val="2D2D2D"/>
          <w:sz w:val="22"/>
        </w:rPr>
        <w:t>Credibility with Crews</w:t>
      </w:r>
      <w:r>
        <w:rPr>
          <w:rFonts w:ascii="Calibri" w:hAnsi="Calibri"/>
          <w:color w:val="2D2D2D"/>
          <w:sz w:val="22"/>
        </w:rPr>
        <w:t>: Engineer adoption is the single biggest risk to any RailVision deployment. Holland's field staff are already trusted by the people who will use our product. Their endorsement — or even neutral introduction — dramatically reduces the "who are these people?" barrier that kills early-stage pilots.</w:t>
      </w:r>
    </w:p>
    <w:p>
      <w:pPr>
        <w:pStyle w:val="ListBullet"/>
        <w:spacing w:after="40" w:before="20"/>
      </w:pPr>
      <w:r>
        <w:rPr>
          <w:rFonts w:ascii="Calibri" w:hAnsi="Calibri"/>
          <w:b/>
          <w:color w:val="2D2D2D"/>
          <w:sz w:val="22"/>
        </w:rPr>
        <w:t>Complementary Footprint</w:t>
      </w:r>
      <w:r>
        <w:rPr>
          <w:rFonts w:ascii="Calibri" w:hAnsi="Calibri"/>
          <w:color w:val="2D2D2D"/>
          <w:sz w:val="22"/>
        </w:rPr>
        <w:t>: RailVision is tablet-first, low-capex, and designed for rapid deployment. Holland can bundle our solution into existing service visits without requiring locomotive modifications or extended downtime. This is a critical advantage over competitors like Trip Optimizer (Wabtec), which require significant hardware installation.</w:t>
      </w:r>
    </w:p>
    <w:p>
      <w:pPr>
        <w:pStyle w:val="ListBullet"/>
        <w:spacing w:after="40" w:before="20"/>
      </w:pPr>
      <w:r>
        <w:rPr>
          <w:rFonts w:ascii="Calibri" w:hAnsi="Calibri"/>
          <w:b/>
          <w:color w:val="2D2D2D"/>
          <w:sz w:val="22"/>
        </w:rPr>
        <w:t>De-Risked Pilots</w:t>
      </w:r>
      <w:r>
        <w:rPr>
          <w:rFonts w:ascii="Calibri" w:hAnsi="Calibri"/>
          <w:color w:val="2D2D2D"/>
          <w:sz w:val="22"/>
        </w:rPr>
        <w:t>: Joint introductions mean faster scheduling, shared onsite enablement, and a built-in escalation path if operational issues arise during proof-of-concept deployments.</w:t>
      </w:r>
    </w:p>
    <w:p>
      <w:pPr>
        <w:spacing w:before="200" w:after="200"/>
        <w:jc w:val="center"/>
      </w:pPr>
      <w:r>
        <w:rPr>
          <w:color w:val="D0D5DD"/>
          <w:sz w:val="12"/>
        </w:rPr>
        <w:t>──────────────────────────────────────────────────────────────────────</w:t>
      </w:r>
    </w:p>
    <w:p>
      <w:pPr>
        <w:pStyle w:val="Heading2"/>
      </w:pPr>
      <w:r>
        <w:t>Strategic Fit Assessment</w:t>
      </w:r>
    </w:p>
    <w:p>
      <w:pPr>
        <w:spacing w:after="120" w:before="40" w:line="276" w:lineRule="auto"/>
        <w:jc w:val="both"/>
      </w:pPr>
      <w:r>
        <w:rPr>
          <w:rFonts w:ascii="Calibri" w:hAnsi="Calibri"/>
          <w:color w:val="2D2D2D"/>
          <w:sz w:val="22"/>
        </w:rPr>
        <w:t>The following scorecard evaluates Holland across the dimensions that matter most for a co-sell partnership:</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A4A" w:val="clear"/>
          </w:tcPr>
          <w:p>
            <w:pPr>
              <w:spacing w:before="60" w:after="60"/>
              <w:jc w:val="left"/>
            </w:pPr>
            <w:r/>
            <w:r>
              <w:rPr>
                <w:rFonts w:ascii="Calibri" w:hAnsi="Calibri"/>
                <w:b/>
                <w:color w:val="FFFFFF"/>
                <w:sz w:val="20"/>
              </w:rPr>
              <w:t>Fit Dimension</w:t>
            </w:r>
          </w:p>
        </w:tc>
        <w:tc>
          <w:tcPr>
            <w:tcW w:type="dxa" w:w="3120"/>
            <w:shd w:fill="1B2A4A" w:val="clear"/>
          </w:tcPr>
          <w:p>
            <w:pPr>
              <w:spacing w:before="60" w:after="60"/>
              <w:jc w:val="left"/>
            </w:pPr>
            <w:r/>
            <w:r>
              <w:rPr>
                <w:rFonts w:ascii="Calibri" w:hAnsi="Calibri"/>
                <w:b/>
                <w:color w:val="FFFFFF"/>
                <w:sz w:val="20"/>
              </w:rPr>
              <w:t>Rating (1–5)</w:t>
            </w:r>
          </w:p>
        </w:tc>
        <w:tc>
          <w:tcPr>
            <w:tcW w:type="dxa" w:w="3120"/>
            <w:shd w:fill="1B2A4A" w:val="clear"/>
          </w:tcPr>
          <w:p>
            <w:pPr>
              <w:spacing w:before="60" w:after="60"/>
              <w:jc w:val="left"/>
            </w:pPr>
            <w:r/>
            <w:r>
              <w:rPr>
                <w:rFonts w:ascii="Calibri" w:hAnsi="Calibri"/>
                <w:b/>
                <w:color w:val="FFFFFF"/>
                <w:sz w:val="20"/>
              </w:rPr>
              <w:t>Evidence / Rationale</w:t>
            </w:r>
          </w:p>
        </w:tc>
      </w:tr>
      <w:tr>
        <w:tc>
          <w:tcPr>
            <w:tcW w:type="dxa" w:w="3120"/>
          </w:tcPr>
          <w:p>
            <w:pPr>
              <w:spacing w:before="60" w:after="60"/>
              <w:jc w:val="left"/>
            </w:pPr>
            <w:r/>
            <w:r>
              <w:rPr>
                <w:rFonts w:ascii="Calibri" w:hAnsi="Calibri"/>
                <w:color w:val="2D2D2D"/>
                <w:sz w:val="20"/>
              </w:rPr>
              <w:t>**Shortline Coverage**</w:t>
            </w:r>
          </w:p>
        </w:tc>
        <w:tc>
          <w:tcPr>
            <w:tcW w:type="dxa" w:w="3120"/>
          </w:tcPr>
          <w:p>
            <w:pPr>
              <w:spacing w:before="60" w:after="60"/>
              <w:jc w:val="left"/>
            </w:pPr>
            <w:r/>
            <w:r>
              <w:rPr>
                <w:rFonts w:ascii="Calibri" w:hAnsi="Calibri"/>
                <w:color w:val="2D2D2D"/>
                <w:sz w:val="20"/>
              </w:rPr>
              <w:t>5</w:t>
            </w:r>
          </w:p>
        </w:tc>
        <w:tc>
          <w:tcPr>
            <w:tcW w:type="dxa" w:w="3120"/>
          </w:tcPr>
          <w:p>
            <w:pPr>
              <w:spacing w:before="60" w:after="60"/>
              <w:jc w:val="left"/>
            </w:pPr>
            <w:r/>
            <w:r>
              <w:rPr>
                <w:rFonts w:ascii="Calibri" w:hAnsi="Calibri"/>
                <w:color w:val="2D2D2D"/>
                <w:sz w:val="20"/>
              </w:rPr>
              <w:t>Active relationships with 25+ target logos; routine site presence</w:t>
            </w:r>
          </w:p>
        </w:tc>
      </w:tr>
      <w:tr>
        <w:tc>
          <w:tcPr>
            <w:tcW w:type="dxa" w:w="3120"/>
            <w:shd w:fill="F0F4F8" w:val="clear"/>
          </w:tcPr>
          <w:p>
            <w:pPr>
              <w:spacing w:before="60" w:after="60"/>
              <w:jc w:val="left"/>
            </w:pPr>
            <w:r/>
            <w:r>
              <w:rPr>
                <w:rFonts w:ascii="Calibri" w:hAnsi="Calibri"/>
                <w:color w:val="2D2D2D"/>
                <w:sz w:val="20"/>
              </w:rPr>
              <w:t>**C-Suite Access**</w:t>
            </w:r>
          </w:p>
        </w:tc>
        <w:tc>
          <w:tcPr>
            <w:tcW w:type="dxa" w:w="3120"/>
            <w:shd w:fill="F0F4F8" w:val="clear"/>
          </w:tcPr>
          <w:p>
            <w:pPr>
              <w:spacing w:before="60" w:after="60"/>
              <w:jc w:val="left"/>
            </w:pPr>
            <w:r/>
            <w:r>
              <w:rPr>
                <w:rFonts w:ascii="Calibri" w:hAnsi="Calibri"/>
                <w:color w:val="2D2D2D"/>
                <w:sz w:val="20"/>
              </w:rPr>
              <w:t>4</w:t>
            </w:r>
          </w:p>
        </w:tc>
        <w:tc>
          <w:tcPr>
            <w:tcW w:type="dxa" w:w="3120"/>
            <w:shd w:fill="F0F4F8" w:val="clear"/>
          </w:tcPr>
          <w:p>
            <w:pPr>
              <w:spacing w:before="60" w:after="60"/>
              <w:jc w:val="left"/>
            </w:pPr>
            <w:r/>
            <w:r>
              <w:rPr>
                <w:rFonts w:ascii="Calibri" w:hAnsi="Calibri"/>
                <w:color w:val="2D2D2D"/>
                <w:sz w:val="20"/>
              </w:rPr>
              <w:t>Known to ops leadership; some CEO-level relationships via long-term contracts</w:t>
            </w:r>
          </w:p>
        </w:tc>
      </w:tr>
      <w:tr>
        <w:tc>
          <w:tcPr>
            <w:tcW w:type="dxa" w:w="3120"/>
          </w:tcPr>
          <w:p>
            <w:pPr>
              <w:spacing w:before="60" w:after="60"/>
              <w:jc w:val="left"/>
            </w:pPr>
            <w:r/>
            <w:r>
              <w:rPr>
                <w:rFonts w:ascii="Calibri" w:hAnsi="Calibri"/>
                <w:color w:val="2D2D2D"/>
                <w:sz w:val="20"/>
              </w:rPr>
              <w:t>**Field Staff Quality**</w:t>
            </w:r>
          </w:p>
        </w:tc>
        <w:tc>
          <w:tcPr>
            <w:tcW w:type="dxa" w:w="3120"/>
          </w:tcPr>
          <w:p>
            <w:pPr>
              <w:spacing w:before="60" w:after="60"/>
              <w:jc w:val="left"/>
            </w:pPr>
            <w:r/>
            <w:r>
              <w:rPr>
                <w:rFonts w:ascii="Calibri" w:hAnsi="Calibri"/>
                <w:color w:val="2D2D2D"/>
                <w:sz w:val="20"/>
              </w:rPr>
              <w:t>4</w:t>
            </w:r>
          </w:p>
        </w:tc>
        <w:tc>
          <w:tcPr>
            <w:tcW w:type="dxa" w:w="3120"/>
          </w:tcPr>
          <w:p>
            <w:pPr>
              <w:spacing w:before="60" w:after="60"/>
              <w:jc w:val="left"/>
            </w:pPr>
            <w:r/>
            <w:r>
              <w:rPr>
                <w:rFonts w:ascii="Calibri" w:hAnsi="Calibri"/>
                <w:color w:val="2D2D2D"/>
                <w:sz w:val="20"/>
              </w:rPr>
              <w:t>Technically competent; trusted by crews; capable of coaching/enablement</w:t>
            </w:r>
          </w:p>
        </w:tc>
      </w:tr>
      <w:tr>
        <w:tc>
          <w:tcPr>
            <w:tcW w:type="dxa" w:w="3120"/>
            <w:shd w:fill="F0F4F8" w:val="clear"/>
          </w:tcPr>
          <w:p>
            <w:pPr>
              <w:spacing w:before="60" w:after="60"/>
              <w:jc w:val="left"/>
            </w:pPr>
            <w:r/>
            <w:r>
              <w:rPr>
                <w:rFonts w:ascii="Calibri" w:hAnsi="Calibri"/>
                <w:color w:val="2D2D2D"/>
                <w:sz w:val="20"/>
              </w:rPr>
              <w:t>**Brand Alignment**</w:t>
            </w:r>
          </w:p>
        </w:tc>
        <w:tc>
          <w:tcPr>
            <w:tcW w:type="dxa" w:w="3120"/>
            <w:shd w:fill="F0F4F8" w:val="clear"/>
          </w:tcPr>
          <w:p>
            <w:pPr>
              <w:spacing w:before="60" w:after="60"/>
              <w:jc w:val="left"/>
            </w:pPr>
            <w:r/>
            <w:r>
              <w:rPr>
                <w:rFonts w:ascii="Calibri" w:hAnsi="Calibri"/>
                <w:color w:val="2D2D2D"/>
                <w:sz w:val="20"/>
              </w:rPr>
              <w:t>4</w:t>
            </w:r>
          </w:p>
        </w:tc>
        <w:tc>
          <w:tcPr>
            <w:tcW w:type="dxa" w:w="3120"/>
            <w:shd w:fill="F0F4F8" w:val="clear"/>
          </w:tcPr>
          <w:p>
            <w:pPr>
              <w:spacing w:before="60" w:after="60"/>
              <w:jc w:val="left"/>
            </w:pPr>
            <w:r/>
            <w:r>
              <w:rPr>
                <w:rFonts w:ascii="Calibri" w:hAnsi="Calibri"/>
                <w:color w:val="2D2D2D"/>
                <w:sz w:val="20"/>
              </w:rPr>
              <w:t>Practical, operator-focused positioning; no conflicting technology agenda</w:t>
            </w:r>
          </w:p>
        </w:tc>
      </w:tr>
      <w:tr>
        <w:tc>
          <w:tcPr>
            <w:tcW w:type="dxa" w:w="3120"/>
          </w:tcPr>
          <w:p>
            <w:pPr>
              <w:spacing w:before="60" w:after="60"/>
              <w:jc w:val="left"/>
            </w:pPr>
            <w:r/>
            <w:r>
              <w:rPr>
                <w:rFonts w:ascii="Calibri" w:hAnsi="Calibri"/>
                <w:color w:val="2D2D2D"/>
                <w:sz w:val="20"/>
              </w:rPr>
              <w:t>**Commercial Flexibility**</w:t>
            </w:r>
          </w:p>
        </w:tc>
        <w:tc>
          <w:tcPr>
            <w:tcW w:type="dxa" w:w="3120"/>
          </w:tcPr>
          <w:p>
            <w:pPr>
              <w:spacing w:before="60" w:after="60"/>
              <w:jc w:val="left"/>
            </w:pPr>
            <w:r/>
            <w:r>
              <w:rPr>
                <w:rFonts w:ascii="Calibri" w:hAnsi="Calibri"/>
                <w:color w:val="2D2D2D"/>
                <w:sz w:val="20"/>
              </w:rPr>
              <w:t>3</w:t>
            </w:r>
          </w:p>
        </w:tc>
        <w:tc>
          <w:tcPr>
            <w:tcW w:type="dxa" w:w="3120"/>
          </w:tcPr>
          <w:p>
            <w:pPr>
              <w:spacing w:before="60" w:after="60"/>
              <w:jc w:val="left"/>
            </w:pPr>
            <w:r/>
            <w:r>
              <w:rPr>
                <w:rFonts w:ascii="Calibri" w:hAnsi="Calibri"/>
                <w:color w:val="2D2D2D"/>
                <w:sz w:val="20"/>
              </w:rPr>
              <w:t>Willing to discuss referral/success-fee models; exclusivity remains a negotiation risk</w:t>
            </w:r>
          </w:p>
        </w:tc>
      </w:tr>
      <w:tr>
        <w:tc>
          <w:tcPr>
            <w:tcW w:type="dxa" w:w="3120"/>
            <w:shd w:fill="F0F4F8" w:val="clear"/>
          </w:tcPr>
          <w:p>
            <w:pPr>
              <w:spacing w:before="60" w:after="60"/>
              <w:jc w:val="left"/>
            </w:pPr>
            <w:r/>
            <w:r>
              <w:rPr>
                <w:rFonts w:ascii="Calibri" w:hAnsi="Calibri"/>
                <w:color w:val="2D2D2D"/>
                <w:sz w:val="20"/>
              </w:rPr>
              <w:t>**Data Sensitivity**</w:t>
            </w:r>
          </w:p>
        </w:tc>
        <w:tc>
          <w:tcPr>
            <w:tcW w:type="dxa" w:w="3120"/>
            <w:shd w:fill="F0F4F8" w:val="clear"/>
          </w:tcPr>
          <w:p>
            <w:pPr>
              <w:spacing w:before="60" w:after="60"/>
              <w:jc w:val="left"/>
            </w:pPr>
            <w:r/>
            <w:r>
              <w:rPr>
                <w:rFonts w:ascii="Calibri" w:hAnsi="Calibri"/>
                <w:color w:val="2D2D2D"/>
                <w:sz w:val="20"/>
              </w:rPr>
              <w:t>3</w:t>
            </w:r>
          </w:p>
        </w:tc>
        <w:tc>
          <w:tcPr>
            <w:tcW w:type="dxa" w:w="3120"/>
            <w:shd w:fill="F0F4F8" w:val="clear"/>
          </w:tcPr>
          <w:p>
            <w:pPr>
              <w:spacing w:before="60" w:after="60"/>
              <w:jc w:val="left"/>
            </w:pPr>
            <w:r/>
            <w:r>
              <w:rPr>
                <w:rFonts w:ascii="Calibri" w:hAnsi="Calibri"/>
                <w:color w:val="2D2D2D"/>
                <w:sz w:val="20"/>
              </w:rPr>
              <w:t>No history of data-centric partnerships; requires clear contractual guardrails</w:t>
            </w:r>
          </w:p>
        </w:tc>
      </w:tr>
      <w:tr>
        <w:tc>
          <w:tcPr>
            <w:tcW w:type="dxa" w:w="3120"/>
          </w:tcPr>
          <w:p>
            <w:pPr>
              <w:spacing w:before="60" w:after="60"/>
              <w:jc w:val="left"/>
            </w:pPr>
            <w:r/>
            <w:r>
              <w:rPr>
                <w:rFonts w:ascii="Calibri" w:hAnsi="Calibri"/>
                <w:color w:val="2D2D2D"/>
                <w:sz w:val="20"/>
              </w:rPr>
              <w:t>**Competitive Risk**</w:t>
            </w:r>
          </w:p>
        </w:tc>
        <w:tc>
          <w:tcPr>
            <w:tcW w:type="dxa" w:w="3120"/>
          </w:tcPr>
          <w:p>
            <w:pPr>
              <w:spacing w:before="60" w:after="60"/>
              <w:jc w:val="left"/>
            </w:pPr>
            <w:r/>
            <w:r>
              <w:rPr>
                <w:rFonts w:ascii="Calibri" w:hAnsi="Calibri"/>
                <w:color w:val="2D2D2D"/>
                <w:sz w:val="20"/>
              </w:rPr>
              <w:t>2</w:t>
            </w:r>
          </w:p>
        </w:tc>
        <w:tc>
          <w:tcPr>
            <w:tcW w:type="dxa" w:w="3120"/>
          </w:tcPr>
          <w:p>
            <w:pPr>
              <w:spacing w:before="60" w:after="60"/>
              <w:jc w:val="left"/>
            </w:pPr>
            <w:r/>
            <w:r>
              <w:rPr>
                <w:rFonts w:ascii="Calibri" w:hAnsi="Calibri"/>
                <w:color w:val="2D2D2D"/>
                <w:sz w:val="20"/>
              </w:rPr>
              <w:t>Low probability of building competing product; moderate risk of partnering with a rival</w:t>
            </w:r>
          </w:p>
        </w:tc>
      </w:tr>
    </w:tbl>
    <w:p/>
    <w:p>
      <w:pPr>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tmpe3etq5e8.png"/>
                    <pic:cNvPicPr/>
                  </pic:nvPicPr>
                  <pic:blipFill>
                    <a:blip r:embed="rId12"/>
                    <a:stretch>
                      <a:fillRect/>
                    </a:stretch>
                  </pic:blipFill>
                  <pic:spPr>
                    <a:xfrm>
                      <a:off x="0" y="0"/>
                      <a:ext cx="5029200" cy="3143250"/>
                    </a:xfrm>
                    <a:prstGeom prst="rect"/>
                  </pic:spPr>
                </pic:pic>
              </a:graphicData>
            </a:graphic>
          </wp:inline>
        </w:drawing>
      </w:r>
    </w:p>
    <w:p/>
    <w:p>
      <w:pPr>
        <w:pStyle w:val="Heading2"/>
      </w:pPr>
      <w:r>
        <w:t>What Happens If We Don't Partner</w:t>
      </w:r>
    </w:p>
    <w:p>
      <w:pPr>
        <w:spacing w:after="120" w:before="40" w:line="276" w:lineRule="auto"/>
        <w:jc w:val="both"/>
      </w:pPr>
      <w:r>
        <w:rPr>
          <w:rFonts w:ascii="Calibri" w:hAnsi="Calibri"/>
          <w:color w:val="2D2D2D"/>
          <w:sz w:val="22"/>
        </w:rPr>
        <w:t>The non-go scenario is not neutral — it carries real cost. Without Holland (or a comparable channel partner), RailVision must build shortline relationships from scratch, relying on cold outreach, conference networking, and the slow accumulation of references. Based on 2023–2024 sales cycle data, this implies:</w:t>
      </w:r>
    </w:p>
    <w:p>
      <w:pPr>
        <w:pStyle w:val="ListBullet"/>
        <w:spacing w:after="40" w:before="20"/>
      </w:pPr>
      <w:r>
        <w:rPr>
          <w:rFonts w:ascii="Calibri" w:hAnsi="Calibri"/>
          <w:b/>
          <w:color w:val="2D2D2D"/>
          <w:sz w:val="22"/>
        </w:rPr>
        <w:t>Average time-to-first-meeting</w:t>
      </w:r>
      <w:r>
        <w:rPr>
          <w:rFonts w:ascii="Calibri" w:hAnsi="Calibri"/>
          <w:color w:val="2D2D2D"/>
          <w:sz w:val="22"/>
        </w:rPr>
        <w:t>: 6–8 weeks (vs. 1–2 weeks with Holland intro)</w:t>
      </w:r>
    </w:p>
    <w:p>
      <w:pPr>
        <w:pStyle w:val="ListBullet"/>
        <w:spacing w:after="40" w:before="20"/>
      </w:pPr>
      <w:r>
        <w:rPr>
          <w:rFonts w:ascii="Calibri" w:hAnsi="Calibri"/>
          <w:b/>
          <w:color w:val="2D2D2D"/>
          <w:sz w:val="22"/>
        </w:rPr>
        <w:t>Average time-to-signed-POC</w:t>
      </w:r>
      <w:r>
        <w:rPr>
          <w:rFonts w:ascii="Calibri" w:hAnsi="Calibri"/>
          <w:color w:val="2D2D2D"/>
          <w:sz w:val="22"/>
        </w:rPr>
        <w:t>: 4–6 months (vs. 6–8 weeks with co-sell support)</w:t>
      </w:r>
    </w:p>
    <w:p>
      <w:pPr>
        <w:pStyle w:val="ListBullet"/>
        <w:spacing w:after="40" w:before="20"/>
      </w:pPr>
      <w:r>
        <w:rPr>
          <w:rFonts w:ascii="Calibri" w:hAnsi="Calibri"/>
          <w:b/>
          <w:color w:val="2D2D2D"/>
          <w:sz w:val="22"/>
        </w:rPr>
        <w:t>Pipeline conversion rate</w:t>
      </w:r>
      <w:r>
        <w:rPr>
          <w:rFonts w:ascii="Calibri" w:hAnsi="Calibri"/>
          <w:color w:val="2D2D2D"/>
          <w:sz w:val="22"/>
        </w:rPr>
        <w:t>: ~12% direct vs. ~25% estimated with warm introduction</w:t>
      </w:r>
    </w:p>
    <w:p>
      <w:pPr>
        <w:spacing w:after="120" w:before="40" w:line="276" w:lineRule="auto"/>
        <w:jc w:val="both"/>
      </w:pPr>
      <w:r>
        <w:rPr>
          <w:rFonts w:ascii="Calibri" w:hAnsi="Calibri"/>
          <w:color w:val="2D2D2D"/>
          <w:sz w:val="22"/>
        </w:rPr>
        <w:t xml:space="preserve">In a company with limited runway, this time differential is existential. Every month of delayed pipeline is a month of cash burn without revenue offset. The Holland partnership is not a growth optimization — it is a </w:t>
      </w:r>
      <w:r>
        <w:rPr>
          <w:rFonts w:ascii="Calibri" w:hAnsi="Calibri"/>
          <w:b/>
          <w:color w:val="2D2D2D"/>
          <w:sz w:val="22"/>
        </w:rPr>
        <w:t>survival accelerant</w:t>
      </w:r>
      <w:r>
        <w:rPr>
          <w:rFonts w:ascii="Calibri" w:hAnsi="Calibri"/>
          <w:color w:val="2D2D2D"/>
          <w:sz w:val="22"/>
        </w:rPr>
        <w:t>.</w:t>
      </w:r>
    </w:p>
    <w:p>
      <w:pPr>
        <w:spacing w:before="160" w:after="160"/>
        <w:jc w:val="center"/>
      </w:pPr>
      <w:r>
        <w:rPr>
          <w:color w:val="D0D5DD"/>
          <w:sz w:val="16"/>
        </w:rPr>
        <w:t>────────────────────────────────────────────────────────────</w:t>
      </w:r>
    </w:p>
    <w:p>
      <w:pPr>
        <w:pStyle w:val="Heading1"/>
      </w:pPr>
      <w:r>
        <w:t>Partnership Model &amp; Commercial Terms</w:t>
      </w:r>
    </w:p>
    <w:p>
      <w:pPr>
        <w:pStyle w:val="Heading2"/>
      </w:pPr>
      <w:r>
        <w:t>Structural Guardrails</w:t>
      </w:r>
    </w:p>
    <w:p>
      <w:pPr>
        <w:spacing w:after="120" w:before="40" w:line="276" w:lineRule="auto"/>
        <w:jc w:val="both"/>
      </w:pPr>
      <w:r>
        <w:rPr>
          <w:rFonts w:ascii="Calibri" w:hAnsi="Calibri"/>
          <w:color w:val="2D2D2D"/>
          <w:sz w:val="22"/>
        </w:rPr>
        <w:t xml:space="preserve">The partnership framework is designed around a single principle: </w:t>
      </w:r>
      <w:r>
        <w:rPr>
          <w:rFonts w:ascii="Calibri" w:hAnsi="Calibri"/>
          <w:b/>
          <w:color w:val="2D2D2D"/>
          <w:sz w:val="22"/>
        </w:rPr>
        <w:t>RailVision retains the customer relationship, the commercial control, and the data rights — without exception.</w:t>
      </w:r>
      <w:r>
        <w:rPr>
          <w:rFonts w:ascii="Calibri" w:hAnsi="Calibri"/>
          <w:color w:val="2D2D2D"/>
          <w:sz w:val="22"/>
        </w:rPr>
        <w:t xml:space="preserve"> Holland provides access, introductions, and field enablement. They are a force multiplier, not a gatekeeper.</w:t>
      </w:r>
    </w:p>
    <w:p>
      <w:pPr>
        <w:spacing w:after="120" w:before="40" w:line="276" w:lineRule="auto"/>
        <w:jc w:val="both"/>
      </w:pPr>
      <w:r>
        <w:rPr>
          <w:rFonts w:ascii="Calibri" w:hAnsi="Calibri"/>
          <w:color w:val="2D2D2D"/>
          <w:sz w:val="22"/>
        </w:rPr>
        <w:t>The following non-negotiable guardrails define the partnership boundaries: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A4A" w:val="clear"/>
          </w:tcPr>
          <w:p>
            <w:pPr>
              <w:spacing w:before="60" w:after="60"/>
              <w:jc w:val="left"/>
            </w:pPr>
            <w:r/>
            <w:r>
              <w:rPr>
                <w:rFonts w:ascii="Calibri" w:hAnsi="Calibri"/>
                <w:b/>
                <w:color w:val="FFFFFF"/>
                <w:sz w:val="20"/>
              </w:rPr>
              <w:t>Guardrail</w:t>
            </w:r>
          </w:p>
        </w:tc>
        <w:tc>
          <w:tcPr>
            <w:tcW w:type="dxa" w:w="3120"/>
            <w:shd w:fill="1B2A4A" w:val="clear"/>
          </w:tcPr>
          <w:p>
            <w:pPr>
              <w:spacing w:before="60" w:after="60"/>
              <w:jc w:val="left"/>
            </w:pPr>
            <w:r/>
            <w:r>
              <w:rPr>
                <w:rFonts w:ascii="Calibri" w:hAnsi="Calibri"/>
                <w:b/>
                <w:color w:val="FFFFFF"/>
                <w:sz w:val="20"/>
              </w:rPr>
              <w:t>Specification</w:t>
            </w:r>
          </w:p>
        </w:tc>
        <w:tc>
          <w:tcPr>
            <w:tcW w:type="dxa" w:w="3120"/>
            <w:shd w:fill="1B2A4A" w:val="clear"/>
          </w:tcPr>
          <w:p>
            <w:pPr>
              <w:spacing w:before="60" w:after="60"/>
              <w:jc w:val="left"/>
            </w:pPr>
            <w:r/>
            <w:r>
              <w:rPr>
                <w:rFonts w:ascii="Calibri" w:hAnsi="Calibri"/>
                <w:b/>
                <w:color w:val="FFFFFF"/>
                <w:sz w:val="20"/>
              </w:rPr>
              <w:t>Rationale</w:t>
            </w:r>
          </w:p>
        </w:tc>
      </w:tr>
      <w:tr>
        <w:tc>
          <w:tcPr>
            <w:tcW w:type="dxa" w:w="3120"/>
          </w:tcPr>
          <w:p>
            <w:pPr>
              <w:spacing w:before="60" w:after="60"/>
              <w:jc w:val="left"/>
            </w:pPr>
            <w:r/>
            <w:r>
              <w:rPr>
                <w:rFonts w:ascii="Calibri" w:hAnsi="Calibri"/>
                <w:color w:val="2D2D2D"/>
                <w:sz w:val="20"/>
              </w:rPr>
              <w:t>**Partnership Type**</w:t>
            </w:r>
          </w:p>
        </w:tc>
        <w:tc>
          <w:tcPr>
            <w:tcW w:type="dxa" w:w="3120"/>
          </w:tcPr>
          <w:p>
            <w:pPr>
              <w:spacing w:before="60" w:after="60"/>
              <w:jc w:val="left"/>
            </w:pPr>
            <w:r/>
            <w:r>
              <w:rPr>
                <w:rFonts w:ascii="Calibri" w:hAnsi="Calibri"/>
                <w:color w:val="2D2D2D"/>
                <w:sz w:val="20"/>
              </w:rPr>
              <w:t>Referral + co-sell only</w:t>
            </w:r>
          </w:p>
        </w:tc>
        <w:tc>
          <w:tcPr>
            <w:tcW w:type="dxa" w:w="3120"/>
          </w:tcPr>
          <w:p>
            <w:pPr>
              <w:spacing w:before="60" w:after="60"/>
              <w:jc w:val="left"/>
            </w:pPr>
            <w:r/>
            <w:r>
              <w:rPr>
                <w:rFonts w:ascii="Calibri" w:hAnsi="Calibri"/>
                <w:color w:val="2D2D2D"/>
                <w:sz w:val="20"/>
              </w:rPr>
              <w:t>Prevents Holland from controlling customer communication or pricing</w:t>
            </w:r>
          </w:p>
        </w:tc>
      </w:tr>
      <w:tr>
        <w:tc>
          <w:tcPr>
            <w:tcW w:type="dxa" w:w="3120"/>
            <w:shd w:fill="F0F4F8" w:val="clear"/>
          </w:tcPr>
          <w:p>
            <w:pPr>
              <w:spacing w:before="60" w:after="60"/>
              <w:jc w:val="left"/>
            </w:pPr>
            <w:r/>
            <w:r>
              <w:rPr>
                <w:rFonts w:ascii="Calibri" w:hAnsi="Calibri"/>
                <w:color w:val="2D2D2D"/>
                <w:sz w:val="20"/>
              </w:rPr>
              <w:t>**Territory**</w:t>
            </w:r>
          </w:p>
        </w:tc>
        <w:tc>
          <w:tcPr>
            <w:tcW w:type="dxa" w:w="3120"/>
            <w:shd w:fill="F0F4F8" w:val="clear"/>
          </w:tcPr>
          <w:p>
            <w:pPr>
              <w:spacing w:before="60" w:after="60"/>
              <w:jc w:val="left"/>
            </w:pPr>
            <w:r/>
            <w:r>
              <w:rPr>
                <w:rFonts w:ascii="Calibri" w:hAnsi="Calibri"/>
                <w:color w:val="2D2D2D"/>
                <w:sz w:val="20"/>
              </w:rPr>
              <w:t>North America shortlines &amp; regionals</w:t>
            </w:r>
          </w:p>
        </w:tc>
        <w:tc>
          <w:tcPr>
            <w:tcW w:type="dxa" w:w="3120"/>
            <w:shd w:fill="F0F4F8" w:val="clear"/>
          </w:tcPr>
          <w:p>
            <w:pPr>
              <w:spacing w:before="60" w:after="60"/>
              <w:jc w:val="left"/>
            </w:pPr>
            <w:r/>
            <w:r>
              <w:rPr>
                <w:rFonts w:ascii="Calibri" w:hAnsi="Calibri"/>
                <w:color w:val="2D2D2D"/>
                <w:sz w:val="20"/>
              </w:rPr>
              <w:t>Focused scope; avoids overlap with Class I direct sales</w:t>
            </w:r>
          </w:p>
        </w:tc>
      </w:tr>
      <w:tr>
        <w:tc>
          <w:tcPr>
            <w:tcW w:type="dxa" w:w="3120"/>
          </w:tcPr>
          <w:p>
            <w:pPr>
              <w:spacing w:before="60" w:after="60"/>
              <w:jc w:val="left"/>
            </w:pPr>
            <w:r/>
            <w:r>
              <w:rPr>
                <w:rFonts w:ascii="Calibri" w:hAnsi="Calibri"/>
                <w:color w:val="2D2D2D"/>
                <w:sz w:val="20"/>
              </w:rPr>
              <w:t>**Exclusivity**</w:t>
            </w:r>
          </w:p>
        </w:tc>
        <w:tc>
          <w:tcPr>
            <w:tcW w:type="dxa" w:w="3120"/>
          </w:tcPr>
          <w:p>
            <w:pPr>
              <w:spacing w:before="60" w:after="60"/>
              <w:jc w:val="left"/>
            </w:pPr>
            <w:r/>
            <w:r>
              <w:rPr>
                <w:rFonts w:ascii="Calibri" w:hAnsi="Calibri"/>
                <w:color w:val="2D2D2D"/>
                <w:sz w:val="20"/>
              </w:rPr>
              <w:t>Explicitly non-exclusive</w:t>
            </w:r>
          </w:p>
        </w:tc>
        <w:tc>
          <w:tcPr>
            <w:tcW w:type="dxa" w:w="3120"/>
          </w:tcPr>
          <w:p>
            <w:pPr>
              <w:spacing w:before="60" w:after="60"/>
              <w:jc w:val="left"/>
            </w:pPr>
            <w:r/>
            <w:r>
              <w:rPr>
                <w:rFonts w:ascii="Calibri" w:hAnsi="Calibri"/>
                <w:color w:val="2D2D2D"/>
                <w:sz w:val="20"/>
              </w:rPr>
              <w:t>Preserves RailVision's right to pursue any account independently</w:t>
            </w:r>
          </w:p>
        </w:tc>
      </w:tr>
      <w:tr>
        <w:tc>
          <w:tcPr>
            <w:tcW w:type="dxa" w:w="3120"/>
            <w:shd w:fill="F0F4F8" w:val="clear"/>
          </w:tcPr>
          <w:p>
            <w:pPr>
              <w:spacing w:before="60" w:after="60"/>
              <w:jc w:val="left"/>
            </w:pPr>
            <w:r/>
            <w:r>
              <w:rPr>
                <w:rFonts w:ascii="Calibri" w:hAnsi="Calibri"/>
                <w:color w:val="2D2D2D"/>
                <w:sz w:val="20"/>
              </w:rPr>
              <w:t>**Customer Relationship**</w:t>
            </w:r>
          </w:p>
        </w:tc>
        <w:tc>
          <w:tcPr>
            <w:tcW w:type="dxa" w:w="3120"/>
            <w:shd w:fill="F0F4F8" w:val="clear"/>
          </w:tcPr>
          <w:p>
            <w:pPr>
              <w:spacing w:before="60" w:after="60"/>
              <w:jc w:val="left"/>
            </w:pPr>
            <w:r/>
            <w:r>
              <w:rPr>
                <w:rFonts w:ascii="Calibri" w:hAnsi="Calibri"/>
                <w:color w:val="2D2D2D"/>
                <w:sz w:val="20"/>
              </w:rPr>
              <w:t>RailVision holds SOW, pricing, and renewals</w:t>
            </w:r>
          </w:p>
        </w:tc>
        <w:tc>
          <w:tcPr>
            <w:tcW w:type="dxa" w:w="3120"/>
            <w:shd w:fill="F0F4F8" w:val="clear"/>
          </w:tcPr>
          <w:p>
            <w:pPr>
              <w:spacing w:before="60" w:after="60"/>
              <w:jc w:val="left"/>
            </w:pPr>
            <w:r/>
            <w:r>
              <w:rPr>
                <w:rFonts w:ascii="Calibri" w:hAnsi="Calibri"/>
                <w:color w:val="2D2D2D"/>
                <w:sz w:val="20"/>
              </w:rPr>
              <w:t>Ensures long-term account control and upsell path</w:t>
            </w:r>
          </w:p>
        </w:tc>
      </w:tr>
      <w:tr>
        <w:tc>
          <w:tcPr>
            <w:tcW w:type="dxa" w:w="3120"/>
          </w:tcPr>
          <w:p>
            <w:pPr>
              <w:spacing w:before="60" w:after="60"/>
              <w:jc w:val="left"/>
            </w:pPr>
            <w:r/>
            <w:r>
              <w:rPr>
                <w:rFonts w:ascii="Calibri" w:hAnsi="Calibri"/>
                <w:color w:val="2D2D2D"/>
                <w:sz w:val="20"/>
              </w:rPr>
              <w:t>**Data Rights**</w:t>
            </w:r>
          </w:p>
        </w:tc>
        <w:tc>
          <w:tcPr>
            <w:tcW w:type="dxa" w:w="3120"/>
          </w:tcPr>
          <w:p>
            <w:pPr>
              <w:spacing w:before="60" w:after="60"/>
              <w:jc w:val="left"/>
            </w:pPr>
            <w:r/>
            <w:r>
              <w:rPr>
                <w:rFonts w:ascii="Calibri" w:hAnsi="Calibri"/>
                <w:color w:val="2D2D2D"/>
                <w:sz w:val="20"/>
              </w:rPr>
              <w:t>RailVision receives all usage, trip, and performance data</w:t>
            </w:r>
          </w:p>
        </w:tc>
        <w:tc>
          <w:tcPr>
            <w:tcW w:type="dxa" w:w="3120"/>
          </w:tcPr>
          <w:p>
            <w:pPr>
              <w:spacing w:before="60" w:after="60"/>
              <w:jc w:val="left"/>
            </w:pPr>
            <w:r/>
            <w:r>
              <w:rPr>
                <w:rFonts w:ascii="Calibri" w:hAnsi="Calibri"/>
                <w:color w:val="2D2D2D"/>
                <w:sz w:val="20"/>
              </w:rPr>
              <w:t>Critical for product improvement, analytics, and competitive moat</w:t>
            </w:r>
          </w:p>
        </w:tc>
      </w:tr>
      <w:tr>
        <w:tc>
          <w:tcPr>
            <w:tcW w:type="dxa" w:w="3120"/>
            <w:shd w:fill="F0F4F8" w:val="clear"/>
          </w:tcPr>
          <w:p>
            <w:pPr>
              <w:spacing w:before="60" w:after="60"/>
              <w:jc w:val="left"/>
            </w:pPr>
            <w:r/>
            <w:r>
              <w:rPr>
                <w:rFonts w:ascii="Calibri" w:hAnsi="Calibri"/>
                <w:color w:val="2D2D2D"/>
                <w:sz w:val="20"/>
              </w:rPr>
              <w:t>**Branding**</w:t>
            </w:r>
          </w:p>
        </w:tc>
        <w:tc>
          <w:tcPr>
            <w:tcW w:type="dxa" w:w="3120"/>
            <w:shd w:fill="F0F4F8" w:val="clear"/>
          </w:tcPr>
          <w:p>
            <w:pPr>
              <w:spacing w:before="60" w:after="60"/>
              <w:jc w:val="left"/>
            </w:pPr>
            <w:r/>
            <w:r>
              <w:rPr>
                <w:rFonts w:ascii="Calibri" w:hAnsi="Calibri"/>
                <w:color w:val="2D2D2D"/>
                <w:sz w:val="20"/>
              </w:rPr>
              <w:t>Co-branded field materials; RailVision logo primary on product/UI</w:t>
            </w:r>
          </w:p>
        </w:tc>
        <w:tc>
          <w:tcPr>
            <w:tcW w:type="dxa" w:w="3120"/>
            <w:shd w:fill="F0F4F8" w:val="clear"/>
          </w:tcPr>
          <w:p>
            <w:pPr>
              <w:spacing w:before="60" w:after="60"/>
              <w:jc w:val="left"/>
            </w:pPr>
            <w:r/>
            <w:r>
              <w:rPr>
                <w:rFonts w:ascii="Calibri" w:hAnsi="Calibri"/>
                <w:color w:val="2D2D2D"/>
                <w:sz w:val="20"/>
              </w:rPr>
              <w:t>Protects brand equity; avoids white-label confusion</w:t>
            </w:r>
          </w:p>
        </w:tc>
      </w:tr>
      <w:tr>
        <w:tc>
          <w:tcPr>
            <w:tcW w:type="dxa" w:w="3120"/>
          </w:tcPr>
          <w:p>
            <w:pPr>
              <w:spacing w:before="60" w:after="60"/>
              <w:jc w:val="left"/>
            </w:pPr>
            <w:r/>
            <w:r>
              <w:rPr>
                <w:rFonts w:ascii="Calibri" w:hAnsi="Calibri"/>
                <w:color w:val="2D2D2D"/>
                <w:sz w:val="20"/>
              </w:rPr>
              <w:t>**Invoicing**</w:t>
            </w:r>
          </w:p>
        </w:tc>
        <w:tc>
          <w:tcPr>
            <w:tcW w:type="dxa" w:w="3120"/>
          </w:tcPr>
          <w:p>
            <w:pPr>
              <w:spacing w:before="60" w:after="60"/>
              <w:jc w:val="left"/>
            </w:pPr>
            <w:r/>
            <w:r>
              <w:rPr>
                <w:rFonts w:ascii="Calibri" w:hAnsi="Calibri"/>
                <w:color w:val="2D2D2D"/>
                <w:sz w:val="20"/>
              </w:rPr>
              <w:t>RailVision invoices customer directly</w:t>
            </w:r>
          </w:p>
        </w:tc>
        <w:tc>
          <w:tcPr>
            <w:tcW w:type="dxa" w:w="3120"/>
          </w:tcPr>
          <w:p>
            <w:pPr>
              <w:spacing w:before="60" w:after="60"/>
              <w:jc w:val="left"/>
            </w:pPr>
            <w:r/>
            <w:r>
              <w:rPr>
                <w:rFonts w:ascii="Calibri" w:hAnsi="Calibri"/>
                <w:color w:val="2D2D2D"/>
                <w:sz w:val="20"/>
              </w:rPr>
              <w:t>Holland never takes title or sets price</w:t>
            </w:r>
          </w:p>
        </w:tc>
      </w:tr>
    </w:tbl>
    <w:p/>
    <w:p>
      <w:pPr>
        <w:spacing w:before="120" w:after="120"/>
        <w:ind w:left="720"/>
        <w:pBdr>
          <w:left w:val="single" w:sz="12" w:space="8" w:color="3A86C8"/>
        </w:pBdr>
      </w:pPr>
      <w:r>
        <w:rPr>
          <w:rFonts w:ascii="Calibri" w:hAnsi="Calibri"/>
          <w:i/>
          <w:color w:val="4A5A6A"/>
          <w:sz w:val="22"/>
        </w:rPr>
        <w:t>**Red line**: If Holland insists on exclusivity, reseller control (they invoice), or any restriction on RailVision's data rights, the partnership does not proceed. These are non-negotiable.</w:t>
      </w:r>
    </w:p>
    <w:p>
      <w:pPr>
        <w:spacing w:before="200" w:after="200"/>
        <w:jc w:val="center"/>
      </w:pPr>
      <w:r>
        <w:rPr>
          <w:color w:val="D0D5DD"/>
          <w:sz w:val="12"/>
        </w:rPr>
        <w:t>──────────────────────────────────────────────────────────────────────</w:t>
      </w:r>
    </w:p>
    <w:p>
      <w:pPr>
        <w:pStyle w:val="Heading2"/>
      </w:pPr>
      <w:r>
        <w:t>Commercial Economics</w:t>
      </w:r>
    </w:p>
    <w:p>
      <w:pPr>
        <w:spacing w:after="120" w:before="40" w:line="276" w:lineRule="auto"/>
        <w:jc w:val="both"/>
      </w:pPr>
      <w:r>
        <w:rPr>
          <w:rFonts w:ascii="Calibri" w:hAnsi="Calibri"/>
          <w:color w:val="2D2D2D"/>
          <w:sz w:val="22"/>
        </w:rPr>
        <w:t>Two compensation models are proposed, selectable on a per-deal basis depending on Holland's level of involvement:</w:t>
      </w:r>
    </w:p>
    <w:p>
      <w:pPr>
        <w:pStyle w:val="Heading3"/>
      </w:pPr>
      <w:r>
        <w:t>Option A: Referral Fee Model</w:t>
      </w:r>
    </w:p>
    <w:tbl>
      <w:tblPr>
        <w:tblW w:type="auto" w:w="0"/>
        <w:jc w:val="center"/>
        <w:tblLayout w:type="autofit"/>
        <w:tblLook w:firstColumn="1" w:firstRow="1" w:lastColumn="0" w:lastRow="0" w:noHBand="0" w:noVBand="1" w:val="04A0"/>
      </w:tblPr>
      <w:tblGrid>
        <w:gridCol w:w="4680"/>
        <w:gridCol w:w="4680"/>
      </w:tblGrid>
      <w:tr>
        <w:tc>
          <w:tcPr>
            <w:tcW w:type="dxa" w:w="4680"/>
            <w:shd w:fill="1B2A4A" w:val="clear"/>
          </w:tcPr>
          <w:p>
            <w:pPr>
              <w:spacing w:before="60" w:after="60"/>
              <w:jc w:val="left"/>
            </w:pPr>
            <w:r/>
            <w:r>
              <w:rPr>
                <w:rFonts w:ascii="Calibri" w:hAnsi="Calibri"/>
                <w:b/>
                <w:color w:val="FFFFFF"/>
                <w:sz w:val="20"/>
              </w:rPr>
              <w:t>Component</w:t>
            </w:r>
          </w:p>
        </w:tc>
        <w:tc>
          <w:tcPr>
            <w:tcW w:type="dxa" w:w="4680"/>
            <w:shd w:fill="1B2A4A" w:val="clear"/>
          </w:tcPr>
          <w:p>
            <w:pPr>
              <w:spacing w:before="60" w:after="60"/>
              <w:jc w:val="left"/>
            </w:pPr>
            <w:r/>
            <w:r>
              <w:rPr>
                <w:rFonts w:ascii="Calibri" w:hAnsi="Calibri"/>
                <w:b/>
                <w:color w:val="FFFFFF"/>
                <w:sz w:val="20"/>
              </w:rPr>
              <w:t>Terms</w:t>
            </w:r>
          </w:p>
        </w:tc>
      </w:tr>
      <w:tr>
        <w:tc>
          <w:tcPr>
            <w:tcW w:type="dxa" w:w="4680"/>
          </w:tcPr>
          <w:p>
            <w:pPr>
              <w:spacing w:before="60" w:after="60"/>
              <w:jc w:val="left"/>
            </w:pPr>
            <w:r/>
            <w:r>
              <w:rPr>
                <w:rFonts w:ascii="Calibri" w:hAnsi="Calibri"/>
                <w:color w:val="2D2D2D"/>
                <w:sz w:val="20"/>
              </w:rPr>
              <w:t>Fee</w:t>
            </w:r>
          </w:p>
        </w:tc>
        <w:tc>
          <w:tcPr>
            <w:tcW w:type="dxa" w:w="4680"/>
          </w:tcPr>
          <w:p>
            <w:pPr>
              <w:spacing w:before="60" w:after="60"/>
              <w:jc w:val="left"/>
            </w:pPr>
            <w:r/>
            <w:r>
              <w:rPr>
                <w:rFonts w:ascii="Calibri" w:hAnsi="Calibri"/>
                <w:color w:val="2D2D2D"/>
                <w:sz w:val="20"/>
              </w:rPr>
              <w:t>10–15% of first-year net revenue (NRR)</w:t>
            </w:r>
          </w:p>
        </w:tc>
      </w:tr>
      <w:tr>
        <w:tc>
          <w:tcPr>
            <w:tcW w:type="dxa" w:w="4680"/>
            <w:shd w:fill="F0F4F8" w:val="clear"/>
          </w:tcPr>
          <w:p>
            <w:pPr>
              <w:spacing w:before="60" w:after="60"/>
              <w:jc w:val="left"/>
            </w:pPr>
            <w:r/>
            <w:r>
              <w:rPr>
                <w:rFonts w:ascii="Calibri" w:hAnsi="Calibri"/>
                <w:color w:val="2D2D2D"/>
                <w:sz w:val="20"/>
              </w:rPr>
              <w:t>Trigger</w:t>
            </w:r>
          </w:p>
        </w:tc>
        <w:tc>
          <w:tcPr>
            <w:tcW w:type="dxa" w:w="4680"/>
            <w:shd w:fill="F0F4F8" w:val="clear"/>
          </w:tcPr>
          <w:p>
            <w:pPr>
              <w:spacing w:before="60" w:after="60"/>
              <w:jc w:val="left"/>
            </w:pPr>
            <w:r/>
            <w:r>
              <w:rPr>
                <w:rFonts w:ascii="Calibri" w:hAnsi="Calibri"/>
                <w:color w:val="2D2D2D"/>
                <w:sz w:val="20"/>
              </w:rPr>
              <w:t>Paid upon customer cash receipt</w:t>
            </w:r>
          </w:p>
        </w:tc>
      </w:tr>
      <w:tr>
        <w:tc>
          <w:tcPr>
            <w:tcW w:type="dxa" w:w="4680"/>
          </w:tcPr>
          <w:p>
            <w:pPr>
              <w:spacing w:before="60" w:after="60"/>
              <w:jc w:val="left"/>
            </w:pPr>
            <w:r/>
            <w:r>
              <w:rPr>
                <w:rFonts w:ascii="Calibri" w:hAnsi="Calibri"/>
                <w:color w:val="2D2D2D"/>
                <w:sz w:val="20"/>
              </w:rPr>
              <w:t>Duration</w:t>
            </w:r>
          </w:p>
        </w:tc>
        <w:tc>
          <w:tcPr>
            <w:tcW w:type="dxa" w:w="4680"/>
          </w:tcPr>
          <w:p>
            <w:pPr>
              <w:spacing w:before="60" w:after="60"/>
              <w:jc w:val="left"/>
            </w:pPr>
            <w:r/>
            <w:r>
              <w:rPr>
                <w:rFonts w:ascii="Calibri" w:hAnsi="Calibri"/>
                <w:color w:val="2D2D2D"/>
                <w:sz w:val="20"/>
              </w:rPr>
              <w:t>First-year only; no trailing commission on renewals</w:t>
            </w:r>
          </w:p>
        </w:tc>
      </w:tr>
      <w:tr>
        <w:tc>
          <w:tcPr>
            <w:tcW w:type="dxa" w:w="4680"/>
            <w:shd w:fill="F0F4F8" w:val="clear"/>
          </w:tcPr>
          <w:p>
            <w:pPr>
              <w:spacing w:before="60" w:after="60"/>
              <w:jc w:val="left"/>
            </w:pPr>
            <w:r/>
            <w:r>
              <w:rPr>
                <w:rFonts w:ascii="Calibri" w:hAnsi="Calibri"/>
                <w:color w:val="2D2D2D"/>
                <w:sz w:val="20"/>
              </w:rPr>
              <w:t>Conditions</w:t>
            </w:r>
          </w:p>
        </w:tc>
        <w:tc>
          <w:tcPr>
            <w:tcW w:type="dxa" w:w="4680"/>
            <w:shd w:fill="F0F4F8" w:val="clear"/>
          </w:tcPr>
          <w:p>
            <w:pPr>
              <w:spacing w:before="60" w:after="60"/>
              <w:jc w:val="left"/>
            </w:pPr>
            <w:r/>
            <w:r>
              <w:rPr>
                <w:rFonts w:ascii="Calibri" w:hAnsi="Calibri"/>
                <w:color w:val="2D2D2D"/>
                <w:sz w:val="20"/>
              </w:rPr>
              <w:t>Holland must provide qualified introduction that leads to signed SOW</w:t>
            </w:r>
          </w:p>
        </w:tc>
      </w:tr>
    </w:tbl>
    <w:p/>
    <w:p>
      <w:pPr>
        <w:pStyle w:val="Heading3"/>
      </w:pPr>
      <w:r>
        <w:t>Option B: Co-Sell Success Fee Model</w:t>
      </w:r>
    </w:p>
    <w:tbl>
      <w:tblPr>
        <w:tblW w:type="auto" w:w="0"/>
        <w:jc w:val="center"/>
        <w:tblLayout w:type="autofit"/>
        <w:tblLook w:firstColumn="1" w:firstRow="1" w:lastColumn="0" w:lastRow="0" w:noHBand="0" w:noVBand="1" w:val="04A0"/>
      </w:tblPr>
      <w:tblGrid>
        <w:gridCol w:w="4680"/>
        <w:gridCol w:w="4680"/>
      </w:tblGrid>
      <w:tr>
        <w:tc>
          <w:tcPr>
            <w:tcW w:type="dxa" w:w="4680"/>
            <w:shd w:fill="1B2A4A" w:val="clear"/>
          </w:tcPr>
          <w:p>
            <w:pPr>
              <w:spacing w:before="60" w:after="60"/>
              <w:jc w:val="left"/>
            </w:pPr>
            <w:r/>
            <w:r>
              <w:rPr>
                <w:rFonts w:ascii="Calibri" w:hAnsi="Calibri"/>
                <w:b/>
                <w:color w:val="FFFFFF"/>
                <w:sz w:val="20"/>
              </w:rPr>
              <w:t>Component</w:t>
            </w:r>
          </w:p>
        </w:tc>
        <w:tc>
          <w:tcPr>
            <w:tcW w:type="dxa" w:w="4680"/>
            <w:shd w:fill="1B2A4A" w:val="clear"/>
          </w:tcPr>
          <w:p>
            <w:pPr>
              <w:spacing w:before="60" w:after="60"/>
              <w:jc w:val="left"/>
            </w:pPr>
            <w:r/>
            <w:r>
              <w:rPr>
                <w:rFonts w:ascii="Calibri" w:hAnsi="Calibri"/>
                <w:b/>
                <w:color w:val="FFFFFF"/>
                <w:sz w:val="20"/>
              </w:rPr>
              <w:t>Terms</w:t>
            </w:r>
          </w:p>
        </w:tc>
      </w:tr>
      <w:tr>
        <w:tc>
          <w:tcPr>
            <w:tcW w:type="dxa" w:w="4680"/>
          </w:tcPr>
          <w:p>
            <w:pPr>
              <w:spacing w:before="60" w:after="60"/>
              <w:jc w:val="left"/>
            </w:pPr>
            <w:r/>
            <w:r>
              <w:rPr>
                <w:rFonts w:ascii="Calibri" w:hAnsi="Calibri"/>
                <w:color w:val="2D2D2D"/>
                <w:sz w:val="20"/>
              </w:rPr>
              <w:t>Base Fee</w:t>
            </w:r>
          </w:p>
        </w:tc>
        <w:tc>
          <w:tcPr>
            <w:tcW w:type="dxa" w:w="4680"/>
          </w:tcPr>
          <w:p>
            <w:pPr>
              <w:spacing w:before="60" w:after="60"/>
              <w:jc w:val="left"/>
            </w:pPr>
            <w:r/>
            <w:r>
              <w:rPr>
                <w:rFonts w:ascii="Calibri" w:hAnsi="Calibri"/>
                <w:color w:val="2D2D2D"/>
                <w:sz w:val="20"/>
              </w:rPr>
              <w:t>Fixed success fee per signed SOW (amount TBD by deal size)</w:t>
            </w:r>
          </w:p>
        </w:tc>
      </w:tr>
      <w:tr>
        <w:tc>
          <w:tcPr>
            <w:tcW w:type="dxa" w:w="4680"/>
            <w:shd w:fill="F0F4F8" w:val="clear"/>
          </w:tcPr>
          <w:p>
            <w:pPr>
              <w:spacing w:before="60" w:after="60"/>
              <w:jc w:val="left"/>
            </w:pPr>
            <w:r/>
            <w:r>
              <w:rPr>
                <w:rFonts w:ascii="Calibri" w:hAnsi="Calibri"/>
                <w:color w:val="2D2D2D"/>
                <w:sz w:val="20"/>
              </w:rPr>
              <w:t>Milestone Bonus</w:t>
            </w:r>
          </w:p>
        </w:tc>
        <w:tc>
          <w:tcPr>
            <w:tcW w:type="dxa" w:w="4680"/>
            <w:shd w:fill="F0F4F8" w:val="clear"/>
          </w:tcPr>
          <w:p>
            <w:pPr>
              <w:spacing w:before="60" w:after="60"/>
              <w:jc w:val="left"/>
            </w:pPr>
            <w:r/>
            <w:r>
              <w:rPr>
                <w:rFonts w:ascii="Calibri" w:hAnsi="Calibri"/>
                <w:color w:val="2D2D2D"/>
                <w:sz w:val="20"/>
              </w:rPr>
              <w:t>Additional payout after 90-day adoption target met (≥70% crew usage)</w:t>
            </w:r>
          </w:p>
        </w:tc>
      </w:tr>
      <w:tr>
        <w:tc>
          <w:tcPr>
            <w:tcW w:type="dxa" w:w="4680"/>
          </w:tcPr>
          <w:p>
            <w:pPr>
              <w:spacing w:before="60" w:after="60"/>
              <w:jc w:val="left"/>
            </w:pPr>
            <w:r/>
            <w:r>
              <w:rPr>
                <w:rFonts w:ascii="Calibri" w:hAnsi="Calibri"/>
                <w:color w:val="2D2D2D"/>
                <w:sz w:val="20"/>
              </w:rPr>
              <w:t>Revenue Share</w:t>
            </w:r>
          </w:p>
        </w:tc>
        <w:tc>
          <w:tcPr>
            <w:tcW w:type="dxa" w:w="4680"/>
          </w:tcPr>
          <w:p>
            <w:pPr>
              <w:spacing w:before="60" w:after="60"/>
              <w:jc w:val="left"/>
            </w:pPr>
            <w:r/>
            <w:r>
              <w:rPr>
                <w:rFonts w:ascii="Calibri" w:hAnsi="Calibri"/>
                <w:color w:val="2D2D2D"/>
                <w:sz w:val="20"/>
              </w:rPr>
              <w:t>None — RailVision retains 100% of customer revenue</w:t>
            </w:r>
          </w:p>
        </w:tc>
      </w:tr>
      <w:tr>
        <w:tc>
          <w:tcPr>
            <w:tcW w:type="dxa" w:w="4680"/>
            <w:shd w:fill="F0F4F8" w:val="clear"/>
          </w:tcPr>
          <w:p>
            <w:pPr>
              <w:spacing w:before="60" w:after="60"/>
              <w:jc w:val="left"/>
            </w:pPr>
            <w:r/>
            <w:r>
              <w:rPr>
                <w:rFonts w:ascii="Calibri" w:hAnsi="Calibri"/>
                <w:color w:val="2D2D2D"/>
                <w:sz w:val="20"/>
              </w:rPr>
              <w:t>Conditions</w:t>
            </w:r>
          </w:p>
        </w:tc>
        <w:tc>
          <w:tcPr>
            <w:tcW w:type="dxa" w:w="4680"/>
            <w:shd w:fill="F0F4F8" w:val="clear"/>
          </w:tcPr>
          <w:p>
            <w:pPr>
              <w:spacing w:before="60" w:after="60"/>
              <w:jc w:val="left"/>
            </w:pPr>
            <w:r/>
            <w:r>
              <w:rPr>
                <w:rFonts w:ascii="Calibri" w:hAnsi="Calibri"/>
                <w:color w:val="2D2D2D"/>
                <w:sz w:val="20"/>
              </w:rPr>
              <w:t>Holland participates in joint selling activities and field enablement</w:t>
            </w:r>
          </w:p>
        </w:tc>
      </w:tr>
    </w:tbl>
    <w:p/>
    <w:p>
      <w:pPr>
        <w:pStyle w:val="Heading3"/>
      </w:pPr>
      <w:r>
        <w:t>Sales SPIFs for Holland Field Teams</w:t>
      </w:r>
    </w:p>
    <w:p>
      <w:pPr>
        <w:spacing w:after="120" w:before="40" w:line="276" w:lineRule="auto"/>
        <w:jc w:val="both"/>
      </w:pPr>
      <w:r>
        <w:rPr>
          <w:rFonts w:ascii="Calibri" w:hAnsi="Calibri"/>
          <w:color w:val="2D2D2D"/>
          <w:sz w:val="22"/>
        </w:rPr>
        <w:t>To drive grassroots engagement from Holland's account executives and field representatives, modest SPIFs are proposed:</w:t>
      </w:r>
    </w:p>
    <w:tbl>
      <w:tblPr>
        <w:tblW w:type="auto" w:w="0"/>
        <w:jc w:val="center"/>
        <w:tblLayout w:type="autofit"/>
        <w:tblLook w:firstColumn="1" w:firstRow="1" w:lastColumn="0" w:lastRow="0" w:noHBand="0" w:noVBand="1" w:val="04A0"/>
      </w:tblPr>
      <w:tblGrid>
        <w:gridCol w:w="4680"/>
        <w:gridCol w:w="4680"/>
      </w:tblGrid>
      <w:tr>
        <w:tc>
          <w:tcPr>
            <w:tcW w:type="dxa" w:w="4680"/>
            <w:shd w:fill="1B2A4A" w:val="clear"/>
          </w:tcPr>
          <w:p>
            <w:pPr>
              <w:spacing w:before="60" w:after="60"/>
              <w:jc w:val="left"/>
            </w:pPr>
            <w:r/>
            <w:r>
              <w:rPr>
                <w:rFonts w:ascii="Calibri" w:hAnsi="Calibri"/>
                <w:b/>
                <w:color w:val="FFFFFF"/>
                <w:sz w:val="20"/>
              </w:rPr>
              <w:t>Activity</w:t>
            </w:r>
          </w:p>
        </w:tc>
        <w:tc>
          <w:tcPr>
            <w:tcW w:type="dxa" w:w="4680"/>
            <w:shd w:fill="1B2A4A" w:val="clear"/>
          </w:tcPr>
          <w:p>
            <w:pPr>
              <w:spacing w:before="60" w:after="60"/>
              <w:jc w:val="left"/>
            </w:pPr>
            <w:r/>
            <w:r>
              <w:rPr>
                <w:rFonts w:ascii="Calibri" w:hAnsi="Calibri"/>
                <w:b/>
                <w:color w:val="FFFFFF"/>
                <w:sz w:val="20"/>
              </w:rPr>
              <w:t>SPIF Amount</w:t>
            </w:r>
          </w:p>
        </w:tc>
      </w:tr>
      <w:tr>
        <w:tc>
          <w:tcPr>
            <w:tcW w:type="dxa" w:w="4680"/>
          </w:tcPr>
          <w:p>
            <w:pPr>
              <w:spacing w:before="60" w:after="60"/>
              <w:jc w:val="left"/>
            </w:pPr>
            <w:r/>
            <w:r>
              <w:rPr>
                <w:rFonts w:ascii="Calibri" w:hAnsi="Calibri"/>
                <w:color w:val="2D2D2D"/>
                <w:sz w:val="20"/>
              </w:rPr>
              <w:t>Qualified POC introduction</w:t>
            </w:r>
          </w:p>
        </w:tc>
        <w:tc>
          <w:tcPr>
            <w:tcW w:type="dxa" w:w="4680"/>
          </w:tcPr>
          <w:p>
            <w:pPr>
              <w:spacing w:before="60" w:after="60"/>
              <w:jc w:val="left"/>
            </w:pPr>
            <w:r/>
            <w:r>
              <w:rPr>
                <w:rFonts w:ascii="Calibri" w:hAnsi="Calibri"/>
                <w:color w:val="2D2D2D"/>
                <w:sz w:val="20"/>
              </w:rPr>
              <w:t>$500 per POC</w:t>
            </w:r>
          </w:p>
        </w:tc>
      </w:tr>
      <w:tr>
        <w:tc>
          <w:tcPr>
            <w:tcW w:type="dxa" w:w="4680"/>
            <w:shd w:fill="F0F4F8" w:val="clear"/>
          </w:tcPr>
          <w:p>
            <w:pPr>
              <w:spacing w:before="60" w:after="60"/>
              <w:jc w:val="left"/>
            </w:pPr>
            <w:r/>
            <w:r>
              <w:rPr>
                <w:rFonts w:ascii="Calibri" w:hAnsi="Calibri"/>
                <w:color w:val="2D2D2D"/>
                <w:sz w:val="20"/>
              </w:rPr>
              <w:t>Closed-won deal (&gt;$50K)</w:t>
            </w:r>
          </w:p>
        </w:tc>
        <w:tc>
          <w:tcPr>
            <w:tcW w:type="dxa" w:w="4680"/>
            <w:shd w:fill="F0F4F8" w:val="clear"/>
          </w:tcPr>
          <w:p>
            <w:pPr>
              <w:spacing w:before="60" w:after="60"/>
              <w:jc w:val="left"/>
            </w:pPr>
            <w:r/>
            <w:r>
              <w:rPr>
                <w:rFonts w:ascii="Calibri" w:hAnsi="Calibri"/>
                <w:color w:val="2D2D2D"/>
                <w:sz w:val="20"/>
              </w:rPr>
              <w:t>$2,000 per deal</w:t>
            </w:r>
          </w:p>
        </w:tc>
      </w:tr>
      <w:tr>
        <w:tc>
          <w:tcPr>
            <w:tcW w:type="dxa" w:w="4680"/>
          </w:tcPr>
          <w:p>
            <w:pPr>
              <w:spacing w:before="60" w:after="60"/>
              <w:jc w:val="left"/>
            </w:pPr>
            <w:r/>
            <w:r>
              <w:rPr>
                <w:rFonts w:ascii="Calibri" w:hAnsi="Calibri"/>
                <w:color w:val="2D2D2D"/>
                <w:sz w:val="20"/>
              </w:rPr>
              <w:t>Crew adoption milestone (≥70% active use)</w:t>
            </w:r>
          </w:p>
        </w:tc>
        <w:tc>
          <w:tcPr>
            <w:tcW w:type="dxa" w:w="4680"/>
          </w:tcPr>
          <w:p>
            <w:pPr>
              <w:spacing w:before="60" w:after="60"/>
              <w:jc w:val="left"/>
            </w:pPr>
            <w:r/>
            <w:r>
              <w:rPr>
                <w:rFonts w:ascii="Calibri" w:hAnsi="Calibri"/>
                <w:color w:val="2D2D2D"/>
                <w:sz w:val="20"/>
              </w:rPr>
              <w:t>$1,000 bonus</w:t>
            </w:r>
          </w:p>
        </w:tc>
      </w:tr>
    </w:tbl>
    <w:p/>
    <w:p>
      <w:pPr>
        <w:spacing w:before="200" w:after="200"/>
        <w:jc w:val="center"/>
      </w:pPr>
      <w:r>
        <w:rPr>
          <w:color w:val="D0D5DD"/>
          <w:sz w:val="12"/>
        </w:rPr>
        <w:t>──────────────────────────────────────────────────────────────────────</w:t>
      </w:r>
    </w:p>
    <w:p>
      <w:pPr>
        <w:pStyle w:val="Heading2"/>
      </w:pPr>
      <w:r>
        <w:t>Ancillary Services</w:t>
      </w:r>
    </w:p>
    <w:p>
      <w:pPr>
        <w:spacing w:after="120" w:before="40" w:line="276" w:lineRule="auto"/>
        <w:jc w:val="both"/>
      </w:pPr>
      <w:r>
        <w:rPr>
          <w:rFonts w:ascii="Calibri" w:hAnsi="Calibri"/>
          <w:color w:val="2D2D2D"/>
          <w:sz w:val="22"/>
        </w:rPr>
        <w:t xml:space="preserve">Holland may provide </w:t>
      </w:r>
      <w:r>
        <w:rPr>
          <w:rFonts w:ascii="Calibri" w:hAnsi="Calibri"/>
          <w:b/>
          <w:color w:val="2D2D2D"/>
          <w:sz w:val="22"/>
        </w:rPr>
        <w:t>paid field services</w:t>
      </w:r>
      <w:r>
        <w:rPr>
          <w:rFonts w:ascii="Calibri" w:hAnsi="Calibri"/>
          <w:color w:val="2D2D2D"/>
          <w:sz w:val="22"/>
        </w:rPr>
        <w:t xml:space="preserve"> under a separate SOW with the railroad customer. These include installation assistance, crew coaching, and change management support. Scope must be coordinated in a joint plan to ensure messaging alignment and avoid scope creep. RailVision does not take a cut of Holland's services revenue, and Holland does not take a cut of RailVision's subscription revenue. Clean separation of economics reduces friction and aligns incentives.</w:t>
      </w:r>
    </w:p>
    <w:p>
      <w:pPr>
        <w:spacing w:after="120" w:before="40" w:line="276" w:lineRule="auto"/>
        <w:jc w:val="both"/>
      </w:pPr>
      <w:r>
        <w:rPr>
          <w:rFonts w:ascii="Calibri" w:hAnsi="Calibri"/>
          <w:color w:val="2D2D2D"/>
          <w:sz w:val="22"/>
        </w:rPr>
        <w:t>This structure ensures Holland is motivated to drive introductions and support adoption, while RailVision maintains the strategic assets — customer relationship, pricing power, data access, and brand control — that underpin long-term enterprise value.</w:t>
      </w:r>
    </w:p>
    <w:p>
      <w:pPr>
        <w:spacing w:before="160" w:after="160"/>
        <w:jc w:val="center"/>
      </w:pPr>
      <w:r>
        <w:rPr>
          <w:color w:val="D0D5DD"/>
          <w:sz w:val="16"/>
        </w:rPr>
        <w:t>────────────────────────────────────────────────────────────</w:t>
      </w:r>
    </w:p>
    <w:p>
      <w:pPr>
        <w:pStyle w:val="Heading1"/>
      </w:pPr>
      <w:r>
        <w:t>Joint Go-To-Market Plan — First 90 Days</w:t>
      </w:r>
    </w:p>
    <w:p>
      <w:pPr>
        <w:spacing w:after="120" w:before="40" w:line="276" w:lineRule="auto"/>
        <w:jc w:val="both"/>
      </w:pPr>
      <w:r>
        <w:rPr>
          <w:rFonts w:ascii="Calibri" w:hAnsi="Calibri"/>
          <w:color w:val="2D2D2D"/>
          <w:sz w:val="22"/>
        </w:rPr>
        <w:t xml:space="preserve">The first 90 days are structured as a </w:t>
      </w:r>
      <w:r>
        <w:rPr>
          <w:rFonts w:ascii="Calibri" w:hAnsi="Calibri"/>
          <w:b/>
          <w:color w:val="2D2D2D"/>
          <w:sz w:val="22"/>
        </w:rPr>
        <w:t>high-velocity proving period</w:t>
      </w:r>
      <w:r>
        <w:rPr>
          <w:rFonts w:ascii="Calibri" w:hAnsi="Calibri"/>
          <w:color w:val="2D2D2D"/>
          <w:sz w:val="22"/>
        </w:rPr>
        <w:t xml:space="preserve">. The goal is unambiguous: </w:t>
      </w:r>
      <w:r>
        <w:rPr>
          <w:rFonts w:ascii="Calibri" w:hAnsi="Calibri"/>
          <w:b/>
          <w:color w:val="2D2D2D"/>
          <w:sz w:val="22"/>
        </w:rPr>
        <w:t>3 signed POCs, 1 production contract, and statistically significant fuel/time savings with high crew acceptance.</w:t>
      </w:r>
      <w:r>
        <w:rPr>
          <w:rFonts w:ascii="Calibri" w:hAnsi="Calibri"/>
          <w:color w:val="2D2D2D"/>
          <w:sz w:val="22"/>
        </w:rPr>
        <w:t xml:space="preserve"> If these gates are not met, the partnership pauses for renegotiation or termination.</w:t>
      </w:r>
    </w:p>
    <w:p>
      <w:pPr>
        <w:pStyle w:val="Heading2"/>
      </w:pPr>
      <w:r>
        <w:t>Phase 1: Account Mapping &amp; Pipeline Build (Weeks 1–2)</w:t>
      </w:r>
    </w:p>
    <w:p>
      <w:pPr>
        <w:spacing w:after="120" w:before="40" w:line="276" w:lineRule="auto"/>
        <w:jc w:val="both"/>
      </w:pPr>
      <w:r>
        <w:rPr>
          <w:rFonts w:ascii="Calibri" w:hAnsi="Calibri"/>
          <w:color w:val="2D2D2D"/>
          <w:sz w:val="22"/>
        </w:rPr>
        <w:t>The immediate priority is translating Holland's relationship network into a prioritized, actionable target list. This is not a passive exercise — it requires joint working sessions where Holland's field leaders and RailVision's sales team map specific accounts, decision-makers, and introduction paths.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A4A" w:val="clear"/>
          </w:tcPr>
          <w:p>
            <w:pPr>
              <w:spacing w:before="60" w:after="60"/>
              <w:jc w:val="left"/>
            </w:pPr>
            <w:r/>
            <w:r>
              <w:rPr>
                <w:rFonts w:ascii="Calibri" w:hAnsi="Calibri"/>
                <w:b/>
                <w:color w:val="FFFFFF"/>
                <w:sz w:val="20"/>
              </w:rPr>
              <w:t>Deliverable</w:t>
            </w:r>
          </w:p>
        </w:tc>
        <w:tc>
          <w:tcPr>
            <w:tcW w:type="dxa" w:w="2340"/>
            <w:shd w:fill="1B2A4A" w:val="clear"/>
          </w:tcPr>
          <w:p>
            <w:pPr>
              <w:spacing w:before="60" w:after="60"/>
              <w:jc w:val="left"/>
            </w:pPr>
            <w:r/>
            <w:r>
              <w:rPr>
                <w:rFonts w:ascii="Calibri" w:hAnsi="Calibri"/>
                <w:b/>
                <w:color w:val="FFFFFF"/>
                <w:sz w:val="20"/>
              </w:rPr>
              <w:t>Owner</w:t>
            </w:r>
          </w:p>
        </w:tc>
        <w:tc>
          <w:tcPr>
            <w:tcW w:type="dxa" w:w="2340"/>
            <w:shd w:fill="1B2A4A" w:val="clear"/>
          </w:tcPr>
          <w:p>
            <w:pPr>
              <w:spacing w:before="60" w:after="60"/>
              <w:jc w:val="left"/>
            </w:pPr>
            <w:r/>
            <w:r>
              <w:rPr>
                <w:rFonts w:ascii="Calibri" w:hAnsi="Calibri"/>
                <w:b/>
                <w:color w:val="FFFFFF"/>
                <w:sz w:val="20"/>
              </w:rPr>
              <w:t>Deadline</w:t>
            </w:r>
          </w:p>
        </w:tc>
        <w:tc>
          <w:tcPr>
            <w:tcW w:type="dxa" w:w="2340"/>
            <w:shd w:fill="1B2A4A" w:val="clear"/>
          </w:tcPr>
          <w:p>
            <w:pPr>
              <w:spacing w:before="60" w:after="60"/>
              <w:jc w:val="left"/>
            </w:pPr>
            <w:r/>
            <w:r>
              <w:rPr>
                <w:rFonts w:ascii="Calibri" w:hAnsi="Calibri"/>
                <w:b/>
                <w:color w:val="FFFFFF"/>
                <w:sz w:val="20"/>
              </w:rPr>
              <w:t>Success Criteria</w:t>
            </w:r>
          </w:p>
        </w:tc>
      </w:tr>
      <w:tr>
        <w:tc>
          <w:tcPr>
            <w:tcW w:type="dxa" w:w="2340"/>
          </w:tcPr>
          <w:p>
            <w:pPr>
              <w:spacing w:before="60" w:after="60"/>
              <w:jc w:val="left"/>
            </w:pPr>
            <w:r/>
            <w:r>
              <w:rPr>
                <w:rFonts w:ascii="Calibri" w:hAnsi="Calibri"/>
                <w:color w:val="2D2D2D"/>
                <w:sz w:val="20"/>
              </w:rPr>
              <w:t>25-logo target list with fleet size, freight mix, decision maker, relationship owner</w:t>
            </w:r>
          </w:p>
        </w:tc>
        <w:tc>
          <w:tcPr>
            <w:tcW w:type="dxa" w:w="2340"/>
          </w:tcPr>
          <w:p>
            <w:pPr>
              <w:spacing w:before="60" w:after="60"/>
              <w:jc w:val="left"/>
            </w:pPr>
            <w:r/>
            <w:r>
              <w:rPr>
                <w:rFonts w:ascii="Calibri" w:hAnsi="Calibri"/>
                <w:color w:val="2D2D2D"/>
                <w:sz w:val="20"/>
              </w:rPr>
              <w:t>Holland + RailVision Sales</w:t>
            </w:r>
          </w:p>
        </w:tc>
        <w:tc>
          <w:tcPr>
            <w:tcW w:type="dxa" w:w="2340"/>
          </w:tcPr>
          <w:p>
            <w:pPr>
              <w:spacing w:before="60" w:after="60"/>
              <w:jc w:val="left"/>
            </w:pPr>
            <w:r/>
            <w:r>
              <w:rPr>
                <w:rFonts w:ascii="Calibri" w:hAnsi="Calibri"/>
                <w:color w:val="2D2D2D"/>
                <w:sz w:val="20"/>
              </w:rPr>
              <w:t>Week 1</w:t>
            </w:r>
          </w:p>
        </w:tc>
        <w:tc>
          <w:tcPr>
            <w:tcW w:type="dxa" w:w="2340"/>
          </w:tcPr>
          <w:p>
            <w:pPr>
              <w:spacing w:before="60" w:after="60"/>
              <w:jc w:val="left"/>
            </w:pPr>
            <w:r/>
            <w:r>
              <w:rPr>
                <w:rFonts w:ascii="Calibri" w:hAnsi="Calibri"/>
                <w:color w:val="2D2D2D"/>
                <w:sz w:val="20"/>
              </w:rPr>
              <w:t>List reviewed and prioritized by both teams</w:t>
            </w:r>
          </w:p>
        </w:tc>
      </w:tr>
      <w:tr>
        <w:tc>
          <w:tcPr>
            <w:tcW w:type="dxa" w:w="2340"/>
            <w:shd w:fill="F0F4F8" w:val="clear"/>
          </w:tcPr>
          <w:p>
            <w:pPr>
              <w:spacing w:before="60" w:after="60"/>
              <w:jc w:val="left"/>
            </w:pPr>
            <w:r/>
            <w:r>
              <w:rPr>
                <w:rFonts w:ascii="Calibri" w:hAnsi="Calibri"/>
                <w:color w:val="2D2D2D"/>
                <w:sz w:val="20"/>
              </w:rPr>
              <w:t>6 joint executive calls scheduled</w:t>
            </w:r>
          </w:p>
        </w:tc>
        <w:tc>
          <w:tcPr>
            <w:tcW w:type="dxa" w:w="2340"/>
            <w:shd w:fill="F0F4F8" w:val="clear"/>
          </w:tcPr>
          <w:p>
            <w:pPr>
              <w:spacing w:before="60" w:after="60"/>
              <w:jc w:val="left"/>
            </w:pPr>
            <w:r/>
            <w:r>
              <w:rPr>
                <w:rFonts w:ascii="Calibri" w:hAnsi="Calibri"/>
                <w:color w:val="2D2D2D"/>
                <w:sz w:val="20"/>
              </w:rPr>
              <w:t>Holland Channel Lead</w:t>
            </w:r>
          </w:p>
        </w:tc>
        <w:tc>
          <w:tcPr>
            <w:tcW w:type="dxa" w:w="2340"/>
            <w:shd w:fill="F0F4F8" w:val="clear"/>
          </w:tcPr>
          <w:p>
            <w:pPr>
              <w:spacing w:before="60" w:after="60"/>
              <w:jc w:val="left"/>
            </w:pPr>
            <w:r/>
            <w:r>
              <w:rPr>
                <w:rFonts w:ascii="Calibri" w:hAnsi="Calibri"/>
                <w:color w:val="2D2D2D"/>
                <w:sz w:val="20"/>
              </w:rPr>
              <w:t>Week 1</w:t>
            </w:r>
          </w:p>
        </w:tc>
        <w:tc>
          <w:tcPr>
            <w:tcW w:type="dxa" w:w="2340"/>
            <w:shd w:fill="F0F4F8" w:val="clear"/>
          </w:tcPr>
          <w:p>
            <w:pPr>
              <w:spacing w:before="60" w:after="60"/>
              <w:jc w:val="left"/>
            </w:pPr>
            <w:r/>
            <w:r>
              <w:rPr>
                <w:rFonts w:ascii="Calibri" w:hAnsi="Calibri"/>
                <w:color w:val="2D2D2D"/>
                <w:sz w:val="20"/>
              </w:rPr>
              <w:t>Calendar holds confirmed; deal hypotheses defined</w:t>
            </w:r>
          </w:p>
        </w:tc>
      </w:tr>
      <w:tr>
        <w:tc>
          <w:tcPr>
            <w:tcW w:type="dxa" w:w="2340"/>
          </w:tcPr>
          <w:p>
            <w:pPr>
              <w:spacing w:before="60" w:after="60"/>
              <w:jc w:val="left"/>
            </w:pPr>
            <w:r/>
            <w:r>
              <w:rPr>
                <w:rFonts w:ascii="Calibri" w:hAnsi="Calibri"/>
                <w:color w:val="2D2D2D"/>
                <w:sz w:val="20"/>
              </w:rPr>
              <w:t>POC kit finalized (baseline plan, SOW template, pricing examples)</w:t>
            </w:r>
          </w:p>
        </w:tc>
        <w:tc>
          <w:tcPr>
            <w:tcW w:type="dxa" w:w="2340"/>
          </w:tcPr>
          <w:p>
            <w:pPr>
              <w:spacing w:before="60" w:after="60"/>
              <w:jc w:val="left"/>
            </w:pPr>
            <w:r/>
            <w:r>
              <w:rPr>
                <w:rFonts w:ascii="Calibri" w:hAnsi="Calibri"/>
                <w:color w:val="2D2D2D"/>
                <w:sz w:val="20"/>
              </w:rPr>
              <w:t>RailVision Product + Sales</w:t>
            </w:r>
          </w:p>
        </w:tc>
        <w:tc>
          <w:tcPr>
            <w:tcW w:type="dxa" w:w="2340"/>
          </w:tcPr>
          <w:p>
            <w:pPr>
              <w:spacing w:before="60" w:after="60"/>
              <w:jc w:val="left"/>
            </w:pPr>
            <w:r/>
            <w:r>
              <w:rPr>
                <w:rFonts w:ascii="Calibri" w:hAnsi="Calibri"/>
                <w:color w:val="2D2D2D"/>
                <w:sz w:val="20"/>
              </w:rPr>
              <w:t>Week 2</w:t>
            </w:r>
          </w:p>
        </w:tc>
        <w:tc>
          <w:tcPr>
            <w:tcW w:type="dxa" w:w="2340"/>
          </w:tcPr>
          <w:p>
            <w:pPr>
              <w:spacing w:before="60" w:after="60"/>
              <w:jc w:val="left"/>
            </w:pPr>
            <w:r/>
            <w:r>
              <w:rPr>
                <w:rFonts w:ascii="Calibri" w:hAnsi="Calibri"/>
                <w:color w:val="2D2D2D"/>
                <w:sz w:val="20"/>
              </w:rPr>
              <w:t>Signed off by CSO; ready for customer delivery</w:t>
            </w:r>
          </w:p>
        </w:tc>
      </w:tr>
      <w:tr>
        <w:tc>
          <w:tcPr>
            <w:tcW w:type="dxa" w:w="2340"/>
            <w:shd w:fill="F0F4F8" w:val="clear"/>
          </w:tcPr>
          <w:p>
            <w:pPr>
              <w:spacing w:before="60" w:after="60"/>
              <w:jc w:val="left"/>
            </w:pPr>
            <w:r/>
            <w:r>
              <w:rPr>
                <w:rFonts w:ascii="Calibri" w:hAnsi="Calibri"/>
                <w:color w:val="2D2D2D"/>
                <w:sz w:val="20"/>
              </w:rPr>
              <w:t>Data-sharing mechanics validated</w:t>
            </w:r>
          </w:p>
        </w:tc>
        <w:tc>
          <w:tcPr>
            <w:tcW w:type="dxa" w:w="2340"/>
            <w:shd w:fill="F0F4F8" w:val="clear"/>
          </w:tcPr>
          <w:p>
            <w:pPr>
              <w:spacing w:before="60" w:after="60"/>
              <w:jc w:val="left"/>
            </w:pPr>
            <w:r/>
            <w:r>
              <w:rPr>
                <w:rFonts w:ascii="Calibri" w:hAnsi="Calibri"/>
                <w:color w:val="2D2D2D"/>
                <w:sz w:val="20"/>
              </w:rPr>
              <w:t>RailVision Engineering</w:t>
            </w:r>
          </w:p>
        </w:tc>
        <w:tc>
          <w:tcPr>
            <w:tcW w:type="dxa" w:w="2340"/>
            <w:shd w:fill="F0F4F8" w:val="clear"/>
          </w:tcPr>
          <w:p>
            <w:pPr>
              <w:spacing w:before="60" w:after="60"/>
              <w:jc w:val="left"/>
            </w:pPr>
            <w:r/>
            <w:r>
              <w:rPr>
                <w:rFonts w:ascii="Calibri" w:hAnsi="Calibri"/>
                <w:color w:val="2D2D2D"/>
                <w:sz w:val="20"/>
              </w:rPr>
              <w:t>Week 2</w:t>
            </w:r>
          </w:p>
        </w:tc>
        <w:tc>
          <w:tcPr>
            <w:tcW w:type="dxa" w:w="2340"/>
            <w:shd w:fill="F0F4F8" w:val="clear"/>
          </w:tcPr>
          <w:p>
            <w:pPr>
              <w:spacing w:before="60" w:after="60"/>
              <w:jc w:val="left"/>
            </w:pPr>
            <w:r/>
            <w:r>
              <w:rPr>
                <w:rFonts w:ascii="Calibri" w:hAnsi="Calibri"/>
                <w:color w:val="2D2D2D"/>
                <w:sz w:val="20"/>
              </w:rPr>
              <w:t>Secure transfer mechanism tested; anonymization standard confirmed</w:t>
            </w:r>
          </w:p>
        </w:tc>
      </w:tr>
    </w:tbl>
    <w:p/>
    <w:p>
      <w:pPr>
        <w:pStyle w:val="Heading3"/>
      </w:pPr>
      <w:r>
        <w:t>Target Account Prioritization Signals</w:t>
      </w:r>
    </w:p>
    <w:p>
      <w:pPr>
        <w:spacing w:after="120" w:before="40" w:line="276" w:lineRule="auto"/>
        <w:jc w:val="both"/>
      </w:pPr>
      <w:r>
        <w:rPr>
          <w:rFonts w:ascii="Calibri" w:hAnsi="Calibri"/>
          <w:color w:val="2D2D2D"/>
          <w:sz w:val="22"/>
        </w:rPr>
        <w:t>Not all shortlines are equal. The 25-logo target list should be prioritized using the following signals:</w:t>
      </w:r>
    </w:p>
    <w:p>
      <w:pPr>
        <w:pStyle w:val="ListBullet"/>
        <w:spacing w:after="40" w:before="20"/>
      </w:pPr>
      <w:r>
        <w:rPr>
          <w:rFonts w:ascii="Calibri" w:hAnsi="Calibri"/>
          <w:b/>
          <w:color w:val="2D2D2D"/>
          <w:sz w:val="22"/>
        </w:rPr>
        <w:t>Fuel exposure</w:t>
      </w:r>
      <w:r>
        <w:rPr>
          <w:rFonts w:ascii="Calibri" w:hAnsi="Calibri"/>
          <w:color w:val="2D2D2D"/>
          <w:sz w:val="22"/>
        </w:rPr>
        <w:t>: High diesel cost sensitivity (fuel as % of operating expense &gt;25%)</w:t>
      </w:r>
    </w:p>
    <w:p>
      <w:pPr>
        <w:pStyle w:val="ListBullet"/>
        <w:spacing w:after="40" w:before="20"/>
      </w:pPr>
      <w:r>
        <w:rPr>
          <w:rFonts w:ascii="Calibri" w:hAnsi="Calibri"/>
          <w:b/>
          <w:color w:val="2D2D2D"/>
          <w:sz w:val="22"/>
        </w:rPr>
        <w:t>Throttle variability</w:t>
      </w:r>
      <w:r>
        <w:rPr>
          <w:rFonts w:ascii="Calibri" w:hAnsi="Calibri"/>
          <w:color w:val="2D2D2D"/>
          <w:sz w:val="22"/>
        </w:rPr>
        <w:t>: Routes with frequent acceleration/deceleration cycles (e.g., energy, aggregates freight)</w:t>
      </w:r>
    </w:p>
    <w:p>
      <w:pPr>
        <w:pStyle w:val="ListBullet"/>
        <w:spacing w:after="40" w:before="20"/>
      </w:pPr>
      <w:r>
        <w:rPr>
          <w:rFonts w:ascii="Calibri" w:hAnsi="Calibri"/>
          <w:b/>
          <w:color w:val="2D2D2D"/>
          <w:sz w:val="22"/>
        </w:rPr>
        <w:t>On-time pressure</w:t>
      </w:r>
      <w:r>
        <w:rPr>
          <w:rFonts w:ascii="Calibri" w:hAnsi="Calibri"/>
          <w:color w:val="2D2D2D"/>
          <w:sz w:val="22"/>
        </w:rPr>
        <w:t>: Customers facing schedule adherence penalties or service-level agreements</w:t>
      </w:r>
    </w:p>
    <w:p>
      <w:pPr>
        <w:pStyle w:val="ListBullet"/>
        <w:spacing w:after="40" w:before="20"/>
      </w:pPr>
      <w:r>
        <w:rPr>
          <w:rFonts w:ascii="Calibri" w:hAnsi="Calibri"/>
          <w:b/>
          <w:color w:val="2D2D2D"/>
          <w:sz w:val="22"/>
        </w:rPr>
        <w:t>Safety culture</w:t>
      </w:r>
      <w:r>
        <w:rPr>
          <w:rFonts w:ascii="Calibri" w:hAnsi="Calibri"/>
          <w:color w:val="2D2D2D"/>
          <w:sz w:val="22"/>
        </w:rPr>
        <w:t>: Operations leadership receptive to technology-enabled safety improvements</w:t>
      </w:r>
    </w:p>
    <w:p>
      <w:pPr>
        <w:pStyle w:val="ListBullet"/>
        <w:spacing w:after="40" w:before="20"/>
      </w:pPr>
      <w:r>
        <w:rPr>
          <w:rFonts w:ascii="Calibri" w:hAnsi="Calibri"/>
          <w:b/>
          <w:color w:val="2D2D2D"/>
          <w:sz w:val="22"/>
        </w:rPr>
        <w:t>Pilot willingness</w:t>
      </w:r>
      <w:r>
        <w:rPr>
          <w:rFonts w:ascii="Calibri" w:hAnsi="Calibri"/>
          <w:color w:val="2D2D2D"/>
          <w:sz w:val="22"/>
        </w:rPr>
        <w:t>: History of piloting new tools on select routes before system-wide rollout</w:t>
      </w:r>
    </w:p>
    <w:p>
      <w:pPr>
        <w:spacing w:before="200" w:after="200"/>
        <w:jc w:val="center"/>
      </w:pPr>
      <w:r>
        <w:rPr>
          <w:color w:val="D0D5DD"/>
          <w:sz w:val="12"/>
        </w:rPr>
        <w:t>──────────────────────────────────────────────────────────────────────</w:t>
      </w:r>
    </w:p>
    <w:p>
      <w:pPr>
        <w:pStyle w:val="Heading2"/>
      </w:pPr>
      <w:r>
        <w:t>Phase 2: Enablement &amp; POC Preparation (Weeks 2–4)</w:t>
      </w:r>
    </w:p>
    <w:p>
      <w:pPr>
        <w:spacing w:after="120" w:before="40" w:line="276" w:lineRule="auto"/>
        <w:jc w:val="both"/>
      </w:pPr>
      <w:r>
        <w:rPr>
          <w:rFonts w:ascii="Calibri" w:hAnsi="Calibri"/>
          <w:color w:val="2D2D2D"/>
          <w:sz w:val="22"/>
        </w:rPr>
        <w:t xml:space="preserve">Holland's field staff are the front line of crew adoption. Their ability to position RailVision correctly — as an </w:t>
      </w:r>
      <w:r>
        <w:rPr>
          <w:rFonts w:ascii="Calibri" w:hAnsi="Calibri"/>
          <w:b/>
          <w:color w:val="2D2D2D"/>
          <w:sz w:val="22"/>
        </w:rPr>
        <w:t>engineer-first efficiency companion</w:t>
      </w:r>
      <w:r>
        <w:rPr>
          <w:rFonts w:ascii="Calibri" w:hAnsi="Calibri"/>
          <w:color w:val="2D2D2D"/>
          <w:sz w:val="22"/>
        </w:rPr>
        <w:t>, not surveillance or autopilot — will make or break pilot success.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A4A" w:val="clear"/>
          </w:tcPr>
          <w:p>
            <w:pPr>
              <w:spacing w:before="60" w:after="60"/>
              <w:jc w:val="left"/>
            </w:pPr>
            <w:r/>
            <w:r>
              <w:rPr>
                <w:rFonts w:ascii="Calibri" w:hAnsi="Calibri"/>
                <w:b/>
                <w:color w:val="FFFFFF"/>
                <w:sz w:val="20"/>
              </w:rPr>
              <w:t>Activity</w:t>
            </w:r>
          </w:p>
        </w:tc>
        <w:tc>
          <w:tcPr>
            <w:tcW w:type="dxa" w:w="3120"/>
            <w:shd w:fill="1B2A4A" w:val="clear"/>
          </w:tcPr>
          <w:p>
            <w:pPr>
              <w:spacing w:before="60" w:after="60"/>
              <w:jc w:val="left"/>
            </w:pPr>
            <w:r/>
            <w:r>
              <w:rPr>
                <w:rFonts w:ascii="Calibri" w:hAnsi="Calibri"/>
                <w:b/>
                <w:color w:val="FFFFFF"/>
                <w:sz w:val="20"/>
              </w:rPr>
              <w:t>Description</w:t>
            </w:r>
          </w:p>
        </w:tc>
        <w:tc>
          <w:tcPr>
            <w:tcW w:type="dxa" w:w="3120"/>
            <w:shd w:fill="1B2A4A" w:val="clear"/>
          </w:tcPr>
          <w:p>
            <w:pPr>
              <w:spacing w:before="60" w:after="60"/>
              <w:jc w:val="left"/>
            </w:pPr>
            <w:r/>
            <w:r>
              <w:rPr>
                <w:rFonts w:ascii="Calibri" w:hAnsi="Calibri"/>
                <w:b/>
                <w:color w:val="FFFFFF"/>
                <w:sz w:val="20"/>
              </w:rPr>
              <w:t>Deadline</w:t>
            </w:r>
          </w:p>
        </w:tc>
      </w:tr>
      <w:tr>
        <w:tc>
          <w:tcPr>
            <w:tcW w:type="dxa" w:w="3120"/>
          </w:tcPr>
          <w:p>
            <w:pPr>
              <w:spacing w:before="60" w:after="60"/>
              <w:jc w:val="left"/>
            </w:pPr>
            <w:r/>
            <w:r>
              <w:rPr>
                <w:rFonts w:ascii="Calibri" w:hAnsi="Calibri"/>
                <w:color w:val="2D2D2D"/>
                <w:sz w:val="20"/>
              </w:rPr>
              <w:t>**Adoption Playbook Training**</w:t>
            </w:r>
          </w:p>
        </w:tc>
        <w:tc>
          <w:tcPr>
            <w:tcW w:type="dxa" w:w="3120"/>
          </w:tcPr>
          <w:p>
            <w:pPr>
              <w:spacing w:before="60" w:after="60"/>
              <w:jc w:val="left"/>
            </w:pPr>
            <w:r/>
            <w:r>
              <w:rPr>
                <w:rFonts w:ascii="Calibri" w:hAnsi="Calibri"/>
                <w:color w:val="2D2D2D"/>
                <w:sz w:val="20"/>
              </w:rPr>
              <w:t>Train 10+ Holland field staff on crew-first messaging, ride-along coaching protocols, scorecards, and feedback loops</w:t>
            </w:r>
          </w:p>
        </w:tc>
        <w:tc>
          <w:tcPr>
            <w:tcW w:type="dxa" w:w="3120"/>
          </w:tcPr>
          <w:p>
            <w:pPr>
              <w:spacing w:before="60" w:after="60"/>
              <w:jc w:val="left"/>
            </w:pPr>
            <w:r/>
            <w:r>
              <w:rPr>
                <w:rFonts w:ascii="Calibri" w:hAnsi="Calibri"/>
                <w:color w:val="2D2D2D"/>
                <w:sz w:val="20"/>
              </w:rPr>
              <w:t>Week 3</w:t>
            </w:r>
          </w:p>
        </w:tc>
      </w:tr>
      <w:tr>
        <w:tc>
          <w:tcPr>
            <w:tcW w:type="dxa" w:w="3120"/>
            <w:shd w:fill="F0F4F8" w:val="clear"/>
          </w:tcPr>
          <w:p>
            <w:pPr>
              <w:spacing w:before="60" w:after="60"/>
              <w:jc w:val="left"/>
            </w:pPr>
            <w:r/>
            <w:r>
              <w:rPr>
                <w:rFonts w:ascii="Calibri" w:hAnsi="Calibri"/>
                <w:color w:val="2D2D2D"/>
                <w:sz w:val="20"/>
              </w:rPr>
              <w:t>**Engineer 1-Pager**</w:t>
            </w:r>
          </w:p>
        </w:tc>
        <w:tc>
          <w:tcPr>
            <w:tcW w:type="dxa" w:w="3120"/>
            <w:shd w:fill="F0F4F8" w:val="clear"/>
          </w:tcPr>
          <w:p>
            <w:pPr>
              <w:spacing w:before="60" w:after="60"/>
              <w:jc w:val="left"/>
            </w:pPr>
            <w:r/>
            <w:r>
              <w:rPr>
                <w:rFonts w:ascii="Calibri" w:hAnsi="Calibri"/>
                <w:color w:val="2D2D2D"/>
                <w:sz w:val="20"/>
              </w:rPr>
              <w:t>Co-develop a single-page document for locomotive engineers: what RailVision is, what it isn't, how data is used, and personal benefits</w:t>
            </w:r>
          </w:p>
        </w:tc>
        <w:tc>
          <w:tcPr>
            <w:tcW w:type="dxa" w:w="3120"/>
            <w:shd w:fill="F0F4F8" w:val="clear"/>
          </w:tcPr>
          <w:p>
            <w:pPr>
              <w:spacing w:before="60" w:after="60"/>
              <w:jc w:val="left"/>
            </w:pPr>
            <w:r/>
            <w:r>
              <w:rPr>
                <w:rFonts w:ascii="Calibri" w:hAnsi="Calibri"/>
                <w:color w:val="2D2D2D"/>
                <w:sz w:val="20"/>
              </w:rPr>
              <w:t>Week 2</w:t>
            </w:r>
          </w:p>
        </w:tc>
      </w:tr>
      <w:tr>
        <w:tc>
          <w:tcPr>
            <w:tcW w:type="dxa" w:w="3120"/>
          </w:tcPr>
          <w:p>
            <w:pPr>
              <w:spacing w:before="60" w:after="60"/>
              <w:jc w:val="left"/>
            </w:pPr>
            <w:r/>
            <w:r>
              <w:rPr>
                <w:rFonts w:ascii="Calibri" w:hAnsi="Calibri"/>
                <w:color w:val="2D2D2D"/>
                <w:sz w:val="20"/>
              </w:rPr>
              <w:t>**Messaging Rubric Distribution**</w:t>
            </w:r>
          </w:p>
        </w:tc>
        <w:tc>
          <w:tcPr>
            <w:tcW w:type="dxa" w:w="3120"/>
          </w:tcPr>
          <w:p>
            <w:pPr>
              <w:spacing w:before="60" w:after="60"/>
              <w:jc w:val="left"/>
            </w:pPr>
            <w:r/>
            <w:r>
              <w:rPr>
                <w:rFonts w:ascii="Calibri" w:hAnsi="Calibri"/>
                <w:color w:val="2D2D2D"/>
                <w:sz w:val="20"/>
              </w:rPr>
              <w:t>Distribute approved talk tracks; review/approve all external materials before use</w:t>
            </w:r>
          </w:p>
        </w:tc>
        <w:tc>
          <w:tcPr>
            <w:tcW w:type="dxa" w:w="3120"/>
          </w:tcPr>
          <w:p>
            <w:pPr>
              <w:spacing w:before="60" w:after="60"/>
              <w:jc w:val="left"/>
            </w:pPr>
            <w:r/>
            <w:r>
              <w:rPr>
                <w:rFonts w:ascii="Calibri" w:hAnsi="Calibri"/>
                <w:color w:val="2D2D2D"/>
                <w:sz w:val="20"/>
              </w:rPr>
              <w:t>Week 3</w:t>
            </w:r>
          </w:p>
        </w:tc>
      </w:tr>
      <w:tr>
        <w:tc>
          <w:tcPr>
            <w:tcW w:type="dxa" w:w="3120"/>
            <w:shd w:fill="F0F4F8" w:val="clear"/>
          </w:tcPr>
          <w:p>
            <w:pPr>
              <w:spacing w:before="60" w:after="60"/>
              <w:jc w:val="left"/>
            </w:pPr>
            <w:r/>
            <w:r>
              <w:rPr>
                <w:rFonts w:ascii="Calibri" w:hAnsi="Calibri"/>
                <w:color w:val="2D2D2D"/>
                <w:sz w:val="20"/>
              </w:rPr>
              <w:t>**Baseline Measurement Plan**</w:t>
            </w:r>
          </w:p>
        </w:tc>
        <w:tc>
          <w:tcPr>
            <w:tcW w:type="dxa" w:w="3120"/>
            <w:shd w:fill="F0F4F8" w:val="clear"/>
          </w:tcPr>
          <w:p>
            <w:pPr>
              <w:spacing w:before="60" w:after="60"/>
              <w:jc w:val="left"/>
            </w:pPr>
            <w:r/>
            <w:r>
              <w:rPr>
                <w:rFonts w:ascii="Calibri" w:hAnsi="Calibri"/>
                <w:color w:val="2D2D2D"/>
                <w:sz w:val="20"/>
              </w:rPr>
              <w:t>Define fuel consumption, schedule adherence, and throttle/brake usage baselines for each POC site</w:t>
            </w:r>
          </w:p>
        </w:tc>
        <w:tc>
          <w:tcPr>
            <w:tcW w:type="dxa" w:w="3120"/>
            <w:shd w:fill="F0F4F8" w:val="clear"/>
          </w:tcPr>
          <w:p>
            <w:pPr>
              <w:spacing w:before="60" w:after="60"/>
              <w:jc w:val="left"/>
            </w:pPr>
            <w:r/>
            <w:r>
              <w:rPr>
                <w:rFonts w:ascii="Calibri" w:hAnsi="Calibri"/>
                <w:color w:val="2D2D2D"/>
                <w:sz w:val="20"/>
              </w:rPr>
              <w:t>Week 2</w:t>
            </w:r>
          </w:p>
        </w:tc>
      </w:tr>
    </w:tbl>
    <w:p/>
    <w:p>
      <w:pPr>
        <w:pStyle w:val="Heading3"/>
      </w:pPr>
      <w:r>
        <w:t>Messaging Guardrails (Critical)</w:t>
      </w:r>
    </w:p>
    <w:p>
      <w:pPr>
        <w:spacing w:before="120" w:after="120"/>
        <w:ind w:left="720"/>
        <w:pBdr>
          <w:left w:val="single" w:sz="12" w:space="8" w:color="3A86C8"/>
        </w:pBdr>
      </w:pPr>
      <w:r>
        <w:rPr>
          <w:rFonts w:ascii="Calibri" w:hAnsi="Calibri"/>
          <w:i/>
          <w:color w:val="4A5A6A"/>
          <w:sz w:val="22"/>
        </w:rPr>
        <w:t>**DO say**: "Helps you run smoother, reduce rework, cut wasted fuel, and arrive more predictably."</w:t>
      </w:r>
    </w:p>
    <w:p>
      <w:pPr>
        <w:spacing w:before="120" w:after="120"/>
        <w:ind w:left="720"/>
        <w:pBdr>
          <w:left w:val="single" w:sz="12" w:space="8" w:color="3A86C8"/>
        </w:pBdr>
      </w:pPr>
      <w:r>
        <w:rPr>
          <w:rFonts w:ascii="Calibri" w:hAnsi="Calibri"/>
          <w:i/>
          <w:color w:val="4A5A6A"/>
          <w:sz w:val="22"/>
        </w:rPr>
        <w:t>**DON'T say**: "Autopilot," "surveillance," "replace engineers," or anything implying loss of craft.</w:t>
      </w:r>
    </w:p>
    <w:p>
      <w:pPr>
        <w:spacing w:before="120" w:after="120"/>
        <w:ind w:left="720"/>
        <w:pBdr>
          <w:left w:val="single" w:sz="12" w:space="8" w:color="3A86C8"/>
        </w:pBdr>
      </w:pPr>
      <w:r>
        <w:rPr>
          <w:rFonts w:ascii="Calibri" w:hAnsi="Calibri"/>
          <w:i/>
          <w:color w:val="4A5A6A"/>
          <w:sz w:val="22"/>
        </w:rPr>
        <w:t>**Transparency principle**: Always explain what data is collected, why, and how it improves schedules and fuel — before deployment begins.</w:t>
      </w:r>
    </w:p>
    <w:p>
      <w:pPr>
        <w:spacing w:before="200" w:after="200"/>
        <w:jc w:val="center"/>
      </w:pPr>
      <w:r>
        <w:rPr>
          <w:color w:val="D0D5DD"/>
          <w:sz w:val="12"/>
        </w:rPr>
        <w:t>──────────────────────────────────────────────────────────────────────</w:t>
      </w:r>
    </w:p>
    <w:p>
      <w:pPr>
        <w:pStyle w:val="Heading2"/>
      </w:pPr>
      <w:r>
        <w:t>Phase 3: Execution &amp; Pipeline Cadence (Weeks 4–12)</w:t>
      </w:r>
    </w:p>
    <w:p>
      <w:pPr>
        <w:spacing w:after="120" w:before="40" w:line="276" w:lineRule="auto"/>
        <w:jc w:val="both"/>
      </w:pPr>
      <w:r>
        <w:rPr>
          <w:rFonts w:ascii="Calibri" w:hAnsi="Calibri"/>
          <w:color w:val="2D2D2D"/>
          <w:sz w:val="22"/>
        </w:rPr>
        <w:t>Once POCs are launched, the operating rhythm shifts to weekly execution cadence:</w:t>
      </w:r>
    </w:p>
    <w:p>
      <w:pPr>
        <w:pStyle w:val="ListBullet"/>
        <w:spacing w:after="40" w:before="20"/>
      </w:pPr>
      <w:r>
        <w:rPr>
          <w:rFonts w:ascii="Calibri" w:hAnsi="Calibri"/>
          <w:b/>
          <w:color w:val="2D2D2D"/>
          <w:sz w:val="22"/>
        </w:rPr>
        <w:t>Weekly (30 min)</w:t>
      </w:r>
      <w:r>
        <w:rPr>
          <w:rFonts w:ascii="Calibri" w:hAnsi="Calibri"/>
          <w:color w:val="2D2D2D"/>
          <w:sz w:val="22"/>
        </w:rPr>
        <w:t>: Joint pipeline and deal operations review — stage progression, blocker removal, shared tracker updates</w:t>
      </w:r>
    </w:p>
    <w:p>
      <w:pPr>
        <w:pStyle w:val="ListBullet"/>
        <w:spacing w:after="40" w:before="20"/>
      </w:pPr>
      <w:r>
        <w:rPr>
          <w:rFonts w:ascii="Calibri" w:hAnsi="Calibri"/>
          <w:b/>
          <w:color w:val="2D2D2D"/>
          <w:sz w:val="22"/>
        </w:rPr>
        <w:t>Monthly</w:t>
      </w:r>
      <w:r>
        <w:rPr>
          <w:rFonts w:ascii="Calibri" w:hAnsi="Calibri"/>
          <w:color w:val="2D2D2D"/>
          <w:sz w:val="22"/>
        </w:rPr>
        <w:t>: Enablement refresh, content updates, new account introductions</w:t>
      </w:r>
    </w:p>
    <w:p>
      <w:pPr>
        <w:pStyle w:val="ListBullet"/>
        <w:spacing w:after="40" w:before="20"/>
      </w:pPr>
      <w:r>
        <w:rPr>
          <w:rFonts w:ascii="Calibri" w:hAnsi="Calibri"/>
          <w:b/>
          <w:color w:val="2D2D2D"/>
          <w:sz w:val="22"/>
        </w:rPr>
        <w:t>Quarterly (QBR)</w:t>
      </w:r>
      <w:r>
        <w:rPr>
          <w:rFonts w:ascii="Calibri" w:hAnsi="Calibri"/>
          <w:color w:val="2D2D2D"/>
          <w:sz w:val="22"/>
        </w:rPr>
        <w:t>: Full scorecard review vs. targets; renew, adjust, or exit decision</w:t>
      </w:r>
    </w:p>
    <w:p>
      <w:pPr>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tmpqqjatiud.png"/>
                    <pic:cNvPicPr/>
                  </pic:nvPicPr>
                  <pic:blipFill>
                    <a:blip r:embed="rId13"/>
                    <a:stretch>
                      <a:fillRect/>
                    </a:stretch>
                  </pic:blipFill>
                  <pic:spPr>
                    <a:xfrm>
                      <a:off x="0" y="0"/>
                      <a:ext cx="5029200" cy="3143250"/>
                    </a:xfrm>
                    <a:prstGeom prst="rect"/>
                  </pic:spPr>
                </pic:pic>
              </a:graphicData>
            </a:graphic>
          </wp:inline>
        </w:drawing>
      </w:r>
    </w:p>
    <w:p/>
    <w:p>
      <w:pPr>
        <w:spacing w:after="120" w:before="40" w:line="276" w:lineRule="auto"/>
        <w:jc w:val="both"/>
      </w:pPr>
      <w:r>
        <w:rPr>
          <w:rFonts w:ascii="Calibri" w:hAnsi="Calibri"/>
          <w:i/>
          <w:color w:val="2D2D2D"/>
          <w:sz w:val="22"/>
        </w:rPr>
        <w:t>Chart note: Y-axis represents cumulative qualified pipeline activities (intros + meetings + POC proposals). Target is 25 touchpoints by Day 90, converting to ≥3 signed POCs.</w:t>
      </w:r>
    </w:p>
    <w:p>
      <w:pPr>
        <w:pStyle w:val="Heading2"/>
      </w:pPr>
      <w:r>
        <w:t>90-Day Exit Gate</w:t>
      </w:r>
    </w:p>
    <w:p>
      <w:pPr>
        <w:spacing w:after="120" w:before="40" w:line="276" w:lineRule="auto"/>
        <w:jc w:val="both"/>
      </w:pPr>
      <w:r>
        <w:rPr>
          <w:rFonts w:ascii="Calibri" w:hAnsi="Calibri"/>
          <w:color w:val="2D2D2D"/>
          <w:sz w:val="22"/>
        </w:rPr>
        <w:t>At Day 90, a formal review determines whether the partnership continues, adjusts, or terminates: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A4A" w:val="clear"/>
          </w:tcPr>
          <w:p>
            <w:pPr>
              <w:spacing w:before="60" w:after="60"/>
              <w:jc w:val="left"/>
            </w:pPr>
            <w:r/>
            <w:r>
              <w:rPr>
                <w:rFonts w:ascii="Calibri" w:hAnsi="Calibri"/>
                <w:b/>
                <w:color w:val="FFFFFF"/>
                <w:sz w:val="20"/>
              </w:rPr>
              <w:t>Outcome</w:t>
            </w:r>
          </w:p>
        </w:tc>
        <w:tc>
          <w:tcPr>
            <w:tcW w:type="dxa" w:w="3120"/>
            <w:shd w:fill="1B2A4A" w:val="clear"/>
          </w:tcPr>
          <w:p>
            <w:pPr>
              <w:spacing w:before="60" w:after="60"/>
              <w:jc w:val="left"/>
            </w:pPr>
            <w:r/>
            <w:r>
              <w:rPr>
                <w:rFonts w:ascii="Calibri" w:hAnsi="Calibri"/>
                <w:b/>
                <w:color w:val="FFFFFF"/>
                <w:sz w:val="20"/>
              </w:rPr>
              <w:t>Criteria</w:t>
            </w:r>
          </w:p>
        </w:tc>
        <w:tc>
          <w:tcPr>
            <w:tcW w:type="dxa" w:w="3120"/>
            <w:shd w:fill="1B2A4A" w:val="clear"/>
          </w:tcPr>
          <w:p>
            <w:pPr>
              <w:spacing w:before="60" w:after="60"/>
              <w:jc w:val="left"/>
            </w:pPr>
            <w:r/>
            <w:r>
              <w:rPr>
                <w:rFonts w:ascii="Calibri" w:hAnsi="Calibri"/>
                <w:b/>
                <w:color w:val="FFFFFF"/>
                <w:sz w:val="20"/>
              </w:rPr>
              <w:t>Action</w:t>
            </w:r>
          </w:p>
        </w:tc>
      </w:tr>
      <w:tr>
        <w:tc>
          <w:tcPr>
            <w:tcW w:type="dxa" w:w="3120"/>
          </w:tcPr>
          <w:p>
            <w:pPr>
              <w:spacing w:before="60" w:after="60"/>
              <w:jc w:val="left"/>
            </w:pPr>
            <w:r/>
            <w:r>
              <w:rPr>
                <w:rFonts w:ascii="Calibri" w:hAnsi="Calibri"/>
                <w:color w:val="2D2D2D"/>
                <w:sz w:val="20"/>
              </w:rPr>
              <w:t>**GO — Accelerate**</w:t>
            </w:r>
          </w:p>
        </w:tc>
        <w:tc>
          <w:tcPr>
            <w:tcW w:type="dxa" w:w="3120"/>
          </w:tcPr>
          <w:p>
            <w:pPr>
              <w:spacing w:before="60" w:after="60"/>
              <w:jc w:val="left"/>
            </w:pPr>
            <w:r/>
            <w:r>
              <w:rPr>
                <w:rFonts w:ascii="Calibri" w:hAnsi="Calibri"/>
                <w:color w:val="2D2D2D"/>
                <w:sz w:val="20"/>
              </w:rPr>
              <w:t>≥3 POCs signed, ≥1 production contract, pipeline ≥5 qualified deals</w:t>
            </w:r>
          </w:p>
        </w:tc>
        <w:tc>
          <w:tcPr>
            <w:tcW w:type="dxa" w:w="3120"/>
          </w:tcPr>
          <w:p>
            <w:pPr>
              <w:spacing w:before="60" w:after="60"/>
              <w:jc w:val="left"/>
            </w:pPr>
            <w:r/>
            <w:r>
              <w:rPr>
                <w:rFonts w:ascii="Calibri" w:hAnsi="Calibri"/>
                <w:color w:val="2D2D2D"/>
                <w:sz w:val="20"/>
              </w:rPr>
              <w:t>Expand account mapping; increase SPIF budget; begin QBR cadence</w:t>
            </w:r>
          </w:p>
        </w:tc>
      </w:tr>
      <w:tr>
        <w:tc>
          <w:tcPr>
            <w:tcW w:type="dxa" w:w="3120"/>
            <w:shd w:fill="F0F4F8" w:val="clear"/>
          </w:tcPr>
          <w:p>
            <w:pPr>
              <w:spacing w:before="60" w:after="60"/>
              <w:jc w:val="left"/>
            </w:pPr>
            <w:r/>
            <w:r>
              <w:rPr>
                <w:rFonts w:ascii="Calibri" w:hAnsi="Calibri"/>
                <w:color w:val="2D2D2D"/>
                <w:sz w:val="20"/>
              </w:rPr>
              <w:t>**ADJUST**</w:t>
            </w:r>
          </w:p>
        </w:tc>
        <w:tc>
          <w:tcPr>
            <w:tcW w:type="dxa" w:w="3120"/>
            <w:shd w:fill="F0F4F8" w:val="clear"/>
          </w:tcPr>
          <w:p>
            <w:pPr>
              <w:spacing w:before="60" w:after="60"/>
              <w:jc w:val="left"/>
            </w:pPr>
            <w:r/>
            <w:r>
              <w:rPr>
                <w:rFonts w:ascii="Calibri" w:hAnsi="Calibri"/>
                <w:color w:val="2D2D2D"/>
                <w:sz w:val="20"/>
              </w:rPr>
              <w:t>2 POCs signed, pipeline active but below target</w:t>
            </w:r>
          </w:p>
        </w:tc>
        <w:tc>
          <w:tcPr>
            <w:tcW w:type="dxa" w:w="3120"/>
            <w:shd w:fill="F0F4F8" w:val="clear"/>
          </w:tcPr>
          <w:p>
            <w:pPr>
              <w:spacing w:before="60" w:after="60"/>
              <w:jc w:val="left"/>
            </w:pPr>
            <w:r/>
            <w:r>
              <w:rPr>
                <w:rFonts w:ascii="Calibri" w:hAnsi="Calibri"/>
                <w:color w:val="2D2D2D"/>
                <w:sz w:val="20"/>
              </w:rPr>
              <w:t>Identify blockers; revise account list; extend evaluation by 45 days</w:t>
            </w:r>
          </w:p>
        </w:tc>
      </w:tr>
      <w:tr>
        <w:tc>
          <w:tcPr>
            <w:tcW w:type="dxa" w:w="3120"/>
          </w:tcPr>
          <w:p>
            <w:pPr>
              <w:spacing w:before="60" w:after="60"/>
              <w:jc w:val="left"/>
            </w:pPr>
            <w:r/>
            <w:r>
              <w:rPr>
                <w:rFonts w:ascii="Calibri" w:hAnsi="Calibri"/>
                <w:color w:val="2D2D2D"/>
                <w:sz w:val="20"/>
              </w:rPr>
              <w:t>**NO-GO — Pause**</w:t>
            </w:r>
          </w:p>
        </w:tc>
        <w:tc>
          <w:tcPr>
            <w:tcW w:type="dxa" w:w="3120"/>
          </w:tcPr>
          <w:p>
            <w:pPr>
              <w:spacing w:before="60" w:after="60"/>
              <w:jc w:val="left"/>
            </w:pPr>
            <w:r/>
            <w:r>
              <w:rPr>
                <w:rFonts w:ascii="Calibri" w:hAnsi="Calibri"/>
                <w:color w:val="2D2D2D"/>
                <w:sz w:val="20"/>
              </w:rPr>
              <w:t>&lt;2 POCs signed or data rights not honored</w:t>
            </w:r>
          </w:p>
        </w:tc>
        <w:tc>
          <w:tcPr>
            <w:tcW w:type="dxa" w:w="3120"/>
          </w:tcPr>
          <w:p>
            <w:pPr>
              <w:spacing w:before="60" w:after="60"/>
              <w:jc w:val="left"/>
            </w:pPr>
            <w:r/>
            <w:r>
              <w:rPr>
                <w:rFonts w:ascii="Calibri" w:hAnsi="Calibri"/>
                <w:color w:val="2D2D2D"/>
                <w:sz w:val="20"/>
              </w:rPr>
              <w:t>Pause partnership; conduct post-mortem; evaluate alternative channels</w:t>
            </w:r>
          </w:p>
        </w:tc>
      </w:tr>
    </w:tbl>
    <w:p/>
    <w:p>
      <w:pPr>
        <w:spacing w:before="160" w:after="160"/>
        <w:jc w:val="center"/>
      </w:pPr>
      <w:r>
        <w:rPr>
          <w:color w:val="D0D5DD"/>
          <w:sz w:val="16"/>
        </w:rPr>
        <w:t>────────────────────────────────────────────────────────────</w:t>
      </w:r>
    </w:p>
    <w:p>
      <w:pPr>
        <w:pStyle w:val="Heading1"/>
      </w:pPr>
      <w:r>
        <w:t>Success Metrics &amp; KPI Framework</w:t>
      </w:r>
    </w:p>
    <w:p>
      <w:pPr>
        <w:spacing w:after="120" w:before="40" w:line="276" w:lineRule="auto"/>
        <w:jc w:val="both"/>
      </w:pPr>
      <w:r>
        <w:rPr>
          <w:rFonts w:ascii="Calibri" w:hAnsi="Calibri"/>
          <w:color w:val="2D2D2D"/>
          <w:sz w:val="22"/>
        </w:rPr>
        <w:t xml:space="preserve">Measuring partnership performance requires a balanced scorecard that spans </w:t>
      </w:r>
      <w:r>
        <w:rPr>
          <w:rFonts w:ascii="Calibri" w:hAnsi="Calibri"/>
          <w:b/>
          <w:color w:val="2D2D2D"/>
          <w:sz w:val="22"/>
        </w:rPr>
        <w:t>commercial traction, product adoption, operational execution, and validated impact</w:t>
      </w:r>
      <w:r>
        <w:rPr>
          <w:rFonts w:ascii="Calibri" w:hAnsi="Calibri"/>
          <w:color w:val="2D2D2D"/>
          <w:sz w:val="22"/>
        </w:rPr>
        <w:t>. Vanity metrics — meetings held, emails sent, logos contacted — are excluded. Every metric below has a clear threshold that maps to the 90-day and 180-day gate decisions.</w:t>
      </w:r>
    </w:p>
    <w:p>
      <w:pPr>
        <w:pStyle w:val="Heading2"/>
      </w:pPr>
      <w:r>
        <w:t>Commercial Metrics</w:t>
      </w:r>
    </w:p>
    <w:p>
      <w:pPr>
        <w:spacing w:after="120" w:before="40" w:line="276" w:lineRule="auto"/>
        <w:jc w:val="both"/>
      </w:pPr>
      <w:r>
        <w:rPr>
          <w:rFonts w:ascii="Calibri" w:hAnsi="Calibri"/>
          <w:color w:val="2D2D2D"/>
          <w:sz w:val="22"/>
        </w:rPr>
        <w:t>These metrics track the partnership's revenue contribution and pipeline health:</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A4A" w:val="clear"/>
          </w:tcPr>
          <w:p>
            <w:pPr>
              <w:spacing w:before="60" w:after="60"/>
              <w:jc w:val="left"/>
            </w:pPr>
            <w:r/>
            <w:r>
              <w:rPr>
                <w:rFonts w:ascii="Calibri" w:hAnsi="Calibri"/>
                <w:b/>
                <w:color w:val="FFFFFF"/>
                <w:sz w:val="20"/>
              </w:rPr>
              <w:t>KPI</w:t>
            </w:r>
          </w:p>
        </w:tc>
        <w:tc>
          <w:tcPr>
            <w:tcW w:type="dxa" w:w="2340"/>
            <w:shd w:fill="1B2A4A" w:val="clear"/>
          </w:tcPr>
          <w:p>
            <w:pPr>
              <w:spacing w:before="60" w:after="60"/>
              <w:jc w:val="left"/>
            </w:pPr>
            <w:r/>
            <w:r>
              <w:rPr>
                <w:rFonts w:ascii="Calibri" w:hAnsi="Calibri"/>
                <w:b/>
                <w:color w:val="FFFFFF"/>
                <w:sz w:val="20"/>
              </w:rPr>
              <w:t>90-Day Target</w:t>
            </w:r>
          </w:p>
        </w:tc>
        <w:tc>
          <w:tcPr>
            <w:tcW w:type="dxa" w:w="2340"/>
            <w:shd w:fill="1B2A4A" w:val="clear"/>
          </w:tcPr>
          <w:p>
            <w:pPr>
              <w:spacing w:before="60" w:after="60"/>
              <w:jc w:val="left"/>
            </w:pPr>
            <w:r/>
            <w:r>
              <w:rPr>
                <w:rFonts w:ascii="Calibri" w:hAnsi="Calibri"/>
                <w:b/>
                <w:color w:val="FFFFFF"/>
                <w:sz w:val="20"/>
              </w:rPr>
              <w:t>180-Day Target</w:t>
            </w:r>
          </w:p>
        </w:tc>
        <w:tc>
          <w:tcPr>
            <w:tcW w:type="dxa" w:w="2340"/>
            <w:shd w:fill="1B2A4A" w:val="clear"/>
          </w:tcPr>
          <w:p>
            <w:pPr>
              <w:spacing w:before="60" w:after="60"/>
              <w:jc w:val="left"/>
            </w:pPr>
            <w:r/>
            <w:r>
              <w:rPr>
                <w:rFonts w:ascii="Calibri" w:hAnsi="Calibri"/>
                <w:b/>
                <w:color w:val="FFFFFF"/>
                <w:sz w:val="20"/>
              </w:rPr>
              <w:t>Measurement Method</w:t>
            </w:r>
          </w:p>
        </w:tc>
      </w:tr>
      <w:tr>
        <w:tc>
          <w:tcPr>
            <w:tcW w:type="dxa" w:w="2340"/>
          </w:tcPr>
          <w:p>
            <w:pPr>
              <w:spacing w:before="60" w:after="60"/>
              <w:jc w:val="left"/>
            </w:pPr>
            <w:r/>
            <w:r>
              <w:rPr>
                <w:rFonts w:ascii="Calibri" w:hAnsi="Calibri"/>
                <w:color w:val="2D2D2D"/>
                <w:sz w:val="20"/>
              </w:rPr>
              <w:t>POCs Signed</w:t>
            </w:r>
          </w:p>
        </w:tc>
        <w:tc>
          <w:tcPr>
            <w:tcW w:type="dxa" w:w="2340"/>
          </w:tcPr>
          <w:p>
            <w:pPr>
              <w:spacing w:before="60" w:after="60"/>
              <w:jc w:val="left"/>
            </w:pPr>
            <w:r/>
            <w:r>
              <w:rPr>
                <w:rFonts w:ascii="Calibri" w:hAnsi="Calibri"/>
                <w:color w:val="2D2D2D"/>
                <w:sz w:val="20"/>
              </w:rPr>
              <w:t>≥3</w:t>
            </w:r>
          </w:p>
        </w:tc>
        <w:tc>
          <w:tcPr>
            <w:tcW w:type="dxa" w:w="2340"/>
          </w:tcPr>
          <w:p>
            <w:pPr>
              <w:spacing w:before="60" w:after="60"/>
              <w:jc w:val="left"/>
            </w:pPr>
            <w:r/>
            <w:r>
              <w:rPr>
                <w:rFonts w:ascii="Calibri" w:hAnsi="Calibri"/>
                <w:color w:val="2D2D2D"/>
                <w:sz w:val="20"/>
              </w:rPr>
              <w:t>5+</w:t>
            </w:r>
          </w:p>
        </w:tc>
        <w:tc>
          <w:tcPr>
            <w:tcW w:type="dxa" w:w="2340"/>
          </w:tcPr>
          <w:p>
            <w:pPr>
              <w:spacing w:before="60" w:after="60"/>
              <w:jc w:val="left"/>
            </w:pPr>
            <w:r/>
            <w:r>
              <w:rPr>
                <w:rFonts w:ascii="Calibri" w:hAnsi="Calibri"/>
                <w:color w:val="2D2D2D"/>
                <w:sz w:val="20"/>
              </w:rPr>
              <w:t>Executed SOW count</w:t>
            </w:r>
          </w:p>
        </w:tc>
      </w:tr>
      <w:tr>
        <w:tc>
          <w:tcPr>
            <w:tcW w:type="dxa" w:w="2340"/>
            <w:shd w:fill="F0F4F8" w:val="clear"/>
          </w:tcPr>
          <w:p>
            <w:pPr>
              <w:spacing w:before="60" w:after="60"/>
              <w:jc w:val="left"/>
            </w:pPr>
            <w:r/>
            <w:r>
              <w:rPr>
                <w:rFonts w:ascii="Calibri" w:hAnsi="Calibri"/>
                <w:color w:val="2D2D2D"/>
                <w:sz w:val="20"/>
              </w:rPr>
              <w:t>Production Contracts</w:t>
            </w:r>
          </w:p>
        </w:tc>
        <w:tc>
          <w:tcPr>
            <w:tcW w:type="dxa" w:w="2340"/>
            <w:shd w:fill="F0F4F8" w:val="clear"/>
          </w:tcPr>
          <w:p>
            <w:pPr>
              <w:spacing w:before="60" w:after="60"/>
              <w:jc w:val="left"/>
            </w:pPr>
            <w:r/>
            <w:r>
              <w:rPr>
                <w:rFonts w:ascii="Calibri" w:hAnsi="Calibri"/>
                <w:color w:val="2D2D2D"/>
                <w:sz w:val="20"/>
              </w:rPr>
              <w:t>≥1</w:t>
            </w:r>
          </w:p>
        </w:tc>
        <w:tc>
          <w:tcPr>
            <w:tcW w:type="dxa" w:w="2340"/>
            <w:shd w:fill="F0F4F8" w:val="clear"/>
          </w:tcPr>
          <w:p>
            <w:pPr>
              <w:spacing w:before="60" w:after="60"/>
              <w:jc w:val="left"/>
            </w:pPr>
            <w:r/>
            <w:r>
              <w:rPr>
                <w:rFonts w:ascii="Calibri" w:hAnsi="Calibri"/>
                <w:color w:val="2D2D2D"/>
                <w:sz w:val="20"/>
              </w:rPr>
              <w:t>3+</w:t>
            </w:r>
          </w:p>
        </w:tc>
        <w:tc>
          <w:tcPr>
            <w:tcW w:type="dxa" w:w="2340"/>
            <w:shd w:fill="F0F4F8" w:val="clear"/>
          </w:tcPr>
          <w:p>
            <w:pPr>
              <w:spacing w:before="60" w:after="60"/>
              <w:jc w:val="left"/>
            </w:pPr>
            <w:r/>
            <w:r>
              <w:rPr>
                <w:rFonts w:ascii="Calibri" w:hAnsi="Calibri"/>
                <w:color w:val="2D2D2D"/>
                <w:sz w:val="20"/>
              </w:rPr>
              <w:t>Executed multi-property contracts</w:t>
            </w:r>
          </w:p>
        </w:tc>
      </w:tr>
      <w:tr>
        <w:tc>
          <w:tcPr>
            <w:tcW w:type="dxa" w:w="2340"/>
          </w:tcPr>
          <w:p>
            <w:pPr>
              <w:spacing w:before="60" w:after="60"/>
              <w:jc w:val="left"/>
            </w:pPr>
            <w:r/>
            <w:r>
              <w:rPr>
                <w:rFonts w:ascii="Calibri" w:hAnsi="Calibri"/>
                <w:color w:val="2D2D2D"/>
                <w:sz w:val="20"/>
              </w:rPr>
              <w:t>New ARR (Holland-sourced)</w:t>
            </w:r>
          </w:p>
        </w:tc>
        <w:tc>
          <w:tcPr>
            <w:tcW w:type="dxa" w:w="2340"/>
          </w:tcPr>
          <w:p>
            <w:pPr>
              <w:spacing w:before="60" w:after="60"/>
              <w:jc w:val="left"/>
            </w:pPr>
            <w:r/>
            <w:r>
              <w:rPr>
                <w:rFonts w:ascii="Calibri" w:hAnsi="Calibri"/>
                <w:color w:val="2D2D2D"/>
                <w:sz w:val="20"/>
              </w:rPr>
              <w:t>$100–150K</w:t>
            </w:r>
          </w:p>
        </w:tc>
        <w:tc>
          <w:tcPr>
            <w:tcW w:type="dxa" w:w="2340"/>
          </w:tcPr>
          <w:p>
            <w:pPr>
              <w:spacing w:before="60" w:after="60"/>
              <w:jc w:val="left"/>
            </w:pPr>
            <w:r/>
            <w:r>
              <w:rPr>
                <w:rFonts w:ascii="Calibri" w:hAnsi="Calibri"/>
                <w:color w:val="2D2D2D"/>
                <w:sz w:val="20"/>
              </w:rPr>
              <w:t>$300–400K</w:t>
            </w:r>
          </w:p>
        </w:tc>
        <w:tc>
          <w:tcPr>
            <w:tcW w:type="dxa" w:w="2340"/>
          </w:tcPr>
          <w:p>
            <w:pPr>
              <w:spacing w:before="60" w:after="60"/>
              <w:jc w:val="left"/>
            </w:pPr>
            <w:r/>
            <w:r>
              <w:rPr>
                <w:rFonts w:ascii="Calibri" w:hAnsi="Calibri"/>
                <w:color w:val="2D2D2D"/>
                <w:sz w:val="20"/>
              </w:rPr>
              <w:t>CRM attribution; Holland-introduced deals only</w:t>
            </w:r>
          </w:p>
        </w:tc>
      </w:tr>
      <w:tr>
        <w:tc>
          <w:tcPr>
            <w:tcW w:type="dxa" w:w="2340"/>
            <w:shd w:fill="F0F4F8" w:val="clear"/>
          </w:tcPr>
          <w:p>
            <w:pPr>
              <w:spacing w:before="60" w:after="60"/>
              <w:jc w:val="left"/>
            </w:pPr>
            <w:r/>
            <w:r>
              <w:rPr>
                <w:rFonts w:ascii="Calibri" w:hAnsi="Calibri"/>
                <w:color w:val="2D2D2D"/>
                <w:sz w:val="20"/>
              </w:rPr>
              <w:t>Qualified Pipeline Value</w:t>
            </w:r>
          </w:p>
        </w:tc>
        <w:tc>
          <w:tcPr>
            <w:tcW w:type="dxa" w:w="2340"/>
            <w:shd w:fill="F0F4F8" w:val="clear"/>
          </w:tcPr>
          <w:p>
            <w:pPr>
              <w:spacing w:before="60" w:after="60"/>
              <w:jc w:val="left"/>
            </w:pPr>
            <w:r/>
            <w:r>
              <w:rPr>
                <w:rFonts w:ascii="Calibri" w:hAnsi="Calibri"/>
                <w:color w:val="2D2D2D"/>
                <w:sz w:val="20"/>
              </w:rPr>
              <w:t>$500K+</w:t>
            </w:r>
          </w:p>
        </w:tc>
        <w:tc>
          <w:tcPr>
            <w:tcW w:type="dxa" w:w="2340"/>
            <w:shd w:fill="F0F4F8" w:val="clear"/>
          </w:tcPr>
          <w:p>
            <w:pPr>
              <w:spacing w:before="60" w:after="60"/>
              <w:jc w:val="left"/>
            </w:pPr>
            <w:r/>
            <w:r>
              <w:rPr>
                <w:rFonts w:ascii="Calibri" w:hAnsi="Calibri"/>
                <w:color w:val="2D2D2D"/>
                <w:sz w:val="20"/>
              </w:rPr>
              <w:t>$1.5M+</w:t>
            </w:r>
          </w:p>
        </w:tc>
        <w:tc>
          <w:tcPr>
            <w:tcW w:type="dxa" w:w="2340"/>
            <w:shd w:fill="F0F4F8" w:val="clear"/>
          </w:tcPr>
          <w:p>
            <w:pPr>
              <w:spacing w:before="60" w:after="60"/>
              <w:jc w:val="left"/>
            </w:pPr>
            <w:r/>
            <w:r>
              <w:rPr>
                <w:rFonts w:ascii="Calibri" w:hAnsi="Calibri"/>
                <w:color w:val="2D2D2D"/>
                <w:sz w:val="20"/>
              </w:rPr>
              <w:t>Stage 2+ opportunities in joint tracker</w:t>
            </w:r>
          </w:p>
        </w:tc>
      </w:tr>
      <w:tr>
        <w:tc>
          <w:tcPr>
            <w:tcW w:type="dxa" w:w="2340"/>
          </w:tcPr>
          <w:p>
            <w:pPr>
              <w:spacing w:before="60" w:after="60"/>
              <w:jc w:val="left"/>
            </w:pPr>
            <w:r/>
            <w:r>
              <w:rPr>
                <w:rFonts w:ascii="Calibri" w:hAnsi="Calibri"/>
                <w:color w:val="2D2D2D"/>
                <w:sz w:val="20"/>
              </w:rPr>
              <w:t>Average Deal Size</w:t>
            </w:r>
          </w:p>
        </w:tc>
        <w:tc>
          <w:tcPr>
            <w:tcW w:type="dxa" w:w="2340"/>
          </w:tcPr>
          <w:p>
            <w:pPr>
              <w:spacing w:before="60" w:after="60"/>
              <w:jc w:val="left"/>
            </w:pPr>
            <w:r/>
            <w:r>
              <w:rPr>
                <w:rFonts w:ascii="Calibri" w:hAnsi="Calibri"/>
                <w:color w:val="2D2D2D"/>
                <w:sz w:val="20"/>
              </w:rPr>
              <w:t>$50K+</w:t>
            </w:r>
          </w:p>
        </w:tc>
        <w:tc>
          <w:tcPr>
            <w:tcW w:type="dxa" w:w="2340"/>
          </w:tcPr>
          <w:p>
            <w:pPr>
              <w:spacing w:before="60" w:after="60"/>
              <w:jc w:val="left"/>
            </w:pPr>
            <w:r/>
            <w:r>
              <w:rPr>
                <w:rFonts w:ascii="Calibri" w:hAnsi="Calibri"/>
                <w:color w:val="2D2D2D"/>
                <w:sz w:val="20"/>
              </w:rPr>
              <w:t>$75K+</w:t>
            </w:r>
          </w:p>
        </w:tc>
        <w:tc>
          <w:tcPr>
            <w:tcW w:type="dxa" w:w="2340"/>
          </w:tcPr>
          <w:p>
            <w:pPr>
              <w:spacing w:before="60" w:after="60"/>
              <w:jc w:val="left"/>
            </w:pPr>
            <w:r/>
            <w:r>
              <w:rPr>
                <w:rFonts w:ascii="Calibri" w:hAnsi="Calibri"/>
                <w:color w:val="2D2D2D"/>
                <w:sz w:val="20"/>
              </w:rPr>
              <w:t>Contract value / deal count</w:t>
            </w:r>
          </w:p>
        </w:tc>
      </w:tr>
      <w:tr>
        <w:tc>
          <w:tcPr>
            <w:tcW w:type="dxa" w:w="2340"/>
            <w:shd w:fill="F0F4F8" w:val="clear"/>
          </w:tcPr>
          <w:p>
            <w:pPr>
              <w:spacing w:before="60" w:after="60"/>
              <w:jc w:val="left"/>
            </w:pPr>
            <w:r/>
            <w:r>
              <w:rPr>
                <w:rFonts w:ascii="Calibri" w:hAnsi="Calibri"/>
                <w:color w:val="2D2D2D"/>
                <w:sz w:val="20"/>
              </w:rPr>
              <w:t>Sales Cycle Length</w:t>
            </w:r>
          </w:p>
        </w:tc>
        <w:tc>
          <w:tcPr>
            <w:tcW w:type="dxa" w:w="2340"/>
            <w:shd w:fill="F0F4F8" w:val="clear"/>
          </w:tcPr>
          <w:p>
            <w:pPr>
              <w:spacing w:before="60" w:after="60"/>
              <w:jc w:val="left"/>
            </w:pPr>
            <w:r/>
            <w:r>
              <w:rPr>
                <w:rFonts w:ascii="Calibri" w:hAnsi="Calibri"/>
                <w:color w:val="2D2D2D"/>
                <w:sz w:val="20"/>
              </w:rPr>
              <w:t>&lt;60 days</w:t>
            </w:r>
          </w:p>
        </w:tc>
        <w:tc>
          <w:tcPr>
            <w:tcW w:type="dxa" w:w="2340"/>
            <w:shd w:fill="F0F4F8" w:val="clear"/>
          </w:tcPr>
          <w:p>
            <w:pPr>
              <w:spacing w:before="60" w:after="60"/>
              <w:jc w:val="left"/>
            </w:pPr>
            <w:r/>
            <w:r>
              <w:rPr>
                <w:rFonts w:ascii="Calibri" w:hAnsi="Calibri"/>
                <w:color w:val="2D2D2D"/>
                <w:sz w:val="20"/>
              </w:rPr>
              <w:t>&lt;45 days</w:t>
            </w:r>
          </w:p>
        </w:tc>
        <w:tc>
          <w:tcPr>
            <w:tcW w:type="dxa" w:w="2340"/>
            <w:shd w:fill="F0F4F8" w:val="clear"/>
          </w:tcPr>
          <w:p>
            <w:pPr>
              <w:spacing w:before="60" w:after="60"/>
              <w:jc w:val="left"/>
            </w:pPr>
            <w:r/>
            <w:r>
              <w:rPr>
                <w:rFonts w:ascii="Calibri" w:hAnsi="Calibri"/>
                <w:color w:val="2D2D2D"/>
                <w:sz w:val="20"/>
              </w:rPr>
              <w:t>First intro to signed SOW</w:t>
            </w:r>
          </w:p>
        </w:tc>
      </w:tr>
    </w:tbl>
    <w:p/>
    <w:p>
      <w:pPr>
        <w:pStyle w:val="Heading2"/>
      </w:pPr>
      <w:r>
        <w:t>Adoption Metrics</w:t>
      </w:r>
    </w:p>
    <w:p>
      <w:pPr>
        <w:spacing w:after="120" w:before="40" w:line="276" w:lineRule="auto"/>
        <w:jc w:val="both"/>
      </w:pPr>
      <w:r>
        <w:rPr>
          <w:rFonts w:ascii="Calibri" w:hAnsi="Calibri"/>
          <w:color w:val="2D2D2D"/>
          <w:sz w:val="22"/>
        </w:rPr>
        <w:t>Crew adoption is the leading indicator of deployment success. If engineers reject the tool, fuel savings never materialize and renewals collapse.</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A4A" w:val="clear"/>
          </w:tcPr>
          <w:p>
            <w:pPr>
              <w:spacing w:before="60" w:after="60"/>
              <w:jc w:val="left"/>
            </w:pPr>
            <w:r/>
            <w:r>
              <w:rPr>
                <w:rFonts w:ascii="Calibri" w:hAnsi="Calibri"/>
                <w:b/>
                <w:color w:val="FFFFFF"/>
                <w:sz w:val="20"/>
              </w:rPr>
              <w:t>KPI</w:t>
            </w:r>
          </w:p>
        </w:tc>
        <w:tc>
          <w:tcPr>
            <w:tcW w:type="dxa" w:w="3120"/>
            <w:shd w:fill="1B2A4A" w:val="clear"/>
          </w:tcPr>
          <w:p>
            <w:pPr>
              <w:spacing w:before="60" w:after="60"/>
              <w:jc w:val="left"/>
            </w:pPr>
            <w:r/>
            <w:r>
              <w:rPr>
                <w:rFonts w:ascii="Calibri" w:hAnsi="Calibri"/>
                <w:b/>
                <w:color w:val="FFFFFF"/>
                <w:sz w:val="20"/>
              </w:rPr>
              <w:t>Target</w:t>
            </w:r>
          </w:p>
        </w:tc>
        <w:tc>
          <w:tcPr>
            <w:tcW w:type="dxa" w:w="3120"/>
            <w:shd w:fill="1B2A4A" w:val="clear"/>
          </w:tcPr>
          <w:p>
            <w:pPr>
              <w:spacing w:before="60" w:after="60"/>
              <w:jc w:val="left"/>
            </w:pPr>
            <w:r/>
            <w:r>
              <w:rPr>
                <w:rFonts w:ascii="Calibri" w:hAnsi="Calibri"/>
                <w:b/>
                <w:color w:val="FFFFFF"/>
                <w:sz w:val="20"/>
              </w:rPr>
              <w:t>Red Flag Threshold</w:t>
            </w:r>
          </w:p>
        </w:tc>
      </w:tr>
      <w:tr>
        <w:tc>
          <w:tcPr>
            <w:tcW w:type="dxa" w:w="3120"/>
          </w:tcPr>
          <w:p>
            <w:pPr>
              <w:spacing w:before="60" w:after="60"/>
              <w:jc w:val="left"/>
            </w:pPr>
            <w:r/>
            <w:r>
              <w:rPr>
                <w:rFonts w:ascii="Calibri" w:hAnsi="Calibri"/>
                <w:color w:val="2D2D2D"/>
                <w:sz w:val="20"/>
              </w:rPr>
              <w:t>Active Crew Usage (POC)</w:t>
            </w:r>
          </w:p>
        </w:tc>
        <w:tc>
          <w:tcPr>
            <w:tcW w:type="dxa" w:w="3120"/>
          </w:tcPr>
          <w:p>
            <w:pPr>
              <w:spacing w:before="60" w:after="60"/>
              <w:jc w:val="left"/>
            </w:pPr>
            <w:r/>
            <w:r>
              <w:rPr>
                <w:rFonts w:ascii="Calibri" w:hAnsi="Calibri"/>
                <w:color w:val="2D2D2D"/>
                <w:sz w:val="20"/>
              </w:rPr>
              <w:t>≥70%</w:t>
            </w:r>
          </w:p>
        </w:tc>
        <w:tc>
          <w:tcPr>
            <w:tcW w:type="dxa" w:w="3120"/>
          </w:tcPr>
          <w:p>
            <w:pPr>
              <w:spacing w:before="60" w:after="60"/>
              <w:jc w:val="left"/>
            </w:pPr>
            <w:r/>
            <w:r>
              <w:rPr>
                <w:rFonts w:ascii="Calibri" w:hAnsi="Calibri"/>
                <w:color w:val="2D2D2D"/>
                <w:sz w:val="20"/>
              </w:rPr>
              <w:t>&lt;50% triggers intervention</w:t>
            </w:r>
          </w:p>
        </w:tc>
      </w:tr>
      <w:tr>
        <w:tc>
          <w:tcPr>
            <w:tcW w:type="dxa" w:w="3120"/>
            <w:shd w:fill="F0F4F8" w:val="clear"/>
          </w:tcPr>
          <w:p>
            <w:pPr>
              <w:spacing w:before="60" w:after="60"/>
              <w:jc w:val="left"/>
            </w:pPr>
            <w:r/>
            <w:r>
              <w:rPr>
                <w:rFonts w:ascii="Calibri" w:hAnsi="Calibri"/>
                <w:color w:val="2D2D2D"/>
                <w:sz w:val="20"/>
              </w:rPr>
              <w:t>Engineer NPS</w:t>
            </w:r>
          </w:p>
        </w:tc>
        <w:tc>
          <w:tcPr>
            <w:tcW w:type="dxa" w:w="3120"/>
            <w:shd w:fill="F0F4F8" w:val="clear"/>
          </w:tcPr>
          <w:p>
            <w:pPr>
              <w:spacing w:before="60" w:after="60"/>
              <w:jc w:val="left"/>
            </w:pPr>
            <w:r/>
            <w:r>
              <w:rPr>
                <w:rFonts w:ascii="Calibri" w:hAnsi="Calibri"/>
                <w:color w:val="2D2D2D"/>
                <w:sz w:val="20"/>
              </w:rPr>
              <w:t>Positive (&gt;0)</w:t>
            </w:r>
          </w:p>
        </w:tc>
        <w:tc>
          <w:tcPr>
            <w:tcW w:type="dxa" w:w="3120"/>
            <w:shd w:fill="F0F4F8" w:val="clear"/>
          </w:tcPr>
          <w:p>
            <w:pPr>
              <w:spacing w:before="60" w:after="60"/>
              <w:jc w:val="left"/>
            </w:pPr>
            <w:r/>
            <w:r>
              <w:rPr>
                <w:rFonts w:ascii="Calibri" w:hAnsi="Calibri"/>
                <w:color w:val="2D2D2D"/>
                <w:sz w:val="20"/>
              </w:rPr>
              <w:t>Negative NPS triggers messaging review</w:t>
            </w:r>
          </w:p>
        </w:tc>
      </w:tr>
      <w:tr>
        <w:tc>
          <w:tcPr>
            <w:tcW w:type="dxa" w:w="3120"/>
          </w:tcPr>
          <w:p>
            <w:pPr>
              <w:spacing w:before="60" w:after="60"/>
              <w:jc w:val="left"/>
            </w:pPr>
            <w:r/>
            <w:r>
              <w:rPr>
                <w:rFonts w:ascii="Calibri" w:hAnsi="Calibri"/>
                <w:color w:val="2D2D2D"/>
                <w:sz w:val="20"/>
              </w:rPr>
              <w:t>Opt-Out Rate</w:t>
            </w:r>
          </w:p>
        </w:tc>
        <w:tc>
          <w:tcPr>
            <w:tcW w:type="dxa" w:w="3120"/>
          </w:tcPr>
          <w:p>
            <w:pPr>
              <w:spacing w:before="60" w:after="60"/>
              <w:jc w:val="left"/>
            </w:pPr>
            <w:r/>
            <w:r>
              <w:rPr>
                <w:rFonts w:ascii="Calibri" w:hAnsi="Calibri"/>
                <w:color w:val="2D2D2D"/>
                <w:sz w:val="20"/>
              </w:rPr>
              <w:t>&lt;10%</w:t>
            </w:r>
          </w:p>
        </w:tc>
        <w:tc>
          <w:tcPr>
            <w:tcW w:type="dxa" w:w="3120"/>
          </w:tcPr>
          <w:p>
            <w:pPr>
              <w:spacing w:before="60" w:after="60"/>
              <w:jc w:val="left"/>
            </w:pPr>
            <w:r/>
            <w:r>
              <w:rPr>
                <w:rFonts w:ascii="Calibri" w:hAnsi="Calibri"/>
                <w:color w:val="2D2D2D"/>
                <w:sz w:val="20"/>
              </w:rPr>
              <w:t>&gt;20% triggers deployment pause</w:t>
            </w:r>
          </w:p>
        </w:tc>
      </w:tr>
      <w:tr>
        <w:tc>
          <w:tcPr>
            <w:tcW w:type="dxa" w:w="3120"/>
            <w:shd w:fill="F0F4F8" w:val="clear"/>
          </w:tcPr>
          <w:p>
            <w:pPr>
              <w:spacing w:before="60" w:after="60"/>
              <w:jc w:val="left"/>
            </w:pPr>
            <w:r/>
            <w:r>
              <w:rPr>
                <w:rFonts w:ascii="Calibri" w:hAnsi="Calibri"/>
                <w:color w:val="2D2D2D"/>
                <w:sz w:val="20"/>
              </w:rPr>
              <w:t>Time-to-First-Train</w:t>
            </w:r>
          </w:p>
        </w:tc>
        <w:tc>
          <w:tcPr>
            <w:tcW w:type="dxa" w:w="3120"/>
            <w:shd w:fill="F0F4F8" w:val="clear"/>
          </w:tcPr>
          <w:p>
            <w:pPr>
              <w:spacing w:before="60" w:after="60"/>
              <w:jc w:val="left"/>
            </w:pPr>
            <w:r/>
            <w:r>
              <w:rPr>
                <w:rFonts w:ascii="Calibri" w:hAnsi="Calibri"/>
                <w:color w:val="2D2D2D"/>
                <w:sz w:val="20"/>
              </w:rPr>
              <w:t>≤14 days from SOW</w:t>
            </w:r>
          </w:p>
        </w:tc>
        <w:tc>
          <w:tcPr>
            <w:tcW w:type="dxa" w:w="3120"/>
            <w:shd w:fill="F0F4F8" w:val="clear"/>
          </w:tcPr>
          <w:p>
            <w:pPr>
              <w:spacing w:before="60" w:after="60"/>
              <w:jc w:val="left"/>
            </w:pPr>
            <w:r/>
            <w:r>
              <w:rPr>
                <w:rFonts w:ascii="Calibri" w:hAnsi="Calibri"/>
                <w:color w:val="2D2D2D"/>
                <w:sz w:val="20"/>
              </w:rPr>
              <w:t>&gt;21 days triggers implementation review</w:t>
            </w:r>
          </w:p>
        </w:tc>
      </w:tr>
      <w:tr>
        <w:tc>
          <w:tcPr>
            <w:tcW w:type="dxa" w:w="3120"/>
          </w:tcPr>
          <w:p>
            <w:pPr>
              <w:spacing w:before="60" w:after="60"/>
              <w:jc w:val="left"/>
            </w:pPr>
            <w:r/>
            <w:r>
              <w:rPr>
                <w:rFonts w:ascii="Calibri" w:hAnsi="Calibri"/>
                <w:color w:val="2D2D2D"/>
                <w:sz w:val="20"/>
              </w:rPr>
              <w:t>Training Completion Rate</w:t>
            </w:r>
          </w:p>
        </w:tc>
        <w:tc>
          <w:tcPr>
            <w:tcW w:type="dxa" w:w="3120"/>
          </w:tcPr>
          <w:p>
            <w:pPr>
              <w:spacing w:before="60" w:after="60"/>
              <w:jc w:val="left"/>
            </w:pPr>
            <w:r/>
            <w:r>
              <w:rPr>
                <w:rFonts w:ascii="Calibri" w:hAnsi="Calibri"/>
                <w:color w:val="2D2D2D"/>
                <w:sz w:val="20"/>
              </w:rPr>
              <w:t>100% of assigned engineers</w:t>
            </w:r>
          </w:p>
        </w:tc>
        <w:tc>
          <w:tcPr>
            <w:tcW w:type="dxa" w:w="3120"/>
          </w:tcPr>
          <w:p>
            <w:pPr>
              <w:spacing w:before="60" w:after="60"/>
              <w:jc w:val="left"/>
            </w:pPr>
            <w:r/>
            <w:r>
              <w:rPr>
                <w:rFonts w:ascii="Calibri" w:hAnsi="Calibri"/>
                <w:color w:val="2D2D2D"/>
                <w:sz w:val="20"/>
              </w:rPr>
              <w:t>&lt;80% triggers Holland enablement escalation</w:t>
            </w:r>
          </w:p>
        </w:tc>
      </w:tr>
    </w:tbl>
    <w:p/>
    <w:p>
      <w:pPr>
        <w:pStyle w:val="Heading2"/>
      </w:pPr>
      <w:r>
        <w:t>Operational &amp; Impact Metrics</w:t>
      </w:r>
    </w:p>
    <w:p>
      <w:pPr>
        <w:spacing w:after="120" w:before="40" w:line="276" w:lineRule="auto"/>
        <w:jc w:val="both"/>
      </w:pPr>
      <w:r>
        <w:rPr>
          <w:rFonts w:ascii="Calibri" w:hAnsi="Calibri"/>
          <w:color w:val="2D2D2D"/>
          <w:sz w:val="22"/>
        </w:rPr>
        <w:t>These metrics validate that the product delivers its promised value — the foundation of every renewal, expansion, and case study.</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A4A" w:val="clear"/>
          </w:tcPr>
          <w:p>
            <w:pPr>
              <w:spacing w:before="60" w:after="60"/>
              <w:jc w:val="left"/>
            </w:pPr>
            <w:r/>
            <w:r>
              <w:rPr>
                <w:rFonts w:ascii="Calibri" w:hAnsi="Calibri"/>
                <w:b/>
                <w:color w:val="FFFFFF"/>
                <w:sz w:val="20"/>
              </w:rPr>
              <w:t>KPI</w:t>
            </w:r>
          </w:p>
        </w:tc>
        <w:tc>
          <w:tcPr>
            <w:tcW w:type="dxa" w:w="3120"/>
            <w:shd w:fill="1B2A4A" w:val="clear"/>
          </w:tcPr>
          <w:p>
            <w:pPr>
              <w:spacing w:before="60" w:after="60"/>
              <w:jc w:val="left"/>
            </w:pPr>
            <w:r/>
            <w:r>
              <w:rPr>
                <w:rFonts w:ascii="Calibri" w:hAnsi="Calibri"/>
                <w:b/>
                <w:color w:val="FFFFFF"/>
                <w:sz w:val="20"/>
              </w:rPr>
              <w:t>Target</w:t>
            </w:r>
          </w:p>
        </w:tc>
        <w:tc>
          <w:tcPr>
            <w:tcW w:type="dxa" w:w="3120"/>
            <w:shd w:fill="1B2A4A" w:val="clear"/>
          </w:tcPr>
          <w:p>
            <w:pPr>
              <w:spacing w:before="60" w:after="60"/>
              <w:jc w:val="left"/>
            </w:pPr>
            <w:r/>
            <w:r>
              <w:rPr>
                <w:rFonts w:ascii="Calibri" w:hAnsi="Calibri"/>
                <w:b/>
                <w:color w:val="FFFFFF"/>
                <w:sz w:val="20"/>
              </w:rPr>
              <w:t>Validation Standard</w:t>
            </w:r>
          </w:p>
        </w:tc>
      </w:tr>
      <w:tr>
        <w:tc>
          <w:tcPr>
            <w:tcW w:type="dxa" w:w="3120"/>
          </w:tcPr>
          <w:p>
            <w:pPr>
              <w:spacing w:before="60" w:after="60"/>
              <w:jc w:val="left"/>
            </w:pPr>
            <w:r/>
            <w:r>
              <w:rPr>
                <w:rFonts w:ascii="Calibri" w:hAnsi="Calibri"/>
                <w:color w:val="2D2D2D"/>
                <w:sz w:val="20"/>
              </w:rPr>
              <w:t>Documented Fuel Savings</w:t>
            </w:r>
          </w:p>
        </w:tc>
        <w:tc>
          <w:tcPr>
            <w:tcW w:type="dxa" w:w="3120"/>
          </w:tcPr>
          <w:p>
            <w:pPr>
              <w:spacing w:before="60" w:after="60"/>
              <w:jc w:val="left"/>
            </w:pPr>
            <w:r/>
            <w:r>
              <w:rPr>
                <w:rFonts w:ascii="Calibri" w:hAnsi="Calibri"/>
                <w:color w:val="2D2D2D"/>
                <w:sz w:val="20"/>
              </w:rPr>
              <w:t>5–10%</w:t>
            </w:r>
          </w:p>
        </w:tc>
        <w:tc>
          <w:tcPr>
            <w:tcW w:type="dxa" w:w="3120"/>
          </w:tcPr>
          <w:p>
            <w:pPr>
              <w:spacing w:before="60" w:after="60"/>
              <w:jc w:val="left"/>
            </w:pPr>
            <w:r/>
            <w:r>
              <w:rPr>
                <w:rFonts w:ascii="Calibri" w:hAnsi="Calibri"/>
                <w:color w:val="2D2D2D"/>
                <w:sz w:val="20"/>
              </w:rPr>
              <w:t>Methodology documented; confidence intervals reported</w:t>
            </w:r>
          </w:p>
        </w:tc>
      </w:tr>
      <w:tr>
        <w:tc>
          <w:tcPr>
            <w:tcW w:type="dxa" w:w="3120"/>
            <w:shd w:fill="F0F4F8" w:val="clear"/>
          </w:tcPr>
          <w:p>
            <w:pPr>
              <w:spacing w:before="60" w:after="60"/>
              <w:jc w:val="left"/>
            </w:pPr>
            <w:r/>
            <w:r>
              <w:rPr>
                <w:rFonts w:ascii="Calibri" w:hAnsi="Calibri"/>
                <w:color w:val="2D2D2D"/>
                <w:sz w:val="20"/>
              </w:rPr>
              <w:t>Schedule Adherence Improvement</w:t>
            </w:r>
          </w:p>
        </w:tc>
        <w:tc>
          <w:tcPr>
            <w:tcW w:type="dxa" w:w="3120"/>
            <w:shd w:fill="F0F4F8" w:val="clear"/>
          </w:tcPr>
          <w:p>
            <w:pPr>
              <w:spacing w:before="60" w:after="60"/>
              <w:jc w:val="left"/>
            </w:pPr>
            <w:r/>
            <w:r>
              <w:rPr>
                <w:rFonts w:ascii="Calibri" w:hAnsi="Calibri"/>
                <w:color w:val="2D2D2D"/>
                <w:sz w:val="20"/>
              </w:rPr>
              <w:t>Measurable positive delta</w:t>
            </w:r>
          </w:p>
        </w:tc>
        <w:tc>
          <w:tcPr>
            <w:tcW w:type="dxa" w:w="3120"/>
            <w:shd w:fill="F0F4F8" w:val="clear"/>
          </w:tcPr>
          <w:p>
            <w:pPr>
              <w:spacing w:before="60" w:after="60"/>
              <w:jc w:val="left"/>
            </w:pPr>
            <w:r/>
            <w:r>
              <w:rPr>
                <w:rFonts w:ascii="Calibri" w:hAnsi="Calibri"/>
                <w:color w:val="2D2D2D"/>
                <w:sz w:val="20"/>
              </w:rPr>
              <w:t>Before/after comparison with statistical significance</w:t>
            </w:r>
          </w:p>
        </w:tc>
      </w:tr>
      <w:tr>
        <w:tc>
          <w:tcPr>
            <w:tcW w:type="dxa" w:w="3120"/>
          </w:tcPr>
          <w:p>
            <w:pPr>
              <w:spacing w:before="60" w:after="60"/>
              <w:jc w:val="left"/>
            </w:pPr>
            <w:r/>
            <w:r>
              <w:rPr>
                <w:rFonts w:ascii="Calibri" w:hAnsi="Calibri"/>
                <w:color w:val="2D2D2D"/>
                <w:sz w:val="20"/>
              </w:rPr>
              <w:t>Case Studies Published</w:t>
            </w:r>
          </w:p>
        </w:tc>
        <w:tc>
          <w:tcPr>
            <w:tcW w:type="dxa" w:w="3120"/>
          </w:tcPr>
          <w:p>
            <w:pPr>
              <w:spacing w:before="60" w:after="60"/>
              <w:jc w:val="left"/>
            </w:pPr>
            <w:r/>
            <w:r>
              <w:rPr>
                <w:rFonts w:ascii="Calibri" w:hAnsi="Calibri"/>
                <w:color w:val="2D2D2D"/>
                <w:sz w:val="20"/>
              </w:rPr>
              <w:t>2 anonymized case snaps</w:t>
            </w:r>
          </w:p>
        </w:tc>
        <w:tc>
          <w:tcPr>
            <w:tcW w:type="dxa" w:w="3120"/>
          </w:tcPr>
          <w:p>
            <w:pPr>
              <w:spacing w:before="60" w:after="60"/>
              <w:jc w:val="left"/>
            </w:pPr>
            <w:r/>
            <w:r>
              <w:rPr>
                <w:rFonts w:ascii="Calibri" w:hAnsi="Calibri"/>
                <w:color w:val="2D2D2D"/>
                <w:sz w:val="20"/>
              </w:rPr>
              <w:t>Customer-approved; usable in demand generation</w:t>
            </w:r>
          </w:p>
        </w:tc>
      </w:tr>
      <w:tr>
        <w:tc>
          <w:tcPr>
            <w:tcW w:type="dxa" w:w="3120"/>
            <w:shd w:fill="F0F4F8" w:val="clear"/>
          </w:tcPr>
          <w:p>
            <w:pPr>
              <w:spacing w:before="60" w:after="60"/>
              <w:jc w:val="left"/>
            </w:pPr>
            <w:r/>
            <w:r>
              <w:rPr>
                <w:rFonts w:ascii="Calibri" w:hAnsi="Calibri"/>
                <w:color w:val="2D2D2D"/>
                <w:sz w:val="20"/>
              </w:rPr>
              <w:t>Pilot Runbook Execution</w:t>
            </w:r>
          </w:p>
        </w:tc>
        <w:tc>
          <w:tcPr>
            <w:tcW w:type="dxa" w:w="3120"/>
            <w:shd w:fill="F0F4F8" w:val="clear"/>
          </w:tcPr>
          <w:p>
            <w:pPr>
              <w:spacing w:before="60" w:after="60"/>
              <w:jc w:val="left"/>
            </w:pPr>
            <w:r/>
            <w:r>
              <w:rPr>
                <w:rFonts w:ascii="Calibri" w:hAnsi="Calibri"/>
                <w:color w:val="2D2D2D"/>
                <w:sz w:val="20"/>
              </w:rPr>
              <w:t>100% of steps completed</w:t>
            </w:r>
          </w:p>
        </w:tc>
        <w:tc>
          <w:tcPr>
            <w:tcW w:type="dxa" w:w="3120"/>
            <w:shd w:fill="F0F4F8" w:val="clear"/>
          </w:tcPr>
          <w:p>
            <w:pPr>
              <w:spacing w:before="60" w:after="60"/>
              <w:jc w:val="left"/>
            </w:pPr>
            <w:r/>
            <w:r>
              <w:rPr>
                <w:rFonts w:ascii="Calibri" w:hAnsi="Calibri"/>
                <w:color w:val="2D2D2D"/>
                <w:sz w:val="20"/>
              </w:rPr>
              <w:t>Implementation lead sign-off per property</w:t>
            </w:r>
          </w:p>
        </w:tc>
      </w:tr>
    </w:tbl>
    <w:p/>
    <w:p>
      <w:pPr>
        <w:jc w:val="center"/>
      </w:pPr>
      <w:r>
        <w:drawing>
          <wp:inline xmlns:a="http://schemas.openxmlformats.org/drawingml/2006/main" xmlns:pic="http://schemas.openxmlformats.org/drawingml/2006/picture">
            <wp:extent cx="5029200" cy="3592286"/>
            <wp:docPr id="4" name="Picture 4"/>
            <wp:cNvGraphicFramePr>
              <a:graphicFrameLocks noChangeAspect="1"/>
            </wp:cNvGraphicFramePr>
            <a:graphic>
              <a:graphicData uri="http://schemas.openxmlformats.org/drawingml/2006/picture">
                <pic:pic>
                  <pic:nvPicPr>
                    <pic:cNvPr id="0" name="tmpvk0m246y.png"/>
                    <pic:cNvPicPr/>
                  </pic:nvPicPr>
                  <pic:blipFill>
                    <a:blip r:embed="rId14"/>
                    <a:stretch>
                      <a:fillRect/>
                    </a:stretch>
                  </pic:blipFill>
                  <pic:spPr>
                    <a:xfrm>
                      <a:off x="0" y="0"/>
                      <a:ext cx="5029200" cy="3592286"/>
                    </a:xfrm>
                    <a:prstGeom prst="rect"/>
                  </pic:spPr>
                </pic:pic>
              </a:graphicData>
            </a:graphic>
          </wp:inline>
        </w:drawing>
      </w:r>
    </w:p>
    <w:p/>
    <w:p>
      <w:pPr>
        <w:pStyle w:val="Heading2"/>
      </w:pPr>
      <w:r>
        <w:t>Scorecard Governance</w:t>
      </w:r>
    </w:p>
    <w:p>
      <w:pPr>
        <w:spacing w:after="120" w:before="40" w:line="276" w:lineRule="auto"/>
        <w:jc w:val="both"/>
      </w:pPr>
      <w:r>
        <w:rPr>
          <w:rFonts w:ascii="Calibri" w:hAnsi="Calibri"/>
          <w:color w:val="2D2D2D"/>
          <w:sz w:val="22"/>
        </w:rPr>
        <w:t>The KPI framework is not a passive dashboard — it drives active decision-making:</w:t>
      </w:r>
    </w:p>
    <w:p>
      <w:pPr>
        <w:pStyle w:val="ListBullet"/>
        <w:spacing w:after="40" w:before="20"/>
      </w:pPr>
      <w:r>
        <w:rPr>
          <w:rFonts w:ascii="Calibri" w:hAnsi="Calibri"/>
          <w:b/>
          <w:color w:val="2D2D2D"/>
          <w:sz w:val="22"/>
        </w:rPr>
        <w:t>Weekly</w:t>
      </w:r>
      <w:r>
        <w:rPr>
          <w:rFonts w:ascii="Calibri" w:hAnsi="Calibri"/>
          <w:color w:val="2D2D2D"/>
          <w:sz w:val="22"/>
        </w:rPr>
        <w:t>: Sales and pipeline metrics reviewed in joint 30-minute call. Any metric trending below 70% of target triggers a named action item with a 7-day resolution deadline.</w:t>
      </w:r>
    </w:p>
    <w:p>
      <w:pPr>
        <w:pStyle w:val="ListBullet"/>
        <w:spacing w:after="40" w:before="20"/>
      </w:pPr>
      <w:r>
        <w:rPr>
          <w:rFonts w:ascii="Calibri" w:hAnsi="Calibri"/>
          <w:b/>
          <w:color w:val="2D2D2D"/>
          <w:sz w:val="22"/>
        </w:rPr>
        <w:t>Monthly</w:t>
      </w:r>
      <w:r>
        <w:rPr>
          <w:rFonts w:ascii="Calibri" w:hAnsi="Calibri"/>
          <w:color w:val="2D2D2D"/>
          <w:sz w:val="22"/>
        </w:rPr>
        <w:t>: Adoption and operational metrics reviewed in enablement session. Training gaps, messaging drift, or deployment delays are escalated to partnership leads.</w:t>
      </w:r>
    </w:p>
    <w:p>
      <w:pPr>
        <w:pStyle w:val="ListBullet"/>
        <w:spacing w:after="40" w:before="20"/>
      </w:pPr>
      <w:r>
        <w:rPr>
          <w:rFonts w:ascii="Calibri" w:hAnsi="Calibri"/>
          <w:b/>
          <w:color w:val="2D2D2D"/>
          <w:sz w:val="22"/>
        </w:rPr>
        <w:t>Quarterly (QBR)</w:t>
      </w:r>
      <w:r>
        <w:rPr>
          <w:rFonts w:ascii="Calibri" w:hAnsi="Calibri"/>
          <w:color w:val="2D2D2D"/>
          <w:sz w:val="22"/>
        </w:rPr>
        <w:t>: Full scorecard review with executive sponsors from both organizations. Formal go/adjust/no-go determination based on cumulative performance against all four metric categories.</w:t>
      </w:r>
    </w:p>
    <w:p>
      <w:pPr>
        <w:spacing w:after="120" w:before="40" w:line="276" w:lineRule="auto"/>
        <w:jc w:val="both"/>
      </w:pPr>
      <w:r>
        <w:rPr>
          <w:rFonts w:ascii="Calibri" w:hAnsi="Calibri"/>
          <w:color w:val="2D2D2D"/>
          <w:sz w:val="22"/>
        </w:rPr>
        <w:t xml:space="preserve">The scorecard is owned by the </w:t>
      </w:r>
      <w:r>
        <w:rPr>
          <w:rFonts w:ascii="Calibri" w:hAnsi="Calibri"/>
          <w:b/>
          <w:color w:val="2D2D2D"/>
          <w:sz w:val="22"/>
        </w:rPr>
        <w:t>RailVision CSO</w:t>
      </w:r>
      <w:r>
        <w:rPr>
          <w:rFonts w:ascii="Calibri" w:hAnsi="Calibri"/>
          <w:color w:val="2D2D2D"/>
          <w:sz w:val="22"/>
        </w:rPr>
        <w:t xml:space="preserve"> (lead) with </w:t>
      </w:r>
      <w:r>
        <w:rPr>
          <w:rFonts w:ascii="Calibri" w:hAnsi="Calibri"/>
          <w:b/>
          <w:color w:val="2D2D2D"/>
          <w:sz w:val="22"/>
        </w:rPr>
        <w:t>RailVision Sales</w:t>
      </w:r>
      <w:r>
        <w:rPr>
          <w:rFonts w:ascii="Calibri" w:hAnsi="Calibri"/>
          <w:color w:val="2D2D2D"/>
          <w:sz w:val="22"/>
        </w:rPr>
        <w:t xml:space="preserve"> (co-lead) and the </w:t>
      </w:r>
      <w:r>
        <w:rPr>
          <w:rFonts w:ascii="Calibri" w:hAnsi="Calibri"/>
          <w:b/>
          <w:color w:val="2D2D2D"/>
          <w:sz w:val="22"/>
        </w:rPr>
        <w:t>Holland Channel Lead</w:t>
      </w:r>
      <w:r>
        <w:rPr>
          <w:rFonts w:ascii="Calibri" w:hAnsi="Calibri"/>
          <w:color w:val="2D2D2D"/>
          <w:sz w:val="22"/>
        </w:rPr>
        <w:t xml:space="preserve"> as the three accountable parties. No metric is measured without a named owner and a defined response protocol for underperformance.</w:t>
      </w:r>
    </w:p>
    <w:p>
      <w:pPr>
        <w:spacing w:before="160" w:after="160"/>
        <w:jc w:val="center"/>
      </w:pPr>
      <w:r>
        <w:rPr>
          <w:color w:val="D0D5DD"/>
          <w:sz w:val="16"/>
        </w:rPr>
        <w:t>────────────────────────────────────────────────────────────</w:t>
      </w:r>
    </w:p>
    <w:p>
      <w:pPr>
        <w:pStyle w:val="Heading1"/>
      </w:pPr>
      <w:r>
        <w:t>Six-Month Execution Roadmap</w:t>
      </w:r>
    </w:p>
    <w:p>
      <w:pPr>
        <w:spacing w:after="120" w:before="40" w:line="276" w:lineRule="auto"/>
        <w:jc w:val="both"/>
      </w:pPr>
      <w:r>
        <w:rPr>
          <w:rFonts w:ascii="Calibri" w:hAnsi="Calibri"/>
          <w:color w:val="2D2D2D"/>
          <w:sz w:val="22"/>
        </w:rPr>
        <w:t>The Holland partnership does not exist in isolation — it is the commercial engine within a broader six-month survival plan that determines RailVision's trajectory. This roadmap integrates the Holland co-sell activities with parallel customer development, product deployment, and capital strategy.</w:t>
      </w:r>
    </w:p>
    <w:p>
      <w:pPr>
        <w:pStyle w:val="Heading2"/>
      </w:pPr>
      <w:r>
        <w:t>Month-by-Month Execution Plan</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A4A" w:val="clear"/>
          </w:tcPr>
          <w:p>
            <w:pPr>
              <w:spacing w:before="60" w:after="60"/>
              <w:jc w:val="left"/>
            </w:pPr>
            <w:r/>
            <w:r>
              <w:rPr>
                <w:rFonts w:ascii="Calibri" w:hAnsi="Calibri"/>
                <w:b/>
                <w:color w:val="FFFFFF"/>
                <w:sz w:val="20"/>
              </w:rPr>
              <w:t>Month</w:t>
            </w:r>
          </w:p>
        </w:tc>
        <w:tc>
          <w:tcPr>
            <w:tcW w:type="dxa" w:w="2340"/>
            <w:shd w:fill="1B2A4A" w:val="clear"/>
          </w:tcPr>
          <w:p>
            <w:pPr>
              <w:spacing w:before="60" w:after="60"/>
              <w:jc w:val="left"/>
            </w:pPr>
            <w:r/>
            <w:r>
              <w:rPr>
                <w:rFonts w:ascii="Calibri" w:hAnsi="Calibri"/>
                <w:b/>
                <w:color w:val="FFFFFF"/>
                <w:sz w:val="20"/>
              </w:rPr>
              <w:t>Focus Area</w:t>
            </w:r>
          </w:p>
        </w:tc>
        <w:tc>
          <w:tcPr>
            <w:tcW w:type="dxa" w:w="2340"/>
            <w:shd w:fill="1B2A4A" w:val="clear"/>
          </w:tcPr>
          <w:p>
            <w:pPr>
              <w:spacing w:before="60" w:after="60"/>
              <w:jc w:val="left"/>
            </w:pPr>
            <w:r/>
            <w:r>
              <w:rPr>
                <w:rFonts w:ascii="Calibri" w:hAnsi="Calibri"/>
                <w:b/>
                <w:color w:val="FFFFFF"/>
                <w:sz w:val="20"/>
              </w:rPr>
              <w:t>Key Deliverables</w:t>
            </w:r>
          </w:p>
        </w:tc>
        <w:tc>
          <w:tcPr>
            <w:tcW w:type="dxa" w:w="2340"/>
            <w:shd w:fill="1B2A4A" w:val="clear"/>
          </w:tcPr>
          <w:p>
            <w:pPr>
              <w:spacing w:before="60" w:after="60"/>
              <w:jc w:val="left"/>
            </w:pPr>
            <w:r/>
            <w:r>
              <w:rPr>
                <w:rFonts w:ascii="Calibri" w:hAnsi="Calibri"/>
                <w:b/>
                <w:color w:val="FFFFFF"/>
                <w:sz w:val="20"/>
              </w:rPr>
              <w:t>ARR Target</w:t>
            </w:r>
          </w:p>
        </w:tc>
      </w:tr>
      <w:tr>
        <w:tc>
          <w:tcPr>
            <w:tcW w:type="dxa" w:w="2340"/>
          </w:tcPr>
          <w:p>
            <w:pPr>
              <w:spacing w:before="60" w:after="60"/>
              <w:jc w:val="left"/>
            </w:pPr>
            <w:r/>
            <w:r>
              <w:rPr>
                <w:rFonts w:ascii="Calibri" w:hAnsi="Calibri"/>
                <w:color w:val="2D2D2D"/>
                <w:sz w:val="20"/>
              </w:rPr>
              <w:t>**Month 1 (Jan)**</w:t>
            </w:r>
          </w:p>
        </w:tc>
        <w:tc>
          <w:tcPr>
            <w:tcW w:type="dxa" w:w="2340"/>
          </w:tcPr>
          <w:p>
            <w:pPr>
              <w:spacing w:before="60" w:after="60"/>
              <w:jc w:val="left"/>
            </w:pPr>
            <w:r/>
            <w:r>
              <w:rPr>
                <w:rFonts w:ascii="Calibri" w:hAnsi="Calibri"/>
                <w:color w:val="2D2D2D"/>
                <w:sz w:val="20"/>
              </w:rPr>
              <w:t>Triage &amp; Reset</w:t>
            </w:r>
          </w:p>
        </w:tc>
        <w:tc>
          <w:tcPr>
            <w:tcW w:type="dxa" w:w="2340"/>
          </w:tcPr>
          <w:p>
            <w:pPr>
              <w:spacing w:before="60" w:after="60"/>
              <w:jc w:val="left"/>
            </w:pPr>
            <w:r/>
            <w:r>
              <w:rPr>
                <w:rFonts w:ascii="Calibri" w:hAnsi="Calibri"/>
                <w:color w:val="2D2D2D"/>
                <w:sz w:val="20"/>
              </w:rPr>
              <w:t>Post-mortem complete; org changes executed; Holland memo sent; kickoff scheduled</w:t>
            </w:r>
          </w:p>
        </w:tc>
        <w:tc>
          <w:tcPr>
            <w:tcW w:type="dxa" w:w="2340"/>
          </w:tcPr>
          <w:p>
            <w:pPr>
              <w:spacing w:before="60" w:after="60"/>
              <w:jc w:val="left"/>
            </w:pPr>
            <w:r/>
            <w:r>
              <w:rPr>
                <w:rFonts w:ascii="Calibri" w:hAnsi="Calibri"/>
                <w:color w:val="2D2D2D"/>
                <w:sz w:val="20"/>
              </w:rPr>
              <w:t>$0</w:t>
            </w:r>
          </w:p>
        </w:tc>
      </w:tr>
      <w:tr>
        <w:tc>
          <w:tcPr>
            <w:tcW w:type="dxa" w:w="2340"/>
            <w:shd w:fill="F0F4F8" w:val="clear"/>
          </w:tcPr>
          <w:p>
            <w:pPr>
              <w:spacing w:before="60" w:after="60"/>
              <w:jc w:val="left"/>
            </w:pPr>
            <w:r/>
            <w:r>
              <w:rPr>
                <w:rFonts w:ascii="Calibri" w:hAnsi="Calibri"/>
                <w:color w:val="2D2D2D"/>
                <w:sz w:val="20"/>
              </w:rPr>
              <w:t>**Month 2 (Feb)**</w:t>
            </w:r>
          </w:p>
        </w:tc>
        <w:tc>
          <w:tcPr>
            <w:tcW w:type="dxa" w:w="2340"/>
            <w:shd w:fill="F0F4F8" w:val="clear"/>
          </w:tcPr>
          <w:p>
            <w:pPr>
              <w:spacing w:before="60" w:after="60"/>
              <w:jc w:val="left"/>
            </w:pPr>
            <w:r/>
            <w:r>
              <w:rPr>
                <w:rFonts w:ascii="Calibri" w:hAnsi="Calibri"/>
                <w:color w:val="2D2D2D"/>
                <w:sz w:val="20"/>
              </w:rPr>
              <w:t>GWRR Do-or-Die + Holland Launch</w:t>
            </w:r>
          </w:p>
        </w:tc>
        <w:tc>
          <w:tcPr>
            <w:tcW w:type="dxa" w:w="2340"/>
            <w:shd w:fill="F0F4F8" w:val="clear"/>
          </w:tcPr>
          <w:p>
            <w:pPr>
              <w:spacing w:before="60" w:after="60"/>
              <w:jc w:val="left"/>
            </w:pPr>
            <w:r/>
            <w:r>
              <w:rPr>
                <w:rFonts w:ascii="Calibri" w:hAnsi="Calibri"/>
                <w:color w:val="2D2D2D"/>
                <w:sz w:val="20"/>
              </w:rPr>
              <w:t>GWRR pilot agreement signed; Holland account mapping complete; 6 exec intros scheduled</w:t>
            </w:r>
          </w:p>
        </w:tc>
        <w:tc>
          <w:tcPr>
            <w:tcW w:type="dxa" w:w="2340"/>
            <w:shd w:fill="F0F4F8" w:val="clear"/>
          </w:tcPr>
          <w:p>
            <w:pPr>
              <w:spacing w:before="60" w:after="60"/>
              <w:jc w:val="left"/>
            </w:pPr>
            <w:r/>
            <w:r>
              <w:rPr>
                <w:rFonts w:ascii="Calibri" w:hAnsi="Calibri"/>
                <w:color w:val="2D2D2D"/>
                <w:sz w:val="20"/>
              </w:rPr>
              <w:t>$25K</w:t>
            </w:r>
          </w:p>
        </w:tc>
      </w:tr>
      <w:tr>
        <w:tc>
          <w:tcPr>
            <w:tcW w:type="dxa" w:w="2340"/>
          </w:tcPr>
          <w:p>
            <w:pPr>
              <w:spacing w:before="60" w:after="60"/>
              <w:jc w:val="left"/>
            </w:pPr>
            <w:r/>
            <w:r>
              <w:rPr>
                <w:rFonts w:ascii="Calibri" w:hAnsi="Calibri"/>
                <w:color w:val="2D2D2D"/>
                <w:sz w:val="20"/>
              </w:rPr>
              <w:t>**Month 3 (Mar)**</w:t>
            </w:r>
          </w:p>
        </w:tc>
        <w:tc>
          <w:tcPr>
            <w:tcW w:type="dxa" w:w="2340"/>
          </w:tcPr>
          <w:p>
            <w:pPr>
              <w:spacing w:before="60" w:after="60"/>
              <w:jc w:val="left"/>
            </w:pPr>
            <w:r/>
            <w:r>
              <w:rPr>
                <w:rFonts w:ascii="Calibri" w:hAnsi="Calibri"/>
                <w:color w:val="2D2D2D"/>
                <w:sz w:val="20"/>
              </w:rPr>
              <w:t>Deployment Discipline</w:t>
            </w:r>
          </w:p>
        </w:tc>
        <w:tc>
          <w:tcPr>
            <w:tcW w:type="dxa" w:w="2340"/>
          </w:tcPr>
          <w:p>
            <w:pPr>
              <w:spacing w:before="60" w:after="60"/>
              <w:jc w:val="left"/>
            </w:pPr>
            <w:r/>
            <w:r>
              <w:rPr>
                <w:rFonts w:ascii="Calibri" w:hAnsi="Calibri"/>
                <w:color w:val="2D2D2D"/>
                <w:sz w:val="20"/>
              </w:rPr>
              <w:t>GWRR Property #1 live; 2–3 Holland-sourced POCs launched; baseline data collection underway</w:t>
            </w:r>
          </w:p>
        </w:tc>
        <w:tc>
          <w:tcPr>
            <w:tcW w:type="dxa" w:w="2340"/>
          </w:tcPr>
          <w:p>
            <w:pPr>
              <w:spacing w:before="60" w:after="60"/>
              <w:jc w:val="left"/>
            </w:pPr>
            <w:r/>
            <w:r>
              <w:rPr>
                <w:rFonts w:ascii="Calibri" w:hAnsi="Calibri"/>
                <w:color w:val="2D2D2D"/>
                <w:sz w:val="20"/>
              </w:rPr>
              <w:t>$100K</w:t>
            </w:r>
          </w:p>
        </w:tc>
      </w:tr>
      <w:tr>
        <w:tc>
          <w:tcPr>
            <w:tcW w:type="dxa" w:w="2340"/>
            <w:shd w:fill="F0F4F8" w:val="clear"/>
          </w:tcPr>
          <w:p>
            <w:pPr>
              <w:spacing w:before="60" w:after="60"/>
              <w:jc w:val="left"/>
            </w:pPr>
            <w:r/>
            <w:r>
              <w:rPr>
                <w:rFonts w:ascii="Calibri" w:hAnsi="Calibri"/>
                <w:color w:val="2D2D2D"/>
                <w:sz w:val="20"/>
              </w:rPr>
              <w:t>**Month 4 (Apr)**</w:t>
            </w:r>
          </w:p>
        </w:tc>
        <w:tc>
          <w:tcPr>
            <w:tcW w:type="dxa" w:w="2340"/>
            <w:shd w:fill="F0F4F8" w:val="clear"/>
          </w:tcPr>
          <w:p>
            <w:pPr>
              <w:spacing w:before="60" w:after="60"/>
              <w:jc w:val="left"/>
            </w:pPr>
            <w:r/>
            <w:r>
              <w:rPr>
                <w:rFonts w:ascii="Calibri" w:hAnsi="Calibri"/>
                <w:color w:val="2D2D2D"/>
                <w:sz w:val="20"/>
              </w:rPr>
              <w:t>Validation &amp; Expansion</w:t>
            </w:r>
          </w:p>
        </w:tc>
        <w:tc>
          <w:tcPr>
            <w:tcW w:type="dxa" w:w="2340"/>
            <w:shd w:fill="F0F4F8" w:val="clear"/>
          </w:tcPr>
          <w:p>
            <w:pPr>
              <w:spacing w:before="60" w:after="60"/>
              <w:jc w:val="left"/>
            </w:pPr>
            <w:r/>
            <w:r>
              <w:rPr>
                <w:rFonts w:ascii="Calibri" w:hAnsi="Calibri"/>
                <w:color w:val="2D2D2D"/>
                <w:sz w:val="20"/>
              </w:rPr>
              <w:t>GWRR Properties #2–3 deployed; first fuel savings report (6%+ target); Holland POC results emerging</w:t>
            </w:r>
          </w:p>
        </w:tc>
        <w:tc>
          <w:tcPr>
            <w:tcW w:type="dxa" w:w="2340"/>
            <w:shd w:fill="F0F4F8" w:val="clear"/>
          </w:tcPr>
          <w:p>
            <w:pPr>
              <w:spacing w:before="60" w:after="60"/>
              <w:jc w:val="left"/>
            </w:pPr>
            <w:r/>
            <w:r>
              <w:rPr>
                <w:rFonts w:ascii="Calibri" w:hAnsi="Calibri"/>
                <w:color w:val="2D2D2D"/>
                <w:sz w:val="20"/>
              </w:rPr>
              <w:t>$200K</w:t>
            </w:r>
          </w:p>
        </w:tc>
      </w:tr>
      <w:tr>
        <w:tc>
          <w:tcPr>
            <w:tcW w:type="dxa" w:w="2340"/>
          </w:tcPr>
          <w:p>
            <w:pPr>
              <w:spacing w:before="60" w:after="60"/>
              <w:jc w:val="left"/>
            </w:pPr>
            <w:r/>
            <w:r>
              <w:rPr>
                <w:rFonts w:ascii="Calibri" w:hAnsi="Calibri"/>
                <w:color w:val="2D2D2D"/>
                <w:sz w:val="20"/>
              </w:rPr>
              <w:t>**Month 5 (May)**</w:t>
            </w:r>
          </w:p>
        </w:tc>
        <w:tc>
          <w:tcPr>
            <w:tcW w:type="dxa" w:w="2340"/>
          </w:tcPr>
          <w:p>
            <w:pPr>
              <w:spacing w:before="60" w:after="60"/>
              <w:jc w:val="left"/>
            </w:pPr>
            <w:r/>
            <w:r>
              <w:rPr>
                <w:rFonts w:ascii="Calibri" w:hAnsi="Calibri"/>
                <w:color w:val="2D2D2D"/>
                <w:sz w:val="20"/>
              </w:rPr>
              <w:t>Sales Engine Activation</w:t>
            </w:r>
          </w:p>
        </w:tc>
        <w:tc>
          <w:tcPr>
            <w:tcW w:type="dxa" w:w="2340"/>
          </w:tcPr>
          <w:p>
            <w:pPr>
              <w:spacing w:before="60" w:after="60"/>
              <w:jc w:val="left"/>
            </w:pPr>
            <w:r/>
            <w:r>
              <w:rPr>
                <w:rFonts w:ascii="Calibri" w:hAnsi="Calibri"/>
                <w:color w:val="2D2D2D"/>
                <w:sz w:val="20"/>
              </w:rPr>
              <w:t>GWRR case study live; outbound campaign launched; Vermont Rail closed; OmniTrax pilot signed</w:t>
            </w:r>
          </w:p>
        </w:tc>
        <w:tc>
          <w:tcPr>
            <w:tcW w:type="dxa" w:w="2340"/>
          </w:tcPr>
          <w:p>
            <w:pPr>
              <w:spacing w:before="60" w:after="60"/>
              <w:jc w:val="left"/>
            </w:pPr>
            <w:r/>
            <w:r>
              <w:rPr>
                <w:rFonts w:ascii="Calibri" w:hAnsi="Calibri"/>
                <w:color w:val="2D2D2D"/>
                <w:sz w:val="20"/>
              </w:rPr>
              <w:t>$325K</w:t>
            </w:r>
          </w:p>
        </w:tc>
      </w:tr>
      <w:tr>
        <w:tc>
          <w:tcPr>
            <w:tcW w:type="dxa" w:w="2340"/>
            <w:shd w:fill="F0F4F8" w:val="clear"/>
          </w:tcPr>
          <w:p>
            <w:pPr>
              <w:spacing w:before="60" w:after="60"/>
              <w:jc w:val="left"/>
            </w:pPr>
            <w:r/>
            <w:r>
              <w:rPr>
                <w:rFonts w:ascii="Calibri" w:hAnsi="Calibri"/>
                <w:color w:val="2D2D2D"/>
                <w:sz w:val="20"/>
              </w:rPr>
              <w:t>**Month 6 (Jun)**</w:t>
            </w:r>
          </w:p>
        </w:tc>
        <w:tc>
          <w:tcPr>
            <w:tcW w:type="dxa" w:w="2340"/>
            <w:shd w:fill="F0F4F8" w:val="clear"/>
          </w:tcPr>
          <w:p>
            <w:pPr>
              <w:spacing w:before="60" w:after="60"/>
              <w:jc w:val="left"/>
            </w:pPr>
            <w:r/>
            <w:r>
              <w:rPr>
                <w:rFonts w:ascii="Calibri" w:hAnsi="Calibri"/>
                <w:color w:val="2D2D2D"/>
                <w:sz w:val="20"/>
              </w:rPr>
              <w:t>Funding Decision Point</w:t>
            </w:r>
          </w:p>
        </w:tc>
        <w:tc>
          <w:tcPr>
            <w:tcW w:type="dxa" w:w="2340"/>
            <w:shd w:fill="F0F4F8" w:val="clear"/>
          </w:tcPr>
          <w:p>
            <w:pPr>
              <w:spacing w:before="60" w:after="60"/>
              <w:jc w:val="left"/>
            </w:pPr>
            <w:r/>
            <w:r>
              <w:rPr>
                <w:rFonts w:ascii="Calibri" w:hAnsi="Calibri"/>
                <w:color w:val="2D2D2D"/>
                <w:sz w:val="20"/>
              </w:rPr>
              <w:t>$400K+ ARR confirmed; investment materials prepared; parallel fundraising/acquisition tracks evaluated</w:t>
            </w:r>
          </w:p>
        </w:tc>
        <w:tc>
          <w:tcPr>
            <w:tcW w:type="dxa" w:w="2340"/>
            <w:shd w:fill="F0F4F8" w:val="clear"/>
          </w:tcPr>
          <w:p>
            <w:pPr>
              <w:spacing w:before="60" w:after="60"/>
              <w:jc w:val="left"/>
            </w:pPr>
            <w:r/>
            <w:r>
              <w:rPr>
                <w:rFonts w:ascii="Calibri" w:hAnsi="Calibri"/>
                <w:color w:val="2D2D2D"/>
                <w:sz w:val="20"/>
              </w:rPr>
              <w:t>$425K</w:t>
            </w:r>
          </w:p>
        </w:tc>
      </w:tr>
    </w:tbl>
    <w:p/>
    <w:p>
      <w:pPr>
        <w:jc w:val="center"/>
      </w:pPr>
      <w:r>
        <w:drawing>
          <wp:inline xmlns:a="http://schemas.openxmlformats.org/drawingml/2006/main" xmlns:pic="http://schemas.openxmlformats.org/drawingml/2006/picture">
            <wp:extent cx="5029200" cy="3143250"/>
            <wp:docPr id="5" name="Picture 5"/>
            <wp:cNvGraphicFramePr>
              <a:graphicFrameLocks noChangeAspect="1"/>
            </wp:cNvGraphicFramePr>
            <a:graphic>
              <a:graphicData uri="http://schemas.openxmlformats.org/drawingml/2006/picture">
                <pic:pic>
                  <pic:nvPicPr>
                    <pic:cNvPr id="0" name="tmpmn458him.png"/>
                    <pic:cNvPicPr/>
                  </pic:nvPicPr>
                  <pic:blipFill>
                    <a:blip r:embed="rId15"/>
                    <a:stretch>
                      <a:fillRect/>
                    </a:stretch>
                  </pic:blipFill>
                  <pic:spPr>
                    <a:xfrm>
                      <a:off x="0" y="0"/>
                      <a:ext cx="5029200" cy="3143250"/>
                    </a:xfrm>
                    <a:prstGeom prst="rect"/>
                  </pic:spPr>
                </pic:pic>
              </a:graphicData>
            </a:graphic>
          </wp:inline>
        </w:drawing>
      </w:r>
    </w:p>
    <w:p/>
    <w:p>
      <w:pPr>
        <w:spacing w:before="200" w:after="200"/>
        <w:jc w:val="center"/>
      </w:pPr>
      <w:r>
        <w:rPr>
          <w:color w:val="D0D5DD"/>
          <w:sz w:val="12"/>
        </w:rPr>
        <w:t>──────────────────────────────────────────────────────────────────────</w:t>
      </w:r>
    </w:p>
    <w:p>
      <w:pPr>
        <w:pStyle w:val="Heading2"/>
      </w:pPr>
      <w:r>
        <w:t>Critical Path Dependencies</w:t>
      </w:r>
    </w:p>
    <w:p>
      <w:pPr>
        <w:spacing w:after="120" w:before="40" w:line="276" w:lineRule="auto"/>
        <w:jc w:val="both"/>
      </w:pPr>
      <w:r>
        <w:rPr>
          <w:rFonts w:ascii="Calibri" w:hAnsi="Calibri"/>
          <w:color w:val="2D2D2D"/>
          <w:sz w:val="22"/>
        </w:rPr>
        <w:t xml:space="preserve">The roadmap contains several </w:t>
      </w:r>
      <w:r>
        <w:rPr>
          <w:rFonts w:ascii="Calibri" w:hAnsi="Calibri"/>
          <w:b/>
          <w:color w:val="2D2D2D"/>
          <w:sz w:val="22"/>
        </w:rPr>
        <w:t>serial dependencies</w:t>
      </w:r>
      <w:r>
        <w:rPr>
          <w:rFonts w:ascii="Calibri" w:hAnsi="Calibri"/>
          <w:color w:val="2D2D2D"/>
          <w:sz w:val="22"/>
        </w:rPr>
        <w:t xml:space="preserve"> where failure at one stage cascades into subsequent months. These must be monitored with extreme vigilance:</w:t>
      </w:r>
    </w:p>
    <w:p>
      <w:pPr>
        <w:pStyle w:val="ListNumber"/>
        <w:spacing w:after="40" w:before="20"/>
      </w:pPr>
      <w:r>
        <w:rPr>
          <w:rFonts w:ascii="Calibri" w:hAnsi="Calibri"/>
          <w:b/>
          <w:color w:val="2D2D2D"/>
          <w:sz w:val="22"/>
        </w:rPr>
        <w:t>GWRR Pilot Agreement (Month 2)</w:t>
      </w:r>
      <w:r>
        <w:rPr>
          <w:rFonts w:ascii="Calibri" w:hAnsi="Calibri"/>
          <w:color w:val="2D2D2D"/>
          <w:sz w:val="22"/>
        </w:rPr>
        <w:t xml:space="preserve"> → Without a signed GWRR agreement, the Month 4 fuel savings report and Month 5 case study cannot exist. GWRR is the proof point that unlocks the entire pipeline. If GWRR does not sign by end of February, </w:t>
      </w:r>
      <w:r>
        <w:rPr>
          <w:rFonts w:ascii="Calibri" w:hAnsi="Calibri"/>
          <w:b/>
          <w:color w:val="2D2D2D"/>
          <w:sz w:val="22"/>
        </w:rPr>
        <w:t>Plan B activates</w:t>
      </w:r>
      <w:r>
        <w:rPr>
          <w:rFonts w:ascii="Calibri" w:hAnsi="Calibri"/>
          <w:color w:val="2D2D2D"/>
          <w:sz w:val="22"/>
        </w:rPr>
        <w:t>: redirect all resources to Holland-sourced POCs as the primary validation path.</w:t>
      </w:r>
    </w:p>
    <w:p>
      <w:pPr>
        <w:pStyle w:val="ListNumber"/>
        <w:spacing w:after="40" w:before="20"/>
      </w:pPr>
      <w:r>
        <w:rPr>
          <w:rFonts w:ascii="Calibri" w:hAnsi="Calibri"/>
          <w:b/>
          <w:color w:val="2D2D2D"/>
          <w:sz w:val="22"/>
        </w:rPr>
        <w:t>Holland Account Mapping (Month 1–2)</w:t>
      </w:r>
      <w:r>
        <w:rPr>
          <w:rFonts w:ascii="Calibri" w:hAnsi="Calibri"/>
          <w:color w:val="2D2D2D"/>
          <w:sz w:val="22"/>
        </w:rPr>
        <w:t xml:space="preserve"> → The 25-logo target list and 6 scheduled exec intros are prerequisites for the Week 4–12 pipeline cadence. If Holland cannot deliver introductions within the first 30 days, the partnership's value proposition is fundamentally undermined.</w:t>
      </w:r>
    </w:p>
    <w:p>
      <w:pPr>
        <w:pStyle w:val="ListNumber"/>
        <w:spacing w:after="40" w:before="20"/>
      </w:pPr>
      <w:r>
        <w:rPr>
          <w:rFonts w:ascii="Calibri" w:hAnsi="Calibri"/>
          <w:b/>
          <w:color w:val="2D2D2D"/>
          <w:sz w:val="22"/>
        </w:rPr>
        <w:t>Crew Adoption in POCs (Month 3–4)</w:t>
      </w:r>
      <w:r>
        <w:rPr>
          <w:rFonts w:ascii="Calibri" w:hAnsi="Calibri"/>
          <w:color w:val="2D2D2D"/>
          <w:sz w:val="22"/>
        </w:rPr>
        <w:t xml:space="preserve"> → If active crew usage falls below 50% in any POC, the deployment must pause for intervention. Low adoption means no fuel savings data, no case study, and no expansion conversation. The adoption playbook and Holland field training are the primary risk controls.</w:t>
      </w:r>
    </w:p>
    <w:p>
      <w:pPr>
        <w:spacing w:before="200" w:after="200"/>
        <w:jc w:val="center"/>
      </w:pPr>
      <w:r>
        <w:rPr>
          <w:color w:val="D0D5DD"/>
          <w:sz w:val="12"/>
        </w:rPr>
        <w:t>──────────────────────────────────────────────────────────────────────</w:t>
      </w:r>
    </w:p>
    <w:p>
      <w:pPr>
        <w:pStyle w:val="Heading2"/>
      </w:pPr>
      <w:r>
        <w:t>Resource Allocation</w:t>
      </w:r>
    </w:p>
    <w:p>
      <w:pPr>
        <w:spacing w:after="120" w:before="40" w:line="276" w:lineRule="auto"/>
        <w:jc w:val="both"/>
      </w:pPr>
      <w:r>
        <w:rPr>
          <w:rFonts w:ascii="Calibri" w:hAnsi="Calibri"/>
          <w:color w:val="2D2D2D"/>
          <w:sz w:val="22"/>
        </w:rPr>
        <w:t>RailVision is operating in survival mode. Resource allocation must be ruthlessly prioritized:</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A4A" w:val="clear"/>
          </w:tcPr>
          <w:p>
            <w:pPr>
              <w:spacing w:before="60" w:after="60"/>
              <w:jc w:val="left"/>
            </w:pPr>
            <w:r/>
            <w:r>
              <w:rPr>
                <w:rFonts w:ascii="Calibri" w:hAnsi="Calibri"/>
                <w:b/>
                <w:color w:val="FFFFFF"/>
                <w:sz w:val="20"/>
              </w:rPr>
              <w:t>Role</w:t>
            </w:r>
          </w:p>
        </w:tc>
        <w:tc>
          <w:tcPr>
            <w:tcW w:type="dxa" w:w="3120"/>
            <w:shd w:fill="1B2A4A" w:val="clear"/>
          </w:tcPr>
          <w:p>
            <w:pPr>
              <w:spacing w:before="60" w:after="60"/>
              <w:jc w:val="left"/>
            </w:pPr>
            <w:r/>
            <w:r>
              <w:rPr>
                <w:rFonts w:ascii="Calibri" w:hAnsi="Calibri"/>
                <w:b/>
                <w:color w:val="FFFFFF"/>
                <w:sz w:val="20"/>
              </w:rPr>
              <w:t>Allocation</w:t>
            </w:r>
          </w:p>
        </w:tc>
        <w:tc>
          <w:tcPr>
            <w:tcW w:type="dxa" w:w="3120"/>
            <w:shd w:fill="1B2A4A" w:val="clear"/>
          </w:tcPr>
          <w:p>
            <w:pPr>
              <w:spacing w:before="60" w:after="60"/>
              <w:jc w:val="left"/>
            </w:pPr>
            <w:r/>
            <w:r>
              <w:rPr>
                <w:rFonts w:ascii="Calibri" w:hAnsi="Calibri"/>
                <w:b/>
                <w:color w:val="FFFFFF"/>
                <w:sz w:val="20"/>
              </w:rPr>
              <w:t>Responsibility</w:t>
            </w:r>
          </w:p>
        </w:tc>
      </w:tr>
      <w:tr>
        <w:tc>
          <w:tcPr>
            <w:tcW w:type="dxa" w:w="3120"/>
          </w:tcPr>
          <w:p>
            <w:pPr>
              <w:spacing w:before="60" w:after="60"/>
              <w:jc w:val="left"/>
            </w:pPr>
            <w:r/>
            <w:r>
              <w:rPr>
                <w:rFonts w:ascii="Calibri" w:hAnsi="Calibri"/>
                <w:color w:val="2D2D2D"/>
                <w:sz w:val="20"/>
              </w:rPr>
              <w:t>**CEO (Jamie O'Rourke)**</w:t>
            </w:r>
          </w:p>
        </w:tc>
        <w:tc>
          <w:tcPr>
            <w:tcW w:type="dxa" w:w="3120"/>
          </w:tcPr>
          <w:p>
            <w:pPr>
              <w:spacing w:before="60" w:after="60"/>
              <w:jc w:val="left"/>
            </w:pPr>
            <w:r/>
            <w:r>
              <w:rPr>
                <w:rFonts w:ascii="Calibri" w:hAnsi="Calibri"/>
                <w:color w:val="2D2D2D"/>
                <w:sz w:val="20"/>
              </w:rPr>
              <w:t>30% of time</w:t>
            </w:r>
          </w:p>
        </w:tc>
        <w:tc>
          <w:tcPr>
            <w:tcW w:type="dxa" w:w="3120"/>
          </w:tcPr>
          <w:p>
            <w:pPr>
              <w:spacing w:before="60" w:after="60"/>
              <w:jc w:val="left"/>
            </w:pPr>
            <w:r/>
            <w:r>
              <w:rPr>
                <w:rFonts w:ascii="Calibri" w:hAnsi="Calibri"/>
                <w:color w:val="2D2D2D"/>
                <w:sz w:val="20"/>
              </w:rPr>
              <w:t>Executive air cover for GWRR and top Holland-sourced deals</w:t>
            </w:r>
          </w:p>
        </w:tc>
      </w:tr>
      <w:tr>
        <w:tc>
          <w:tcPr>
            <w:tcW w:type="dxa" w:w="3120"/>
            <w:shd w:fill="F0F4F8" w:val="clear"/>
          </w:tcPr>
          <w:p>
            <w:pPr>
              <w:spacing w:before="60" w:after="60"/>
              <w:jc w:val="left"/>
            </w:pPr>
            <w:r/>
            <w:r>
              <w:rPr>
                <w:rFonts w:ascii="Calibri" w:hAnsi="Calibri"/>
                <w:color w:val="2D2D2D"/>
                <w:sz w:val="20"/>
              </w:rPr>
              <w:t>**CSO (Michael)**</w:t>
            </w:r>
          </w:p>
        </w:tc>
        <w:tc>
          <w:tcPr>
            <w:tcW w:type="dxa" w:w="3120"/>
            <w:shd w:fill="F0F4F8" w:val="clear"/>
          </w:tcPr>
          <w:p>
            <w:pPr>
              <w:spacing w:before="60" w:after="60"/>
              <w:jc w:val="left"/>
            </w:pPr>
            <w:r/>
            <w:r>
              <w:rPr>
                <w:rFonts w:ascii="Calibri" w:hAnsi="Calibri"/>
                <w:color w:val="2D2D2D"/>
                <w:sz w:val="20"/>
              </w:rPr>
              <w:t>50% of time</w:t>
            </w:r>
          </w:p>
        </w:tc>
        <w:tc>
          <w:tcPr>
            <w:tcW w:type="dxa" w:w="3120"/>
            <w:shd w:fill="F0F4F8" w:val="clear"/>
          </w:tcPr>
          <w:p>
            <w:pPr>
              <w:spacing w:before="60" w:after="60"/>
              <w:jc w:val="left"/>
            </w:pPr>
            <w:r/>
            <w:r>
              <w:rPr>
                <w:rFonts w:ascii="Calibri" w:hAnsi="Calibri"/>
                <w:color w:val="2D2D2D"/>
                <w:sz w:val="20"/>
              </w:rPr>
              <w:t>Holland partnership lead; scorecard governance; board communication</w:t>
            </w:r>
          </w:p>
        </w:tc>
      </w:tr>
      <w:tr>
        <w:tc>
          <w:tcPr>
            <w:tcW w:type="dxa" w:w="3120"/>
          </w:tcPr>
          <w:p>
            <w:pPr>
              <w:spacing w:before="60" w:after="60"/>
              <w:jc w:val="left"/>
            </w:pPr>
            <w:r/>
            <w:r>
              <w:rPr>
                <w:rFonts w:ascii="Calibri" w:hAnsi="Calibri"/>
                <w:color w:val="2D2D2D"/>
                <w:sz w:val="20"/>
              </w:rPr>
              <w:t>**Head of Sales**</w:t>
            </w:r>
          </w:p>
        </w:tc>
        <w:tc>
          <w:tcPr>
            <w:tcW w:type="dxa" w:w="3120"/>
          </w:tcPr>
          <w:p>
            <w:pPr>
              <w:spacing w:before="60" w:after="60"/>
              <w:jc w:val="left"/>
            </w:pPr>
            <w:r/>
            <w:r>
              <w:rPr>
                <w:rFonts w:ascii="Calibri" w:hAnsi="Calibri"/>
                <w:color w:val="2D2D2D"/>
                <w:sz w:val="20"/>
              </w:rPr>
              <w:t>80% of time</w:t>
            </w:r>
          </w:p>
        </w:tc>
        <w:tc>
          <w:tcPr>
            <w:tcW w:type="dxa" w:w="3120"/>
          </w:tcPr>
          <w:p>
            <w:pPr>
              <w:spacing w:before="60" w:after="60"/>
              <w:jc w:val="left"/>
            </w:pPr>
            <w:r/>
            <w:r>
              <w:rPr>
                <w:rFonts w:ascii="Calibri" w:hAnsi="Calibri"/>
                <w:color w:val="2D2D2D"/>
                <w:sz w:val="20"/>
              </w:rPr>
              <w:t>Pipeline management; joint deal reviews; pricing/SOW execution</w:t>
            </w:r>
          </w:p>
        </w:tc>
      </w:tr>
      <w:tr>
        <w:tc>
          <w:tcPr>
            <w:tcW w:type="dxa" w:w="3120"/>
            <w:shd w:fill="F0F4F8" w:val="clear"/>
          </w:tcPr>
          <w:p>
            <w:pPr>
              <w:spacing w:before="60" w:after="60"/>
              <w:jc w:val="left"/>
            </w:pPr>
            <w:r/>
            <w:r>
              <w:rPr>
                <w:rFonts w:ascii="Calibri" w:hAnsi="Calibri"/>
                <w:color w:val="2D2D2D"/>
                <w:sz w:val="20"/>
              </w:rPr>
              <w:t>**Implementation Lead** (New Hire)</w:t>
            </w:r>
          </w:p>
        </w:tc>
        <w:tc>
          <w:tcPr>
            <w:tcW w:type="dxa" w:w="3120"/>
            <w:shd w:fill="F0F4F8" w:val="clear"/>
          </w:tcPr>
          <w:p>
            <w:pPr>
              <w:spacing w:before="60" w:after="60"/>
              <w:jc w:val="left"/>
            </w:pPr>
            <w:r/>
            <w:r>
              <w:rPr>
                <w:rFonts w:ascii="Calibri" w:hAnsi="Calibri"/>
                <w:color w:val="2D2D2D"/>
                <w:sz w:val="20"/>
              </w:rPr>
              <w:t>100%</w:t>
            </w:r>
          </w:p>
        </w:tc>
        <w:tc>
          <w:tcPr>
            <w:tcW w:type="dxa" w:w="3120"/>
            <w:shd w:fill="F0F4F8" w:val="clear"/>
          </w:tcPr>
          <w:p>
            <w:pPr>
              <w:spacing w:before="60" w:after="60"/>
              <w:jc w:val="left"/>
            </w:pPr>
            <w:r/>
            <w:r>
              <w:rPr>
                <w:rFonts w:ascii="Calibri" w:hAnsi="Calibri"/>
                <w:color w:val="2D2D2D"/>
                <w:sz w:val="20"/>
              </w:rPr>
              <w:t>GWRR deployment; POC execution; pilot runbook management</w:t>
            </w:r>
          </w:p>
        </w:tc>
      </w:tr>
      <w:tr>
        <w:tc>
          <w:tcPr>
            <w:tcW w:type="dxa" w:w="3120"/>
          </w:tcPr>
          <w:p>
            <w:pPr>
              <w:spacing w:before="60" w:after="60"/>
              <w:jc w:val="left"/>
            </w:pPr>
            <w:r/>
            <w:r>
              <w:rPr>
                <w:rFonts w:ascii="Calibri" w:hAnsi="Calibri"/>
                <w:color w:val="2D2D2D"/>
                <w:sz w:val="20"/>
              </w:rPr>
              <w:t>**Dev Jain (Product/Engineering)**</w:t>
            </w:r>
          </w:p>
        </w:tc>
        <w:tc>
          <w:tcPr>
            <w:tcW w:type="dxa" w:w="3120"/>
          </w:tcPr>
          <w:p>
            <w:pPr>
              <w:spacing w:before="60" w:after="60"/>
              <w:jc w:val="left"/>
            </w:pPr>
            <w:r/>
            <w:r>
              <w:rPr>
                <w:rFonts w:ascii="Calibri" w:hAnsi="Calibri"/>
                <w:color w:val="2D2D2D"/>
                <w:sz w:val="20"/>
              </w:rPr>
              <w:t>40% on deployment</w:t>
            </w:r>
          </w:p>
        </w:tc>
        <w:tc>
          <w:tcPr>
            <w:tcW w:type="dxa" w:w="3120"/>
          </w:tcPr>
          <w:p>
            <w:pPr>
              <w:spacing w:before="60" w:after="60"/>
              <w:jc w:val="left"/>
            </w:pPr>
            <w:r/>
            <w:r>
              <w:rPr>
                <w:rFonts w:ascii="Calibri" w:hAnsi="Calibri"/>
                <w:color w:val="2D2D2D"/>
                <w:sz w:val="20"/>
              </w:rPr>
              <w:t>Engineer training; on-site visits; product issue resolution</w:t>
            </w:r>
          </w:p>
        </w:tc>
      </w:tr>
      <w:tr>
        <w:tc>
          <w:tcPr>
            <w:tcW w:type="dxa" w:w="3120"/>
            <w:shd w:fill="F0F4F8" w:val="clear"/>
          </w:tcPr>
          <w:p>
            <w:pPr>
              <w:spacing w:before="60" w:after="60"/>
              <w:jc w:val="left"/>
            </w:pPr>
            <w:r/>
            <w:r>
              <w:rPr>
                <w:rFonts w:ascii="Calibri" w:hAnsi="Calibri"/>
                <w:color w:val="2D2D2D"/>
                <w:sz w:val="20"/>
              </w:rPr>
              <w:t>**Sales Specialist** (New Hire)</w:t>
            </w:r>
          </w:p>
        </w:tc>
        <w:tc>
          <w:tcPr>
            <w:tcW w:type="dxa" w:w="3120"/>
            <w:shd w:fill="F0F4F8" w:val="clear"/>
          </w:tcPr>
          <w:p>
            <w:pPr>
              <w:spacing w:before="60" w:after="60"/>
              <w:jc w:val="left"/>
            </w:pPr>
            <w:r/>
            <w:r>
              <w:rPr>
                <w:rFonts w:ascii="Calibri" w:hAnsi="Calibri"/>
                <w:color w:val="2D2D2D"/>
                <w:sz w:val="20"/>
              </w:rPr>
              <w:t>100%</w:t>
            </w:r>
          </w:p>
        </w:tc>
        <w:tc>
          <w:tcPr>
            <w:tcW w:type="dxa" w:w="3120"/>
            <w:shd w:fill="F0F4F8" w:val="clear"/>
          </w:tcPr>
          <w:p>
            <w:pPr>
              <w:spacing w:before="60" w:after="60"/>
              <w:jc w:val="left"/>
            </w:pPr>
            <w:r/>
            <w:r>
              <w:rPr>
                <w:rFonts w:ascii="Calibri" w:hAnsi="Calibri"/>
                <w:color w:val="2D2D2D"/>
                <w:sz w:val="20"/>
              </w:rPr>
              <w:t>Shortline-focused outbound; Holland co-sell support</w:t>
            </w:r>
          </w:p>
        </w:tc>
      </w:tr>
    </w:tbl>
    <w:p/>
    <w:p>
      <w:pPr>
        <w:pStyle w:val="Heading2"/>
      </w:pPr>
      <w:r>
        <w:t>Month 6 Decision Framework</w:t>
      </w:r>
    </w:p>
    <w:p>
      <w:pPr>
        <w:spacing w:after="120" w:before="40" w:line="276" w:lineRule="auto"/>
        <w:jc w:val="both"/>
      </w:pPr>
      <w:r>
        <w:rPr>
          <w:rFonts w:ascii="Calibri" w:hAnsi="Calibri"/>
          <w:color w:val="2D2D2D"/>
          <w:sz w:val="22"/>
        </w:rPr>
        <w:t>At the end of June 2026, RailVision's leadership and board must make a definitive strategic decision based on demonstrated performance:</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A4A" w:val="clear"/>
          </w:tcPr>
          <w:p>
            <w:pPr>
              <w:spacing w:before="60" w:after="60"/>
              <w:jc w:val="left"/>
            </w:pPr>
            <w:r/>
            <w:r>
              <w:rPr>
                <w:rFonts w:ascii="Calibri" w:hAnsi="Calibri"/>
                <w:b/>
                <w:color w:val="FFFFFF"/>
                <w:sz w:val="20"/>
              </w:rPr>
              <w:t>Scenario</w:t>
            </w:r>
          </w:p>
        </w:tc>
        <w:tc>
          <w:tcPr>
            <w:tcW w:type="dxa" w:w="3120"/>
            <w:shd w:fill="1B2A4A" w:val="clear"/>
          </w:tcPr>
          <w:p>
            <w:pPr>
              <w:spacing w:before="60" w:after="60"/>
              <w:jc w:val="left"/>
            </w:pPr>
            <w:r/>
            <w:r>
              <w:rPr>
                <w:rFonts w:ascii="Calibri" w:hAnsi="Calibri"/>
                <w:b/>
                <w:color w:val="FFFFFF"/>
                <w:sz w:val="20"/>
              </w:rPr>
              <w:t>Criteria</w:t>
            </w:r>
          </w:p>
        </w:tc>
        <w:tc>
          <w:tcPr>
            <w:tcW w:type="dxa" w:w="3120"/>
            <w:shd w:fill="1B2A4A" w:val="clear"/>
          </w:tcPr>
          <w:p>
            <w:pPr>
              <w:spacing w:before="60" w:after="60"/>
              <w:jc w:val="left"/>
            </w:pPr>
            <w:r/>
            <w:r>
              <w:rPr>
                <w:rFonts w:ascii="Calibri" w:hAnsi="Calibri"/>
                <w:b/>
                <w:color w:val="FFFFFF"/>
                <w:sz w:val="20"/>
              </w:rPr>
              <w:t>Recommended Action</w:t>
            </w:r>
          </w:p>
        </w:tc>
      </w:tr>
      <w:tr>
        <w:tc>
          <w:tcPr>
            <w:tcW w:type="dxa" w:w="3120"/>
          </w:tcPr>
          <w:p>
            <w:pPr>
              <w:spacing w:before="60" w:after="60"/>
              <w:jc w:val="left"/>
            </w:pPr>
            <w:r/>
            <w:r>
              <w:rPr>
                <w:rFonts w:ascii="Calibri" w:hAnsi="Calibri"/>
                <w:color w:val="2D2D2D"/>
                <w:sz w:val="20"/>
              </w:rPr>
              <w:t>**Strong Momentum**</w:t>
            </w:r>
          </w:p>
        </w:tc>
        <w:tc>
          <w:tcPr>
            <w:tcW w:type="dxa" w:w="3120"/>
          </w:tcPr>
          <w:p>
            <w:pPr>
              <w:spacing w:before="60" w:after="60"/>
              <w:jc w:val="left"/>
            </w:pPr>
            <w:r/>
            <w:r>
              <w:rPr>
                <w:rFonts w:ascii="Calibri" w:hAnsi="Calibri"/>
                <w:color w:val="2D2D2D"/>
                <w:sz w:val="20"/>
              </w:rPr>
              <w:t>$400K+ ARR, 3+ production customers, growing pipeline</w:t>
            </w:r>
          </w:p>
        </w:tc>
        <w:tc>
          <w:tcPr>
            <w:tcW w:type="dxa" w:w="3120"/>
          </w:tcPr>
          <w:p>
            <w:pPr>
              <w:spacing w:before="60" w:after="60"/>
              <w:jc w:val="left"/>
            </w:pPr>
            <w:r/>
            <w:r>
              <w:rPr>
                <w:rFonts w:ascii="Calibri" w:hAnsi="Calibri"/>
                <w:color w:val="2D2D2D"/>
                <w:sz w:val="20"/>
              </w:rPr>
              <w:t>Raise $2–3M bridge round; target acquisition at higher valuation in 12–18 months</w:t>
            </w:r>
          </w:p>
        </w:tc>
      </w:tr>
      <w:tr>
        <w:tc>
          <w:tcPr>
            <w:tcW w:type="dxa" w:w="3120"/>
            <w:shd w:fill="F0F4F8" w:val="clear"/>
          </w:tcPr>
          <w:p>
            <w:pPr>
              <w:spacing w:before="60" w:after="60"/>
              <w:jc w:val="left"/>
            </w:pPr>
            <w:r/>
            <w:r>
              <w:rPr>
                <w:rFonts w:ascii="Calibri" w:hAnsi="Calibri"/>
                <w:color w:val="2D2D2D"/>
                <w:sz w:val="20"/>
              </w:rPr>
              <w:t>**Moderate Traction**</w:t>
            </w:r>
          </w:p>
        </w:tc>
        <w:tc>
          <w:tcPr>
            <w:tcW w:type="dxa" w:w="3120"/>
            <w:shd w:fill="F0F4F8" w:val="clear"/>
          </w:tcPr>
          <w:p>
            <w:pPr>
              <w:spacing w:before="60" w:after="60"/>
              <w:jc w:val="left"/>
            </w:pPr>
            <w:r/>
            <w:r>
              <w:rPr>
                <w:rFonts w:ascii="Calibri" w:hAnsi="Calibri"/>
                <w:color w:val="2D2D2D"/>
                <w:sz w:val="20"/>
              </w:rPr>
              <w:t>$200–300K ARR, execution challenges but product-market fit evident</w:t>
            </w:r>
          </w:p>
        </w:tc>
        <w:tc>
          <w:tcPr>
            <w:tcW w:type="dxa" w:w="3120"/>
            <w:shd w:fill="F0F4F8" w:val="clear"/>
          </w:tcPr>
          <w:p>
            <w:pPr>
              <w:spacing w:before="60" w:after="60"/>
              <w:jc w:val="left"/>
            </w:pPr>
            <w:r/>
            <w:r>
              <w:rPr>
                <w:rFonts w:ascii="Calibri" w:hAnsi="Calibri"/>
                <w:color w:val="2D2D2D"/>
                <w:sz w:val="20"/>
              </w:rPr>
              <w:t>Consider strategic sale at $15–20M; approach Wabtec, Progress Rail, Alstom</w:t>
            </w:r>
          </w:p>
        </w:tc>
      </w:tr>
      <w:tr>
        <w:tc>
          <w:tcPr>
            <w:tcW w:type="dxa" w:w="3120"/>
          </w:tcPr>
          <w:p>
            <w:pPr>
              <w:spacing w:before="60" w:after="60"/>
              <w:jc w:val="left"/>
            </w:pPr>
            <w:r/>
            <w:r>
              <w:rPr>
                <w:rFonts w:ascii="Calibri" w:hAnsi="Calibri"/>
                <w:color w:val="2D2D2D"/>
                <w:sz w:val="20"/>
              </w:rPr>
              <w:t>**Insufficient Progress**</w:t>
            </w:r>
          </w:p>
        </w:tc>
        <w:tc>
          <w:tcPr>
            <w:tcW w:type="dxa" w:w="3120"/>
          </w:tcPr>
          <w:p>
            <w:pPr>
              <w:spacing w:before="60" w:after="60"/>
              <w:jc w:val="left"/>
            </w:pPr>
            <w:r/>
            <w:r>
              <w:rPr>
                <w:rFonts w:ascii="Calibri" w:hAnsi="Calibri"/>
                <w:color w:val="2D2D2D"/>
                <w:sz w:val="20"/>
              </w:rPr>
              <w:t>&lt;$200K ARR, limited customer traction</w:t>
            </w:r>
          </w:p>
        </w:tc>
        <w:tc>
          <w:tcPr>
            <w:tcW w:type="dxa" w:w="3120"/>
          </w:tcPr>
          <w:p>
            <w:pPr>
              <w:spacing w:before="60" w:after="60"/>
              <w:jc w:val="left"/>
            </w:pPr>
            <w:r/>
            <w:r>
              <w:rPr>
                <w:rFonts w:ascii="Calibri" w:hAnsi="Calibri"/>
                <w:color w:val="2D2D2D"/>
                <w:sz w:val="20"/>
              </w:rPr>
              <w:t>Prepare for acqui-hire or structured wind-down</w:t>
            </w:r>
          </w:p>
        </w:tc>
      </w:tr>
    </w:tbl>
    <w:p/>
    <w:p>
      <w:pPr>
        <w:spacing w:before="160" w:after="160"/>
        <w:jc w:val="center"/>
      </w:pPr>
      <w:r>
        <w:rPr>
          <w:color w:val="D0D5DD"/>
          <w:sz w:val="16"/>
        </w:rPr>
        <w:t>────────────────────────────────────────────────────────────</w:t>
      </w:r>
    </w:p>
    <w:p>
      <w:pPr>
        <w:pStyle w:val="Heading1"/>
      </w:pPr>
      <w:r>
        <w:t>Risk Assessment &amp; Mitigation Framework</w:t>
      </w:r>
    </w:p>
    <w:p>
      <w:pPr>
        <w:spacing w:after="120" w:before="40" w:line="276" w:lineRule="auto"/>
        <w:jc w:val="both"/>
      </w:pPr>
      <w:r>
        <w:rPr>
          <w:rFonts w:ascii="Calibri" w:hAnsi="Calibri"/>
          <w:color w:val="2D2D2D"/>
          <w:sz w:val="22"/>
        </w:rPr>
        <w:t xml:space="preserve">Every partnership introduces new risk vectors. The Holland co-sell arrangement is no exception. The following risk matrix evaluates the </w:t>
      </w:r>
      <w:r>
        <w:rPr>
          <w:rFonts w:ascii="Calibri" w:hAnsi="Calibri"/>
          <w:b/>
          <w:color w:val="2D2D2D"/>
          <w:sz w:val="22"/>
        </w:rPr>
        <w:t>probability, impact, and mitigation strategy</w:t>
      </w:r>
      <w:r>
        <w:rPr>
          <w:rFonts w:ascii="Calibri" w:hAnsi="Calibri"/>
          <w:color w:val="2D2D2D"/>
          <w:sz w:val="22"/>
        </w:rPr>
        <w:t xml:space="preserve"> for each identified threat — organized by severity.</w:t>
      </w:r>
    </w:p>
    <w:p>
      <w:pPr>
        <w:pStyle w:val="Heading2"/>
      </w:pPr>
      <w:r>
        <w:t>Risk Matrix</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1B2A4A" w:val="clear"/>
          </w:tcPr>
          <w:p>
            <w:pPr>
              <w:spacing w:before="60" w:after="60"/>
              <w:jc w:val="left"/>
            </w:pPr>
            <w:r/>
            <w:r>
              <w:rPr>
                <w:rFonts w:ascii="Calibri" w:hAnsi="Calibri"/>
                <w:b/>
                <w:color w:val="FFFFFF"/>
                <w:sz w:val="20"/>
              </w:rPr>
              <w:t>Risk</w:t>
            </w:r>
          </w:p>
        </w:tc>
        <w:tc>
          <w:tcPr>
            <w:tcW w:type="dxa" w:w="1872"/>
            <w:shd w:fill="1B2A4A" w:val="clear"/>
          </w:tcPr>
          <w:p>
            <w:pPr>
              <w:spacing w:before="60" w:after="60"/>
              <w:jc w:val="left"/>
            </w:pPr>
            <w:r/>
            <w:r>
              <w:rPr>
                <w:rFonts w:ascii="Calibri" w:hAnsi="Calibri"/>
                <w:b/>
                <w:color w:val="FFFFFF"/>
                <w:sz w:val="20"/>
              </w:rPr>
              <w:t>Probability</w:t>
            </w:r>
          </w:p>
        </w:tc>
        <w:tc>
          <w:tcPr>
            <w:tcW w:type="dxa" w:w="1872"/>
            <w:shd w:fill="1B2A4A" w:val="clear"/>
          </w:tcPr>
          <w:p>
            <w:pPr>
              <w:spacing w:before="60" w:after="60"/>
              <w:jc w:val="left"/>
            </w:pPr>
            <w:r/>
            <w:r>
              <w:rPr>
                <w:rFonts w:ascii="Calibri" w:hAnsi="Calibri"/>
                <w:b/>
                <w:color w:val="FFFFFF"/>
                <w:sz w:val="20"/>
              </w:rPr>
              <w:t>Impact</w:t>
            </w:r>
          </w:p>
        </w:tc>
        <w:tc>
          <w:tcPr>
            <w:tcW w:type="dxa" w:w="1872"/>
            <w:shd w:fill="1B2A4A" w:val="clear"/>
          </w:tcPr>
          <w:p>
            <w:pPr>
              <w:spacing w:before="60" w:after="60"/>
              <w:jc w:val="left"/>
            </w:pPr>
            <w:r/>
            <w:r>
              <w:rPr>
                <w:rFonts w:ascii="Calibri" w:hAnsi="Calibri"/>
                <w:b/>
                <w:color w:val="FFFFFF"/>
                <w:sz w:val="20"/>
              </w:rPr>
              <w:t>Severity</w:t>
            </w:r>
          </w:p>
        </w:tc>
        <w:tc>
          <w:tcPr>
            <w:tcW w:type="dxa" w:w="1872"/>
            <w:shd w:fill="1B2A4A" w:val="clear"/>
          </w:tcPr>
          <w:p>
            <w:pPr>
              <w:spacing w:before="60" w:after="60"/>
              <w:jc w:val="left"/>
            </w:pPr>
            <w:r/>
            <w:r>
              <w:rPr>
                <w:rFonts w:ascii="Calibri" w:hAnsi="Calibri"/>
                <w:b/>
                <w:color w:val="FFFFFF"/>
                <w:sz w:val="20"/>
              </w:rPr>
              <w:t>Mitigation Strategy</w:t>
            </w:r>
          </w:p>
        </w:tc>
      </w:tr>
      <w:tr>
        <w:tc>
          <w:tcPr>
            <w:tcW w:type="dxa" w:w="1872"/>
          </w:tcPr>
          <w:p>
            <w:pPr>
              <w:spacing w:before="60" w:after="60"/>
              <w:jc w:val="left"/>
            </w:pPr>
            <w:r/>
            <w:r>
              <w:rPr>
                <w:rFonts w:ascii="Calibri" w:hAnsi="Calibri"/>
                <w:color w:val="2D2D2D"/>
                <w:sz w:val="20"/>
              </w:rPr>
              <w:t>**Holland demands exclusivity**</w:t>
            </w:r>
          </w:p>
        </w:tc>
        <w:tc>
          <w:tcPr>
            <w:tcW w:type="dxa" w:w="1872"/>
          </w:tcPr>
          <w:p>
            <w:pPr>
              <w:spacing w:before="60" w:after="60"/>
              <w:jc w:val="left"/>
            </w:pPr>
            <w:r/>
            <w:r>
              <w:rPr>
                <w:rFonts w:ascii="Calibri" w:hAnsi="Calibri"/>
                <w:color w:val="2D2D2D"/>
                <w:sz w:val="20"/>
              </w:rPr>
              <w:t>Medium</w:t>
            </w:r>
          </w:p>
        </w:tc>
        <w:tc>
          <w:tcPr>
            <w:tcW w:type="dxa" w:w="1872"/>
          </w:tcPr>
          <w:p>
            <w:pPr>
              <w:spacing w:before="60" w:after="60"/>
              <w:jc w:val="left"/>
            </w:pPr>
            <w:r/>
            <w:r>
              <w:rPr>
                <w:rFonts w:ascii="Calibri" w:hAnsi="Calibri"/>
                <w:color w:val="2D2D2D"/>
                <w:sz w:val="20"/>
              </w:rPr>
              <w:t>Critical</w:t>
            </w:r>
          </w:p>
        </w:tc>
        <w:tc>
          <w:tcPr>
            <w:tcW w:type="dxa" w:w="1872"/>
          </w:tcPr>
          <w:p>
            <w:pPr>
              <w:spacing w:before="60" w:after="60"/>
              <w:jc w:val="left"/>
            </w:pPr>
            <w:r/>
            <w:r>
              <w:rPr>
                <w:rFonts w:ascii="Calibri" w:hAnsi="Calibri"/>
                <w:color w:val="2D2D2D"/>
                <w:sz w:val="20"/>
              </w:rPr>
              <w:t>🔴 High</w:t>
            </w:r>
          </w:p>
        </w:tc>
        <w:tc>
          <w:tcPr>
            <w:tcW w:type="dxa" w:w="1872"/>
          </w:tcPr>
          <w:p>
            <w:pPr>
              <w:spacing w:before="60" w:after="60"/>
              <w:jc w:val="left"/>
            </w:pPr>
            <w:r/>
            <w:r>
              <w:rPr>
                <w:rFonts w:ascii="Calibri" w:hAnsi="Calibri"/>
                <w:color w:val="2D2D2D"/>
                <w:sz w:val="20"/>
              </w:rPr>
              <w:t>Non-negotiable red line; walk away if pressed. Alternative channel partners exist.</w:t>
            </w:r>
          </w:p>
        </w:tc>
      </w:tr>
      <w:tr>
        <w:tc>
          <w:tcPr>
            <w:tcW w:type="dxa" w:w="1872"/>
            <w:shd w:fill="F0F4F8" w:val="clear"/>
          </w:tcPr>
          <w:p>
            <w:pPr>
              <w:spacing w:before="60" w:after="60"/>
              <w:jc w:val="left"/>
            </w:pPr>
            <w:r/>
            <w:r>
              <w:rPr>
                <w:rFonts w:ascii="Calibri" w:hAnsi="Calibri"/>
                <w:color w:val="2D2D2D"/>
                <w:sz w:val="20"/>
              </w:rPr>
              <w:t>**Data rights friction**</w:t>
            </w:r>
          </w:p>
        </w:tc>
        <w:tc>
          <w:tcPr>
            <w:tcW w:type="dxa" w:w="1872"/>
            <w:shd w:fill="F0F4F8" w:val="clear"/>
          </w:tcPr>
          <w:p>
            <w:pPr>
              <w:spacing w:before="60" w:after="60"/>
              <w:jc w:val="left"/>
            </w:pPr>
            <w:r/>
            <w:r>
              <w:rPr>
                <w:rFonts w:ascii="Calibri" w:hAnsi="Calibri"/>
                <w:color w:val="2D2D2D"/>
                <w:sz w:val="20"/>
              </w:rPr>
              <w:t>Medium</w:t>
            </w:r>
          </w:p>
        </w:tc>
        <w:tc>
          <w:tcPr>
            <w:tcW w:type="dxa" w:w="1872"/>
            <w:shd w:fill="F0F4F8" w:val="clear"/>
          </w:tcPr>
          <w:p>
            <w:pPr>
              <w:spacing w:before="60" w:after="60"/>
              <w:jc w:val="left"/>
            </w:pPr>
            <w:r/>
            <w:r>
              <w:rPr>
                <w:rFonts w:ascii="Calibri" w:hAnsi="Calibri"/>
                <w:color w:val="2D2D2D"/>
                <w:sz w:val="20"/>
              </w:rPr>
              <w:t>Critical</w:t>
            </w:r>
          </w:p>
        </w:tc>
        <w:tc>
          <w:tcPr>
            <w:tcW w:type="dxa" w:w="1872"/>
            <w:shd w:fill="F0F4F8" w:val="clear"/>
          </w:tcPr>
          <w:p>
            <w:pPr>
              <w:spacing w:before="60" w:after="60"/>
              <w:jc w:val="left"/>
            </w:pPr>
            <w:r/>
            <w:r>
              <w:rPr>
                <w:rFonts w:ascii="Calibri" w:hAnsi="Calibri"/>
                <w:color w:val="2D2D2D"/>
                <w:sz w:val="20"/>
              </w:rPr>
              <w:t>🔴 High</w:t>
            </w:r>
          </w:p>
        </w:tc>
        <w:tc>
          <w:tcPr>
            <w:tcW w:type="dxa" w:w="1872"/>
            <w:shd w:fill="F0F4F8" w:val="clear"/>
          </w:tcPr>
          <w:p>
            <w:pPr>
              <w:spacing w:before="60" w:after="60"/>
              <w:jc w:val="left"/>
            </w:pPr>
            <w:r/>
            <w:r>
              <w:rPr>
                <w:rFonts w:ascii="Calibri" w:hAnsi="Calibri"/>
                <w:color w:val="2D2D2D"/>
                <w:sz w:val="20"/>
              </w:rPr>
              <w:t>Data clause embedded in MSA/SOW before first deal; secure transfer mechanism; anonymization standard.</w:t>
            </w:r>
          </w:p>
        </w:tc>
      </w:tr>
      <w:tr>
        <w:tc>
          <w:tcPr>
            <w:tcW w:type="dxa" w:w="1872"/>
          </w:tcPr>
          <w:p>
            <w:pPr>
              <w:spacing w:before="60" w:after="60"/>
              <w:jc w:val="left"/>
            </w:pPr>
            <w:r/>
            <w:r>
              <w:rPr>
                <w:rFonts w:ascii="Calibri" w:hAnsi="Calibri"/>
                <w:color w:val="2D2D2D"/>
                <w:sz w:val="20"/>
              </w:rPr>
              <w:t>**Messaging drift ("autopilot" claims)**</w:t>
            </w:r>
          </w:p>
        </w:tc>
        <w:tc>
          <w:tcPr>
            <w:tcW w:type="dxa" w:w="1872"/>
          </w:tcPr>
          <w:p>
            <w:pPr>
              <w:spacing w:before="60" w:after="60"/>
              <w:jc w:val="left"/>
            </w:pPr>
            <w:r/>
            <w:r>
              <w:rPr>
                <w:rFonts w:ascii="Calibri" w:hAnsi="Calibri"/>
                <w:color w:val="2D2D2D"/>
                <w:sz w:val="20"/>
              </w:rPr>
              <w:t>High</w:t>
            </w:r>
          </w:p>
        </w:tc>
        <w:tc>
          <w:tcPr>
            <w:tcW w:type="dxa" w:w="1872"/>
          </w:tcPr>
          <w:p>
            <w:pPr>
              <w:spacing w:before="60" w:after="60"/>
              <w:jc w:val="left"/>
            </w:pPr>
            <w:r/>
            <w:r>
              <w:rPr>
                <w:rFonts w:ascii="Calibri" w:hAnsi="Calibri"/>
                <w:color w:val="2D2D2D"/>
                <w:sz w:val="20"/>
              </w:rPr>
              <w:t>High</w:t>
            </w:r>
          </w:p>
        </w:tc>
        <w:tc>
          <w:tcPr>
            <w:tcW w:type="dxa" w:w="1872"/>
          </w:tcPr>
          <w:p>
            <w:pPr>
              <w:spacing w:before="60" w:after="60"/>
              <w:jc w:val="left"/>
            </w:pPr>
            <w:r/>
            <w:r>
              <w:rPr>
                <w:rFonts w:ascii="Calibri" w:hAnsi="Calibri"/>
                <w:color w:val="2D2D2D"/>
                <w:sz w:val="20"/>
              </w:rPr>
              <w:t>🔴 High</w:t>
            </w:r>
          </w:p>
        </w:tc>
        <w:tc>
          <w:tcPr>
            <w:tcW w:type="dxa" w:w="1872"/>
          </w:tcPr>
          <w:p>
            <w:pPr>
              <w:spacing w:before="60" w:after="60"/>
              <w:jc w:val="left"/>
            </w:pPr>
            <w:r/>
            <w:r>
              <w:rPr>
                <w:rFonts w:ascii="Calibri" w:hAnsi="Calibri"/>
                <w:color w:val="2D2D2D"/>
                <w:sz w:val="20"/>
              </w:rPr>
              <w:t>Shared talk tracks; mandatory review/approval of all external materials; crew-first coaching certification.</w:t>
            </w:r>
          </w:p>
        </w:tc>
      </w:tr>
      <w:tr>
        <w:tc>
          <w:tcPr>
            <w:tcW w:type="dxa" w:w="1872"/>
            <w:shd w:fill="F0F4F8" w:val="clear"/>
          </w:tcPr>
          <w:p>
            <w:pPr>
              <w:spacing w:before="60" w:after="60"/>
              <w:jc w:val="left"/>
            </w:pPr>
            <w:r/>
            <w:r>
              <w:rPr>
                <w:rFonts w:ascii="Calibri" w:hAnsi="Calibri"/>
                <w:color w:val="2D2D2D"/>
                <w:sz w:val="20"/>
              </w:rPr>
              <w:t>**Slow sell-through / intro delays**</w:t>
            </w:r>
          </w:p>
        </w:tc>
        <w:tc>
          <w:tcPr>
            <w:tcW w:type="dxa" w:w="1872"/>
            <w:shd w:fill="F0F4F8" w:val="clear"/>
          </w:tcPr>
          <w:p>
            <w:pPr>
              <w:spacing w:before="60" w:after="60"/>
              <w:jc w:val="left"/>
            </w:pPr>
            <w:r/>
            <w:r>
              <w:rPr>
                <w:rFonts w:ascii="Calibri" w:hAnsi="Calibri"/>
                <w:color w:val="2D2D2D"/>
                <w:sz w:val="20"/>
              </w:rPr>
              <w:t>Medium</w:t>
            </w:r>
          </w:p>
        </w:tc>
        <w:tc>
          <w:tcPr>
            <w:tcW w:type="dxa" w:w="1872"/>
            <w:shd w:fill="F0F4F8" w:val="clear"/>
          </w:tcPr>
          <w:p>
            <w:pPr>
              <w:spacing w:before="60" w:after="60"/>
              <w:jc w:val="left"/>
            </w:pPr>
            <w:r/>
            <w:r>
              <w:rPr>
                <w:rFonts w:ascii="Calibri" w:hAnsi="Calibri"/>
                <w:color w:val="2D2D2D"/>
                <w:sz w:val="20"/>
              </w:rPr>
              <w:t>High</w:t>
            </w:r>
          </w:p>
        </w:tc>
        <w:tc>
          <w:tcPr>
            <w:tcW w:type="dxa" w:w="1872"/>
            <w:shd w:fill="F0F4F8" w:val="clear"/>
          </w:tcPr>
          <w:p>
            <w:pPr>
              <w:spacing w:before="60" w:after="60"/>
              <w:jc w:val="left"/>
            </w:pPr>
            <w:r/>
            <w:r>
              <w:rPr>
                <w:rFonts w:ascii="Calibri" w:hAnsi="Calibri"/>
                <w:color w:val="2D2D2D"/>
                <w:sz w:val="20"/>
              </w:rPr>
              <w:t>🟠 Medium-High</w:t>
            </w:r>
          </w:p>
        </w:tc>
        <w:tc>
          <w:tcPr>
            <w:tcW w:type="dxa" w:w="1872"/>
            <w:shd w:fill="F0F4F8" w:val="clear"/>
          </w:tcPr>
          <w:p>
            <w:pPr>
              <w:spacing w:before="60" w:after="60"/>
              <w:jc w:val="left"/>
            </w:pPr>
            <w:r/>
            <w:r>
              <w:rPr>
                <w:rFonts w:ascii="Calibri" w:hAnsi="Calibri"/>
                <w:color w:val="2D2D2D"/>
                <w:sz w:val="20"/>
              </w:rPr>
              <w:t>90-day quota with exit clause; named-account plan with exec air cover from both sides.</w:t>
            </w:r>
          </w:p>
        </w:tc>
      </w:tr>
      <w:tr>
        <w:tc>
          <w:tcPr>
            <w:tcW w:type="dxa" w:w="1872"/>
          </w:tcPr>
          <w:p>
            <w:pPr>
              <w:spacing w:before="60" w:after="60"/>
              <w:jc w:val="left"/>
            </w:pPr>
            <w:r/>
            <w:r>
              <w:rPr>
                <w:rFonts w:ascii="Calibri" w:hAnsi="Calibri"/>
                <w:color w:val="2D2D2D"/>
                <w:sz w:val="20"/>
              </w:rPr>
              <w:t>**Channel conflict / loss of customer intimacy**</w:t>
            </w:r>
          </w:p>
        </w:tc>
        <w:tc>
          <w:tcPr>
            <w:tcW w:type="dxa" w:w="1872"/>
          </w:tcPr>
          <w:p>
            <w:pPr>
              <w:spacing w:before="60" w:after="60"/>
              <w:jc w:val="left"/>
            </w:pPr>
            <w:r/>
            <w:r>
              <w:rPr>
                <w:rFonts w:ascii="Calibri" w:hAnsi="Calibri"/>
                <w:color w:val="2D2D2D"/>
                <w:sz w:val="20"/>
              </w:rPr>
              <w:t>Medium</w:t>
            </w:r>
          </w:p>
        </w:tc>
        <w:tc>
          <w:tcPr>
            <w:tcW w:type="dxa" w:w="1872"/>
          </w:tcPr>
          <w:p>
            <w:pPr>
              <w:spacing w:before="60" w:after="60"/>
              <w:jc w:val="left"/>
            </w:pPr>
            <w:r/>
            <w:r>
              <w:rPr>
                <w:rFonts w:ascii="Calibri" w:hAnsi="Calibri"/>
                <w:color w:val="2D2D2D"/>
                <w:sz w:val="20"/>
              </w:rPr>
              <w:t>Medium</w:t>
            </w:r>
          </w:p>
        </w:tc>
        <w:tc>
          <w:tcPr>
            <w:tcW w:type="dxa" w:w="1872"/>
          </w:tcPr>
          <w:p>
            <w:pPr>
              <w:spacing w:before="60" w:after="60"/>
              <w:jc w:val="left"/>
            </w:pPr>
            <w:r/>
            <w:r>
              <w:rPr>
                <w:rFonts w:ascii="Calibri" w:hAnsi="Calibri"/>
                <w:color w:val="2D2D2D"/>
                <w:sz w:val="20"/>
              </w:rPr>
              <w:t>🟠 Medium</w:t>
            </w:r>
          </w:p>
        </w:tc>
        <w:tc>
          <w:tcPr>
            <w:tcW w:type="dxa" w:w="1872"/>
          </w:tcPr>
          <w:p>
            <w:pPr>
              <w:spacing w:before="60" w:after="60"/>
              <w:jc w:val="left"/>
            </w:pPr>
            <w:r/>
            <w:r>
              <w:rPr>
                <w:rFonts w:ascii="Calibri" w:hAnsi="Calibri"/>
                <w:color w:val="2D2D2D"/>
                <w:sz w:val="20"/>
              </w:rPr>
              <w:t>Co-sell only model (never reseller); RailVision controls SOW/pricing; joint QBRs maintain visibility.</w:t>
            </w:r>
          </w:p>
        </w:tc>
      </w:tr>
      <w:tr>
        <w:tc>
          <w:tcPr>
            <w:tcW w:type="dxa" w:w="1872"/>
            <w:shd w:fill="F0F4F8" w:val="clear"/>
          </w:tcPr>
          <w:p>
            <w:pPr>
              <w:spacing w:before="60" w:after="60"/>
              <w:jc w:val="left"/>
            </w:pPr>
            <w:r/>
            <w:r>
              <w:rPr>
                <w:rFonts w:ascii="Calibri" w:hAnsi="Calibri"/>
                <w:color w:val="2D2D2D"/>
                <w:sz w:val="20"/>
              </w:rPr>
              <w:t>**Incumbent pushback (Trip Optimizer/Wabtec)**</w:t>
            </w:r>
          </w:p>
        </w:tc>
        <w:tc>
          <w:tcPr>
            <w:tcW w:type="dxa" w:w="1872"/>
            <w:shd w:fill="F0F4F8" w:val="clear"/>
          </w:tcPr>
          <w:p>
            <w:pPr>
              <w:spacing w:before="60" w:after="60"/>
              <w:jc w:val="left"/>
            </w:pPr>
            <w:r/>
            <w:r>
              <w:rPr>
                <w:rFonts w:ascii="Calibri" w:hAnsi="Calibri"/>
                <w:color w:val="2D2D2D"/>
                <w:sz w:val="20"/>
              </w:rPr>
              <w:t>High</w:t>
            </w:r>
          </w:p>
        </w:tc>
        <w:tc>
          <w:tcPr>
            <w:tcW w:type="dxa" w:w="1872"/>
            <w:shd w:fill="F0F4F8" w:val="clear"/>
          </w:tcPr>
          <w:p>
            <w:pPr>
              <w:spacing w:before="60" w:after="60"/>
              <w:jc w:val="left"/>
            </w:pPr>
            <w:r/>
            <w:r>
              <w:rPr>
                <w:rFonts w:ascii="Calibri" w:hAnsi="Calibri"/>
                <w:color w:val="2D2D2D"/>
                <w:sz w:val="20"/>
              </w:rPr>
              <w:t>Medium</w:t>
            </w:r>
          </w:p>
        </w:tc>
        <w:tc>
          <w:tcPr>
            <w:tcW w:type="dxa" w:w="1872"/>
            <w:shd w:fill="F0F4F8" w:val="clear"/>
          </w:tcPr>
          <w:p>
            <w:pPr>
              <w:spacing w:before="60" w:after="60"/>
              <w:jc w:val="left"/>
            </w:pPr>
            <w:r/>
            <w:r>
              <w:rPr>
                <w:rFonts w:ascii="Calibri" w:hAnsi="Calibri"/>
                <w:color w:val="2D2D2D"/>
                <w:sz w:val="20"/>
              </w:rPr>
              <w:t>🟠 Medium</w:t>
            </w:r>
          </w:p>
        </w:tc>
        <w:tc>
          <w:tcPr>
            <w:tcW w:type="dxa" w:w="1872"/>
            <w:shd w:fill="F0F4F8" w:val="clear"/>
          </w:tcPr>
          <w:p>
            <w:pPr>
              <w:spacing w:before="60" w:after="60"/>
              <w:jc w:val="left"/>
            </w:pPr>
            <w:r/>
            <w:r>
              <w:rPr>
                <w:rFonts w:ascii="Calibri" w:hAnsi="Calibri"/>
                <w:color w:val="2D2D2D"/>
                <w:sz w:val="20"/>
              </w:rPr>
              <w:t>Lead with low-capex, fast time-to-value positioning; frame as "first step" efficiency vs. heavy install.</w:t>
            </w:r>
          </w:p>
        </w:tc>
      </w:tr>
      <w:tr>
        <w:tc>
          <w:tcPr>
            <w:tcW w:type="dxa" w:w="1872"/>
          </w:tcPr>
          <w:p>
            <w:pPr>
              <w:spacing w:before="60" w:after="60"/>
              <w:jc w:val="left"/>
            </w:pPr>
            <w:r/>
            <w:r>
              <w:rPr>
                <w:rFonts w:ascii="Calibri" w:hAnsi="Calibri"/>
                <w:color w:val="2D2D2D"/>
                <w:sz w:val="20"/>
              </w:rPr>
              <w:t>**Holland field staff underperformance**</w:t>
            </w:r>
          </w:p>
        </w:tc>
        <w:tc>
          <w:tcPr>
            <w:tcW w:type="dxa" w:w="1872"/>
          </w:tcPr>
          <w:p>
            <w:pPr>
              <w:spacing w:before="60" w:after="60"/>
              <w:jc w:val="left"/>
            </w:pPr>
            <w:r/>
            <w:r>
              <w:rPr>
                <w:rFonts w:ascii="Calibri" w:hAnsi="Calibri"/>
                <w:color w:val="2D2D2D"/>
                <w:sz w:val="20"/>
              </w:rPr>
              <w:t>Medium</w:t>
            </w:r>
          </w:p>
        </w:tc>
        <w:tc>
          <w:tcPr>
            <w:tcW w:type="dxa" w:w="1872"/>
          </w:tcPr>
          <w:p>
            <w:pPr>
              <w:spacing w:before="60" w:after="60"/>
              <w:jc w:val="left"/>
            </w:pPr>
            <w:r/>
            <w:r>
              <w:rPr>
                <w:rFonts w:ascii="Calibri" w:hAnsi="Calibri"/>
                <w:color w:val="2D2D2D"/>
                <w:sz w:val="20"/>
              </w:rPr>
              <w:t>Medium</w:t>
            </w:r>
          </w:p>
        </w:tc>
        <w:tc>
          <w:tcPr>
            <w:tcW w:type="dxa" w:w="1872"/>
          </w:tcPr>
          <w:p>
            <w:pPr>
              <w:spacing w:before="60" w:after="60"/>
              <w:jc w:val="left"/>
            </w:pPr>
            <w:r/>
            <w:r>
              <w:rPr>
                <w:rFonts w:ascii="Calibri" w:hAnsi="Calibri"/>
                <w:color w:val="2D2D2D"/>
                <w:sz w:val="20"/>
              </w:rPr>
              <w:t>🟡 Medium</w:t>
            </w:r>
          </w:p>
        </w:tc>
        <w:tc>
          <w:tcPr>
            <w:tcW w:type="dxa" w:w="1872"/>
          </w:tcPr>
          <w:p>
            <w:pPr>
              <w:spacing w:before="60" w:after="60"/>
              <w:jc w:val="left"/>
            </w:pPr>
            <w:r/>
            <w:r>
              <w:rPr>
                <w:rFonts w:ascii="Calibri" w:hAnsi="Calibri"/>
                <w:color w:val="2D2D2D"/>
                <w:sz w:val="20"/>
              </w:rPr>
              <w:t>Training certification requirement; quarterly skill refresh; SPIF incentives tied to adoption outcomes.</w:t>
            </w:r>
          </w:p>
        </w:tc>
      </w:tr>
      <w:tr>
        <w:tc>
          <w:tcPr>
            <w:tcW w:type="dxa" w:w="1872"/>
            <w:shd w:fill="F0F4F8" w:val="clear"/>
          </w:tcPr>
          <w:p>
            <w:pPr>
              <w:spacing w:before="60" w:after="60"/>
              <w:jc w:val="left"/>
            </w:pPr>
            <w:r/>
            <w:r>
              <w:rPr>
                <w:rFonts w:ascii="Calibri" w:hAnsi="Calibri"/>
                <w:color w:val="2D2D2D"/>
                <w:sz w:val="20"/>
              </w:rPr>
              <w:t>**Crew rejection of RailVision tool**</w:t>
            </w:r>
          </w:p>
        </w:tc>
        <w:tc>
          <w:tcPr>
            <w:tcW w:type="dxa" w:w="1872"/>
            <w:shd w:fill="F0F4F8" w:val="clear"/>
          </w:tcPr>
          <w:p>
            <w:pPr>
              <w:spacing w:before="60" w:after="60"/>
              <w:jc w:val="left"/>
            </w:pPr>
            <w:r/>
            <w:r>
              <w:rPr>
                <w:rFonts w:ascii="Calibri" w:hAnsi="Calibri"/>
                <w:color w:val="2D2D2D"/>
                <w:sz w:val="20"/>
              </w:rPr>
              <w:t>Low-Med</w:t>
            </w:r>
          </w:p>
        </w:tc>
        <w:tc>
          <w:tcPr>
            <w:tcW w:type="dxa" w:w="1872"/>
            <w:shd w:fill="F0F4F8" w:val="clear"/>
          </w:tcPr>
          <w:p>
            <w:pPr>
              <w:spacing w:before="60" w:after="60"/>
              <w:jc w:val="left"/>
            </w:pPr>
            <w:r/>
            <w:r>
              <w:rPr>
                <w:rFonts w:ascii="Calibri" w:hAnsi="Calibri"/>
                <w:color w:val="2D2D2D"/>
                <w:sz w:val="20"/>
              </w:rPr>
              <w:t>High</w:t>
            </w:r>
          </w:p>
        </w:tc>
        <w:tc>
          <w:tcPr>
            <w:tcW w:type="dxa" w:w="1872"/>
            <w:shd w:fill="F0F4F8" w:val="clear"/>
          </w:tcPr>
          <w:p>
            <w:pPr>
              <w:spacing w:before="60" w:after="60"/>
              <w:jc w:val="left"/>
            </w:pPr>
            <w:r/>
            <w:r>
              <w:rPr>
                <w:rFonts w:ascii="Calibri" w:hAnsi="Calibri"/>
                <w:color w:val="2D2D2D"/>
                <w:sz w:val="20"/>
              </w:rPr>
              <w:t>🟡 Medium</w:t>
            </w:r>
          </w:p>
        </w:tc>
        <w:tc>
          <w:tcPr>
            <w:tcW w:type="dxa" w:w="1872"/>
            <w:shd w:fill="F0F4F8" w:val="clear"/>
          </w:tcPr>
          <w:p>
            <w:pPr>
              <w:spacing w:before="60" w:after="60"/>
              <w:jc w:val="left"/>
            </w:pPr>
            <w:r/>
            <w:r>
              <w:rPr>
                <w:rFonts w:ascii="Calibri" w:hAnsi="Calibri"/>
                <w:color w:val="2D2D2D"/>
                <w:sz w:val="20"/>
              </w:rPr>
              <w:t>Pre-deployment messaging; engineer 1-pager; ride-along coaching; opt-out rate monitoring (&lt;10%).</w:t>
            </w:r>
          </w:p>
        </w:tc>
      </w:tr>
      <w:tr>
        <w:tc>
          <w:tcPr>
            <w:tcW w:type="dxa" w:w="1872"/>
          </w:tcPr>
          <w:p>
            <w:pPr>
              <w:spacing w:before="60" w:after="60"/>
              <w:jc w:val="left"/>
            </w:pPr>
            <w:r/>
            <w:r>
              <w:rPr>
                <w:rFonts w:ascii="Calibri" w:hAnsi="Calibri"/>
                <w:color w:val="2D2D2D"/>
                <w:sz w:val="20"/>
              </w:rPr>
              <w:t>**Holland partners with competitor**</w:t>
            </w:r>
          </w:p>
        </w:tc>
        <w:tc>
          <w:tcPr>
            <w:tcW w:type="dxa" w:w="1872"/>
          </w:tcPr>
          <w:p>
            <w:pPr>
              <w:spacing w:before="60" w:after="60"/>
              <w:jc w:val="left"/>
            </w:pPr>
            <w:r/>
            <w:r>
              <w:rPr>
                <w:rFonts w:ascii="Calibri" w:hAnsi="Calibri"/>
                <w:color w:val="2D2D2D"/>
                <w:sz w:val="20"/>
              </w:rPr>
              <w:t>Low</w:t>
            </w:r>
          </w:p>
        </w:tc>
        <w:tc>
          <w:tcPr>
            <w:tcW w:type="dxa" w:w="1872"/>
          </w:tcPr>
          <w:p>
            <w:pPr>
              <w:spacing w:before="60" w:after="60"/>
              <w:jc w:val="left"/>
            </w:pPr>
            <w:r/>
            <w:r>
              <w:rPr>
                <w:rFonts w:ascii="Calibri" w:hAnsi="Calibri"/>
                <w:color w:val="2D2D2D"/>
                <w:sz w:val="20"/>
              </w:rPr>
              <w:t>High</w:t>
            </w:r>
          </w:p>
        </w:tc>
        <w:tc>
          <w:tcPr>
            <w:tcW w:type="dxa" w:w="1872"/>
          </w:tcPr>
          <w:p>
            <w:pPr>
              <w:spacing w:before="60" w:after="60"/>
              <w:jc w:val="left"/>
            </w:pPr>
            <w:r/>
            <w:r>
              <w:rPr>
                <w:rFonts w:ascii="Calibri" w:hAnsi="Calibri"/>
                <w:color w:val="2D2D2D"/>
                <w:sz w:val="20"/>
              </w:rPr>
              <w:t>🟡 Medium</w:t>
            </w:r>
          </w:p>
        </w:tc>
        <w:tc>
          <w:tcPr>
            <w:tcW w:type="dxa" w:w="1872"/>
          </w:tcPr>
          <w:p>
            <w:pPr>
              <w:spacing w:before="60" w:after="60"/>
              <w:jc w:val="left"/>
            </w:pPr>
            <w:r/>
            <w:r>
              <w:rPr>
                <w:rFonts w:ascii="Calibri" w:hAnsi="Calibri"/>
                <w:color w:val="2D2D2D"/>
                <w:sz w:val="20"/>
              </w:rPr>
              <w:t>Non-exclusive means we can't prevent this; mitigate by delivering superior results and field support.</w:t>
            </w:r>
          </w:p>
        </w:tc>
      </w:tr>
      <w:tr>
        <w:tc>
          <w:tcPr>
            <w:tcW w:type="dxa" w:w="1872"/>
            <w:shd w:fill="F0F4F8" w:val="clear"/>
          </w:tcPr>
          <w:p>
            <w:pPr>
              <w:spacing w:before="60" w:after="60"/>
              <w:jc w:val="left"/>
            </w:pPr>
            <w:r/>
            <w:r>
              <w:rPr>
                <w:rFonts w:ascii="Calibri" w:hAnsi="Calibri"/>
                <w:color w:val="2D2D2D"/>
                <w:sz w:val="20"/>
              </w:rPr>
              <w:t>**Contractual / legal delays**</w:t>
            </w:r>
          </w:p>
        </w:tc>
        <w:tc>
          <w:tcPr>
            <w:tcW w:type="dxa" w:w="1872"/>
            <w:shd w:fill="F0F4F8" w:val="clear"/>
          </w:tcPr>
          <w:p>
            <w:pPr>
              <w:spacing w:before="60" w:after="60"/>
              <w:jc w:val="left"/>
            </w:pPr>
            <w:r/>
            <w:r>
              <w:rPr>
                <w:rFonts w:ascii="Calibri" w:hAnsi="Calibri"/>
                <w:color w:val="2D2D2D"/>
                <w:sz w:val="20"/>
              </w:rPr>
              <w:t>Low</w:t>
            </w:r>
          </w:p>
        </w:tc>
        <w:tc>
          <w:tcPr>
            <w:tcW w:type="dxa" w:w="1872"/>
            <w:shd w:fill="F0F4F8" w:val="clear"/>
          </w:tcPr>
          <w:p>
            <w:pPr>
              <w:spacing w:before="60" w:after="60"/>
              <w:jc w:val="left"/>
            </w:pPr>
            <w:r/>
            <w:r>
              <w:rPr>
                <w:rFonts w:ascii="Calibri" w:hAnsi="Calibri"/>
                <w:color w:val="2D2D2D"/>
                <w:sz w:val="20"/>
              </w:rPr>
              <w:t>Medium</w:t>
            </w:r>
          </w:p>
        </w:tc>
        <w:tc>
          <w:tcPr>
            <w:tcW w:type="dxa" w:w="1872"/>
            <w:shd w:fill="F0F4F8" w:val="clear"/>
          </w:tcPr>
          <w:p>
            <w:pPr>
              <w:spacing w:before="60" w:after="60"/>
              <w:jc w:val="left"/>
            </w:pPr>
            <w:r/>
            <w:r>
              <w:rPr>
                <w:rFonts w:ascii="Calibri" w:hAnsi="Calibri"/>
                <w:color w:val="2D2D2D"/>
                <w:sz w:val="20"/>
              </w:rPr>
              <w:t>🟢 Low</w:t>
            </w:r>
          </w:p>
        </w:tc>
        <w:tc>
          <w:tcPr>
            <w:tcW w:type="dxa" w:w="1872"/>
            <w:shd w:fill="F0F4F8" w:val="clear"/>
          </w:tcPr>
          <w:p>
            <w:pPr>
              <w:spacing w:before="60" w:after="60"/>
              <w:jc w:val="left"/>
            </w:pPr>
            <w:r/>
            <w:r>
              <w:rPr>
                <w:rFonts w:ascii="Calibri" w:hAnsi="Calibri"/>
                <w:color w:val="2D2D2D"/>
                <w:sz w:val="20"/>
              </w:rPr>
              <w:t>Prepare template MSA and SOW in advance; pre-clear terms with legal before kickoff.</w:t>
            </w:r>
          </w:p>
        </w:tc>
      </w:tr>
    </w:tbl>
    <w:p/>
    <w:p>
      <w:pPr>
        <w:jc w:val="center"/>
      </w:pPr>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tmpm5se9v_k.png"/>
                    <pic:cNvPicPr/>
                  </pic:nvPicPr>
                  <pic:blipFill>
                    <a:blip r:embed="rId16"/>
                    <a:stretch>
                      <a:fillRect/>
                    </a:stretch>
                  </pic:blipFill>
                  <pic:spPr>
                    <a:xfrm>
                      <a:off x="0" y="0"/>
                      <a:ext cx="5029200" cy="3143250"/>
                    </a:xfrm>
                    <a:prstGeom prst="rect"/>
                  </pic:spPr>
                </pic:pic>
              </a:graphicData>
            </a:graphic>
          </wp:inline>
        </w:drawing>
      </w:r>
    </w:p>
    <w:p/>
    <w:p>
      <w:pPr>
        <w:spacing w:before="200" w:after="200"/>
        <w:jc w:val="center"/>
      </w:pPr>
      <w:r>
        <w:rPr>
          <w:color w:val="D0D5DD"/>
          <w:sz w:val="12"/>
        </w:rPr>
        <w:t>──────────────────────────────────────────────────────────────────────</w:t>
      </w:r>
    </w:p>
    <w:p>
      <w:pPr>
        <w:pStyle w:val="Heading2"/>
      </w:pPr>
      <w:r>
        <w:t>Escalation Protocol</w:t>
      </w:r>
    </w:p>
    <w:p>
      <w:pPr>
        <w:spacing w:after="120" w:before="40" w:line="276" w:lineRule="auto"/>
        <w:jc w:val="both"/>
      </w:pPr>
      <w:r>
        <w:rPr>
          <w:rFonts w:ascii="Calibri" w:hAnsi="Calibri"/>
          <w:color w:val="2D2D2D"/>
          <w:sz w:val="22"/>
        </w:rPr>
        <w:t>Not all risks can be prevented — but every risk must have a defined response. The following escalation protocol ensures that emerging issues are caught early and addressed decisively:</w:t>
      </w:r>
    </w:p>
    <w:p>
      <w:pPr>
        <w:spacing w:after="120" w:before="40" w:line="276" w:lineRule="auto"/>
        <w:jc w:val="both"/>
      </w:pPr>
      <w:r>
        <w:rPr>
          <w:rFonts w:ascii="Calibri" w:hAnsi="Calibri"/>
          <w:b/>
          <w:color w:val="2D2D2D"/>
          <w:sz w:val="22"/>
        </w:rPr>
        <w:t>Tier 1 — Field-Level Issues</w:t>
      </w:r>
      <w:r>
        <w:rPr>
          <w:rFonts w:ascii="Calibri" w:hAnsi="Calibri"/>
          <w:color w:val="2D2D2D"/>
          <w:sz w:val="22"/>
        </w:rPr>
        <w:t xml:space="preserve"> (Response: 48 hours)</w:t>
      </w:r>
    </w:p>
    <w:p>
      <w:pPr>
        <w:pStyle w:val="ListBullet"/>
        <w:spacing w:after="40" w:before="20"/>
      </w:pPr>
      <w:r>
        <w:rPr>
          <w:rFonts w:ascii="Calibri" w:hAnsi="Calibri"/>
          <w:color w:val="2D2D2D"/>
          <w:sz w:val="22"/>
        </w:rPr>
        <w:t>Messaging inconsistencies observed during ride-alongs</w:t>
      </w:r>
    </w:p>
    <w:p>
      <w:pPr>
        <w:pStyle w:val="ListBullet"/>
        <w:spacing w:after="40" w:before="20"/>
      </w:pPr>
      <w:r>
        <w:rPr>
          <w:rFonts w:ascii="Calibri" w:hAnsi="Calibri"/>
          <w:color w:val="2D2D2D"/>
          <w:sz w:val="22"/>
        </w:rPr>
        <w:t>Individual crew member complaints or opt-outs</w:t>
      </w:r>
    </w:p>
    <w:p>
      <w:pPr>
        <w:pStyle w:val="ListBullet"/>
        <w:spacing w:after="40" w:before="20"/>
      </w:pPr>
      <w:r>
        <w:rPr>
          <w:rFonts w:ascii="Calibri" w:hAnsi="Calibri"/>
          <w:color w:val="2D2D2D"/>
          <w:sz w:val="22"/>
        </w:rPr>
        <w:t>Minor scheduling delays in POC deployment</w:t>
      </w:r>
    </w:p>
    <w:p>
      <w:pPr>
        <w:pStyle w:val="ListBullet"/>
        <w:spacing w:after="40" w:before="20"/>
      </w:pPr>
      <w:r>
        <w:rPr>
          <w:rFonts w:ascii="Calibri" w:hAnsi="Calibri"/>
          <w:i/>
          <w:color w:val="2D2D2D"/>
          <w:sz w:val="22"/>
        </w:rPr>
        <w:t>Owner</w:t>
      </w:r>
      <w:r>
        <w:rPr>
          <w:rFonts w:ascii="Calibri" w:hAnsi="Calibri"/>
          <w:color w:val="2D2D2D"/>
          <w:sz w:val="22"/>
        </w:rPr>
        <w:t>: RailVision Implementation Lead + Holland Field Manager</w:t>
      </w:r>
    </w:p>
    <w:p>
      <w:pPr>
        <w:spacing w:after="120" w:before="40" w:line="276" w:lineRule="auto"/>
        <w:jc w:val="both"/>
      </w:pPr>
      <w:r>
        <w:rPr>
          <w:rFonts w:ascii="Calibri" w:hAnsi="Calibri"/>
          <w:b/>
          <w:color w:val="2D2D2D"/>
          <w:sz w:val="22"/>
        </w:rPr>
        <w:t>Tier 2 — Partnership-Level Issues</w:t>
      </w:r>
      <w:r>
        <w:rPr>
          <w:rFonts w:ascii="Calibri" w:hAnsi="Calibri"/>
          <w:color w:val="2D2D2D"/>
          <w:sz w:val="22"/>
        </w:rPr>
        <w:t xml:space="preserve"> (Response: 7 days)</w:t>
      </w:r>
    </w:p>
    <w:p>
      <w:pPr>
        <w:pStyle w:val="ListBullet"/>
        <w:spacing w:after="40" w:before="20"/>
      </w:pPr>
      <w:r>
        <w:rPr>
          <w:rFonts w:ascii="Calibri" w:hAnsi="Calibri"/>
          <w:color w:val="2D2D2D"/>
          <w:sz w:val="22"/>
        </w:rPr>
        <w:t>Intro pipeline falls below 50% of monthly target</w:t>
      </w:r>
    </w:p>
    <w:p>
      <w:pPr>
        <w:pStyle w:val="ListBullet"/>
        <w:spacing w:after="40" w:before="20"/>
      </w:pPr>
      <w:r>
        <w:rPr>
          <w:rFonts w:ascii="Calibri" w:hAnsi="Calibri"/>
          <w:color w:val="2D2D2D"/>
          <w:sz w:val="22"/>
        </w:rPr>
        <w:t>Data-sharing mechanism fails or access is delayed</w:t>
      </w:r>
    </w:p>
    <w:p>
      <w:pPr>
        <w:pStyle w:val="ListBullet"/>
        <w:spacing w:after="40" w:before="20"/>
      </w:pPr>
      <w:r>
        <w:rPr>
          <w:rFonts w:ascii="Calibri" w:hAnsi="Calibri"/>
          <w:color w:val="2D2D2D"/>
          <w:sz w:val="22"/>
        </w:rPr>
        <w:t>Holland field staff fail training certification</w:t>
      </w:r>
    </w:p>
    <w:p>
      <w:pPr>
        <w:pStyle w:val="ListBullet"/>
        <w:spacing w:after="40" w:before="20"/>
      </w:pPr>
      <w:r>
        <w:rPr>
          <w:rFonts w:ascii="Calibri" w:hAnsi="Calibri"/>
          <w:i/>
          <w:color w:val="2D2D2D"/>
          <w:sz w:val="22"/>
        </w:rPr>
        <w:t>Owner</w:t>
      </w:r>
      <w:r>
        <w:rPr>
          <w:rFonts w:ascii="Calibri" w:hAnsi="Calibri"/>
          <w:color w:val="2D2D2D"/>
          <w:sz w:val="22"/>
        </w:rPr>
        <w:t>: RailVision CSO + Holland Channel Lead</w:t>
      </w:r>
    </w:p>
    <w:p>
      <w:pPr>
        <w:spacing w:after="120" w:before="40" w:line="276" w:lineRule="auto"/>
        <w:jc w:val="both"/>
      </w:pPr>
      <w:r>
        <w:rPr>
          <w:rFonts w:ascii="Calibri" w:hAnsi="Calibri"/>
          <w:b/>
          <w:color w:val="2D2D2D"/>
          <w:sz w:val="22"/>
        </w:rPr>
        <w:t>Tier 3 — Strategic Issues</w:t>
      </w:r>
      <w:r>
        <w:rPr>
          <w:rFonts w:ascii="Calibri" w:hAnsi="Calibri"/>
          <w:color w:val="2D2D2D"/>
          <w:sz w:val="22"/>
        </w:rPr>
        <w:t xml:space="preserve"> (Response: Immediate executive session)</w:t>
      </w:r>
    </w:p>
    <w:p>
      <w:pPr>
        <w:pStyle w:val="ListBullet"/>
        <w:spacing w:after="40" w:before="20"/>
      </w:pPr>
      <w:r>
        <w:rPr>
          <w:rFonts w:ascii="Calibri" w:hAnsi="Calibri"/>
          <w:color w:val="2D2D2D"/>
          <w:sz w:val="22"/>
        </w:rPr>
        <w:t>Holland requests exclusivity or reseller rights mid-partnership</w:t>
      </w:r>
    </w:p>
    <w:p>
      <w:pPr>
        <w:pStyle w:val="ListBullet"/>
        <w:spacing w:after="40" w:before="20"/>
      </w:pPr>
      <w:r>
        <w:rPr>
          <w:rFonts w:ascii="Calibri" w:hAnsi="Calibri"/>
          <w:color w:val="2D2D2D"/>
          <w:sz w:val="22"/>
        </w:rPr>
        <w:t>Customer data is mishandled or exposed</w:t>
      </w:r>
    </w:p>
    <w:p>
      <w:pPr>
        <w:pStyle w:val="ListBullet"/>
        <w:spacing w:after="40" w:before="20"/>
      </w:pPr>
      <w:r>
        <w:rPr>
          <w:rFonts w:ascii="Calibri" w:hAnsi="Calibri"/>
          <w:color w:val="2D2D2D"/>
          <w:sz w:val="22"/>
        </w:rPr>
        <w:t>Holland begins promoting a competing product</w:t>
      </w:r>
    </w:p>
    <w:p>
      <w:pPr>
        <w:pStyle w:val="ListBullet"/>
        <w:spacing w:after="40" w:before="20"/>
      </w:pPr>
      <w:r>
        <w:rPr>
          <w:rFonts w:ascii="Calibri" w:hAnsi="Calibri"/>
          <w:i/>
          <w:color w:val="2D2D2D"/>
          <w:sz w:val="22"/>
        </w:rPr>
        <w:t>Owner</w:t>
      </w:r>
      <w:r>
        <w:rPr>
          <w:rFonts w:ascii="Calibri" w:hAnsi="Calibri"/>
          <w:color w:val="2D2D2D"/>
          <w:sz w:val="22"/>
        </w:rPr>
        <w:t>: RailVision CEO + Holland Executive Sponsor</w:t>
      </w:r>
    </w:p>
    <w:p>
      <w:pPr>
        <w:spacing w:before="200" w:after="200"/>
        <w:jc w:val="center"/>
      </w:pPr>
      <w:r>
        <w:rPr>
          <w:color w:val="D0D5DD"/>
          <w:sz w:val="12"/>
        </w:rPr>
        <w:t>──────────────────────────────────────────────────────────────────────</w:t>
      </w:r>
    </w:p>
    <w:p>
      <w:pPr>
        <w:pStyle w:val="Heading2"/>
      </w:pPr>
      <w:r>
        <w:t>Competitive Positioning: RailVision vs. Trip Optimizer</w:t>
      </w:r>
    </w:p>
    <w:p>
      <w:pPr>
        <w:spacing w:after="120" w:before="40" w:line="276" w:lineRule="auto"/>
        <w:jc w:val="both"/>
      </w:pPr>
      <w:r>
        <w:rPr>
          <w:rFonts w:ascii="Calibri" w:hAnsi="Calibri"/>
          <w:color w:val="2D2D2D"/>
          <w:sz w:val="22"/>
        </w:rPr>
        <w:t xml:space="preserve">The most likely competitive response to Holland-sourced deals will come from </w:t>
      </w:r>
      <w:r>
        <w:rPr>
          <w:rFonts w:ascii="Calibri" w:hAnsi="Calibri"/>
          <w:b/>
          <w:color w:val="2D2D2D"/>
          <w:sz w:val="22"/>
        </w:rPr>
        <w:t>Wabtec's Trip Optimizer</w:t>
      </w:r>
      <w:r>
        <w:rPr>
          <w:rFonts w:ascii="Calibri" w:hAnsi="Calibri"/>
          <w:color w:val="2D2D2D"/>
          <w:sz w:val="22"/>
        </w:rPr>
        <w:t>, the incumbent energy management system for larger railroads. Understanding and pre-empting this objection is essential for Holland's field teams: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A4A" w:val="clear"/>
          </w:tcPr>
          <w:p>
            <w:pPr>
              <w:spacing w:before="60" w:after="60"/>
              <w:jc w:val="left"/>
            </w:pPr>
            <w:r/>
            <w:r>
              <w:rPr>
                <w:rFonts w:ascii="Calibri" w:hAnsi="Calibri"/>
                <w:b/>
                <w:color w:val="FFFFFF"/>
                <w:sz w:val="20"/>
              </w:rPr>
              <w:t>Dimension</w:t>
            </w:r>
          </w:p>
        </w:tc>
        <w:tc>
          <w:tcPr>
            <w:tcW w:type="dxa" w:w="3120"/>
            <w:shd w:fill="1B2A4A" w:val="clear"/>
          </w:tcPr>
          <w:p>
            <w:pPr>
              <w:spacing w:before="60" w:after="60"/>
              <w:jc w:val="left"/>
            </w:pPr>
            <w:r/>
            <w:r>
              <w:rPr>
                <w:rFonts w:ascii="Calibri" w:hAnsi="Calibri"/>
                <w:b/>
                <w:color w:val="FFFFFF"/>
                <w:sz w:val="20"/>
              </w:rPr>
              <w:t>RailVision</w:t>
            </w:r>
          </w:p>
        </w:tc>
        <w:tc>
          <w:tcPr>
            <w:tcW w:type="dxa" w:w="3120"/>
            <w:shd w:fill="1B2A4A" w:val="clear"/>
          </w:tcPr>
          <w:p>
            <w:pPr>
              <w:spacing w:before="60" w:after="60"/>
              <w:jc w:val="left"/>
            </w:pPr>
            <w:r/>
            <w:r>
              <w:rPr>
                <w:rFonts w:ascii="Calibri" w:hAnsi="Calibri"/>
                <w:b/>
                <w:color w:val="FFFFFF"/>
                <w:sz w:val="20"/>
              </w:rPr>
              <w:t>Trip Optimizer (Wabtec)</w:t>
            </w:r>
          </w:p>
        </w:tc>
      </w:tr>
      <w:tr>
        <w:tc>
          <w:tcPr>
            <w:tcW w:type="dxa" w:w="3120"/>
          </w:tcPr>
          <w:p>
            <w:pPr>
              <w:spacing w:before="60" w:after="60"/>
              <w:jc w:val="left"/>
            </w:pPr>
            <w:r/>
            <w:r>
              <w:rPr>
                <w:rFonts w:ascii="Calibri" w:hAnsi="Calibri"/>
                <w:color w:val="2D2D2D"/>
                <w:sz w:val="20"/>
              </w:rPr>
              <w:t>**Deployment Model**</w:t>
            </w:r>
          </w:p>
        </w:tc>
        <w:tc>
          <w:tcPr>
            <w:tcW w:type="dxa" w:w="3120"/>
          </w:tcPr>
          <w:p>
            <w:pPr>
              <w:spacing w:before="60" w:after="60"/>
              <w:jc w:val="left"/>
            </w:pPr>
            <w:r/>
            <w:r>
              <w:rPr>
                <w:rFonts w:ascii="Calibri" w:hAnsi="Calibri"/>
                <w:color w:val="2D2D2D"/>
                <w:sz w:val="20"/>
              </w:rPr>
              <w:t>Tablet-first; no locomotive modification</w:t>
            </w:r>
          </w:p>
        </w:tc>
        <w:tc>
          <w:tcPr>
            <w:tcW w:type="dxa" w:w="3120"/>
          </w:tcPr>
          <w:p>
            <w:pPr>
              <w:spacing w:before="60" w:after="60"/>
              <w:jc w:val="left"/>
            </w:pPr>
            <w:r/>
            <w:r>
              <w:rPr>
                <w:rFonts w:ascii="Calibri" w:hAnsi="Calibri"/>
                <w:color w:val="2D2D2D"/>
                <w:sz w:val="20"/>
              </w:rPr>
              <w:t>Requires PTC hardware integration</w:t>
            </w:r>
          </w:p>
        </w:tc>
      </w:tr>
      <w:tr>
        <w:tc>
          <w:tcPr>
            <w:tcW w:type="dxa" w:w="3120"/>
            <w:shd w:fill="F0F4F8" w:val="clear"/>
          </w:tcPr>
          <w:p>
            <w:pPr>
              <w:spacing w:before="60" w:after="60"/>
              <w:jc w:val="left"/>
            </w:pPr>
            <w:r/>
            <w:r>
              <w:rPr>
                <w:rFonts w:ascii="Calibri" w:hAnsi="Calibri"/>
                <w:color w:val="2D2D2D"/>
                <w:sz w:val="20"/>
              </w:rPr>
              <w:t>**Install Time**</w:t>
            </w:r>
          </w:p>
        </w:tc>
        <w:tc>
          <w:tcPr>
            <w:tcW w:type="dxa" w:w="3120"/>
            <w:shd w:fill="F0F4F8" w:val="clear"/>
          </w:tcPr>
          <w:p>
            <w:pPr>
              <w:spacing w:before="60" w:after="60"/>
              <w:jc w:val="left"/>
            </w:pPr>
            <w:r/>
            <w:r>
              <w:rPr>
                <w:rFonts w:ascii="Calibri" w:hAnsi="Calibri"/>
                <w:color w:val="2D2D2D"/>
                <w:sz w:val="20"/>
              </w:rPr>
              <w:t>&lt;14 days from SOW</w:t>
            </w:r>
          </w:p>
        </w:tc>
        <w:tc>
          <w:tcPr>
            <w:tcW w:type="dxa" w:w="3120"/>
            <w:shd w:fill="F0F4F8" w:val="clear"/>
          </w:tcPr>
          <w:p>
            <w:pPr>
              <w:spacing w:before="60" w:after="60"/>
              <w:jc w:val="left"/>
            </w:pPr>
            <w:r/>
            <w:r>
              <w:rPr>
                <w:rFonts w:ascii="Calibri" w:hAnsi="Calibri"/>
                <w:color w:val="2D2D2D"/>
                <w:sz w:val="20"/>
              </w:rPr>
              <w:t>8–16 weeks typical</w:t>
            </w:r>
          </w:p>
        </w:tc>
      </w:tr>
      <w:tr>
        <w:tc>
          <w:tcPr>
            <w:tcW w:type="dxa" w:w="3120"/>
          </w:tcPr>
          <w:p>
            <w:pPr>
              <w:spacing w:before="60" w:after="60"/>
              <w:jc w:val="left"/>
            </w:pPr>
            <w:r/>
            <w:r>
              <w:rPr>
                <w:rFonts w:ascii="Calibri" w:hAnsi="Calibri"/>
                <w:color w:val="2D2D2D"/>
                <w:sz w:val="20"/>
              </w:rPr>
              <w:t>**Capex Requirement**</w:t>
            </w:r>
          </w:p>
        </w:tc>
        <w:tc>
          <w:tcPr>
            <w:tcW w:type="dxa" w:w="3120"/>
          </w:tcPr>
          <w:p>
            <w:pPr>
              <w:spacing w:before="60" w:after="60"/>
              <w:jc w:val="left"/>
            </w:pPr>
            <w:r/>
            <w:r>
              <w:rPr>
                <w:rFonts w:ascii="Calibri" w:hAnsi="Calibri"/>
                <w:color w:val="2D2D2D"/>
                <w:sz w:val="20"/>
              </w:rPr>
              <w:t>Low (software + tablet)</w:t>
            </w:r>
          </w:p>
        </w:tc>
        <w:tc>
          <w:tcPr>
            <w:tcW w:type="dxa" w:w="3120"/>
          </w:tcPr>
          <w:p>
            <w:pPr>
              <w:spacing w:before="60" w:after="60"/>
              <w:jc w:val="left"/>
            </w:pPr>
            <w:r/>
            <w:r>
              <w:rPr>
                <w:rFonts w:ascii="Calibri" w:hAnsi="Calibri"/>
                <w:color w:val="2D2D2D"/>
                <w:sz w:val="20"/>
              </w:rPr>
              <w:t>High ($50K–150K per locomotive)</w:t>
            </w:r>
          </w:p>
        </w:tc>
      </w:tr>
      <w:tr>
        <w:tc>
          <w:tcPr>
            <w:tcW w:type="dxa" w:w="3120"/>
            <w:shd w:fill="F0F4F8" w:val="clear"/>
          </w:tcPr>
          <w:p>
            <w:pPr>
              <w:spacing w:before="60" w:after="60"/>
              <w:jc w:val="left"/>
            </w:pPr>
            <w:r/>
            <w:r>
              <w:rPr>
                <w:rFonts w:ascii="Calibri" w:hAnsi="Calibri"/>
                <w:color w:val="2D2D2D"/>
                <w:sz w:val="20"/>
              </w:rPr>
              <w:t>**Target Market**</w:t>
            </w:r>
          </w:p>
        </w:tc>
        <w:tc>
          <w:tcPr>
            <w:tcW w:type="dxa" w:w="3120"/>
            <w:shd w:fill="F0F4F8" w:val="clear"/>
          </w:tcPr>
          <w:p>
            <w:pPr>
              <w:spacing w:before="60" w:after="60"/>
              <w:jc w:val="left"/>
            </w:pPr>
            <w:r/>
            <w:r>
              <w:rPr>
                <w:rFonts w:ascii="Calibri" w:hAnsi="Calibri"/>
                <w:color w:val="2D2D2D"/>
                <w:sz w:val="20"/>
              </w:rPr>
              <w:t>Shortlines &amp; regionals</w:t>
            </w:r>
          </w:p>
        </w:tc>
        <w:tc>
          <w:tcPr>
            <w:tcW w:type="dxa" w:w="3120"/>
            <w:shd w:fill="F0F4F8" w:val="clear"/>
          </w:tcPr>
          <w:p>
            <w:pPr>
              <w:spacing w:before="60" w:after="60"/>
              <w:jc w:val="left"/>
            </w:pPr>
            <w:r/>
            <w:r>
              <w:rPr>
                <w:rFonts w:ascii="Calibri" w:hAnsi="Calibri"/>
                <w:color w:val="2D2D2D"/>
                <w:sz w:val="20"/>
              </w:rPr>
              <w:t>Class I railroads</w:t>
            </w:r>
          </w:p>
        </w:tc>
      </w:tr>
      <w:tr>
        <w:tc>
          <w:tcPr>
            <w:tcW w:type="dxa" w:w="3120"/>
          </w:tcPr>
          <w:p>
            <w:pPr>
              <w:spacing w:before="60" w:after="60"/>
              <w:jc w:val="left"/>
            </w:pPr>
            <w:r/>
            <w:r>
              <w:rPr>
                <w:rFonts w:ascii="Calibri" w:hAnsi="Calibri"/>
                <w:color w:val="2D2D2D"/>
                <w:sz w:val="20"/>
              </w:rPr>
              <w:t>**Crew Experience**</w:t>
            </w:r>
          </w:p>
        </w:tc>
        <w:tc>
          <w:tcPr>
            <w:tcW w:type="dxa" w:w="3120"/>
          </w:tcPr>
          <w:p>
            <w:pPr>
              <w:spacing w:before="60" w:after="60"/>
              <w:jc w:val="left"/>
            </w:pPr>
            <w:r/>
            <w:r>
              <w:rPr>
                <w:rFonts w:ascii="Calibri" w:hAnsi="Calibri"/>
                <w:color w:val="2D2D2D"/>
                <w:sz w:val="20"/>
              </w:rPr>
              <w:t>Advisory; engineer retains full control</w:t>
            </w:r>
          </w:p>
        </w:tc>
        <w:tc>
          <w:tcPr>
            <w:tcW w:type="dxa" w:w="3120"/>
          </w:tcPr>
          <w:p>
            <w:pPr>
              <w:spacing w:before="60" w:after="60"/>
              <w:jc w:val="left"/>
            </w:pPr>
            <w:r/>
            <w:r>
              <w:rPr>
                <w:rFonts w:ascii="Calibri" w:hAnsi="Calibri"/>
                <w:color w:val="2D2D2D"/>
                <w:sz w:val="20"/>
              </w:rPr>
              <w:t>Semi-autonomous; reduces engineer discretion</w:t>
            </w:r>
          </w:p>
        </w:tc>
      </w:tr>
      <w:tr>
        <w:tc>
          <w:tcPr>
            <w:tcW w:type="dxa" w:w="3120"/>
            <w:shd w:fill="F0F4F8" w:val="clear"/>
          </w:tcPr>
          <w:p>
            <w:pPr>
              <w:spacing w:before="60" w:after="60"/>
              <w:jc w:val="left"/>
            </w:pPr>
            <w:r/>
            <w:r>
              <w:rPr>
                <w:rFonts w:ascii="Calibri" w:hAnsi="Calibri"/>
                <w:color w:val="2D2D2D"/>
                <w:sz w:val="20"/>
              </w:rPr>
              <w:t>**Data Ownership**</w:t>
            </w:r>
          </w:p>
        </w:tc>
        <w:tc>
          <w:tcPr>
            <w:tcW w:type="dxa" w:w="3120"/>
            <w:shd w:fill="F0F4F8" w:val="clear"/>
          </w:tcPr>
          <w:p>
            <w:pPr>
              <w:spacing w:before="60" w:after="60"/>
              <w:jc w:val="left"/>
            </w:pPr>
            <w:r/>
            <w:r>
              <w:rPr>
                <w:rFonts w:ascii="Calibri" w:hAnsi="Calibri"/>
                <w:color w:val="2D2D2D"/>
                <w:sz w:val="20"/>
              </w:rPr>
              <w:t>Customer + RailVision</w:t>
            </w:r>
          </w:p>
        </w:tc>
        <w:tc>
          <w:tcPr>
            <w:tcW w:type="dxa" w:w="3120"/>
            <w:shd w:fill="F0F4F8" w:val="clear"/>
          </w:tcPr>
          <w:p>
            <w:pPr>
              <w:spacing w:before="60" w:after="60"/>
              <w:jc w:val="left"/>
            </w:pPr>
            <w:r/>
            <w:r>
              <w:rPr>
                <w:rFonts w:ascii="Calibri" w:hAnsi="Calibri"/>
                <w:color w:val="2D2D2D"/>
                <w:sz w:val="20"/>
              </w:rPr>
              <w:t>Wabtec retains significant data rights</w:t>
            </w:r>
          </w:p>
        </w:tc>
      </w:tr>
    </w:tbl>
    <w:p/>
    <w:p>
      <w:pPr>
        <w:spacing w:after="120" w:before="40" w:line="276" w:lineRule="auto"/>
        <w:jc w:val="both"/>
      </w:pPr>
      <w:r>
        <w:rPr>
          <w:rFonts w:ascii="Calibri" w:hAnsi="Calibri"/>
          <w:color w:val="2D2D2D"/>
          <w:sz w:val="22"/>
        </w:rPr>
        <w:t xml:space="preserve">The positioning message for every Holland-sourced conversation: </w:t>
      </w:r>
      <w:r>
        <w:rPr>
          <w:rFonts w:ascii="Calibri" w:hAnsi="Calibri"/>
          <w:i/>
          <w:color w:val="2D2D2D"/>
          <w:sz w:val="22"/>
        </w:rPr>
        <w:t>"RailVision is the fast, low-risk first step to fuel efficiency — no locomotive surgery, no six-figure investment, and your engineers stay in control."</w:t>
      </w:r>
    </w:p>
    <w:p>
      <w:pPr>
        <w:spacing w:before="160" w:after="160"/>
        <w:jc w:val="center"/>
      </w:pPr>
      <w:r>
        <w:rPr>
          <w:color w:val="D0D5DD"/>
          <w:sz w:val="16"/>
        </w:rPr>
        <w:t>────────────────────────────────────────────────────────────</w:t>
      </w:r>
    </w:p>
    <w:p>
      <w:pPr>
        <w:pStyle w:val="Heading1"/>
      </w:pPr>
      <w:r>
        <w:t>Next Steps &amp; Recommendations</w:t>
      </w:r>
    </w:p>
    <w:p>
      <w:pPr>
        <w:pStyle w:val="Heading2"/>
      </w:pPr>
      <w:r>
        <w:t>Immediate Actions (This Week)</w:t>
      </w:r>
    </w:p>
    <w:p>
      <w:pPr>
        <w:spacing w:after="120" w:before="40" w:line="276" w:lineRule="auto"/>
        <w:jc w:val="both"/>
      </w:pPr>
      <w:r>
        <w:rPr>
          <w:rFonts w:ascii="Calibri" w:hAnsi="Calibri"/>
          <w:color w:val="2D2D2D"/>
          <w:sz w:val="22"/>
        </w:rPr>
        <w:t xml:space="preserve">The following actions must be completed within </w:t>
      </w:r>
      <w:r>
        <w:rPr>
          <w:rFonts w:ascii="Calibri" w:hAnsi="Calibri"/>
          <w:b/>
          <w:color w:val="2D2D2D"/>
          <w:sz w:val="22"/>
        </w:rPr>
        <w:t>7 calendar days</w:t>
      </w:r>
      <w:r>
        <w:rPr>
          <w:rFonts w:ascii="Calibri" w:hAnsi="Calibri"/>
          <w:color w:val="2D2D2D"/>
          <w:sz w:val="22"/>
        </w:rPr>
        <w:t xml:space="preserve"> of memo approval. Each item has a named owner and a binary completion criterion — no ambiguity, no partial credit.</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1B2A4A" w:val="clear"/>
          </w:tcPr>
          <w:p>
            <w:pPr>
              <w:spacing w:before="60" w:after="60"/>
              <w:jc w:val="left"/>
            </w:pPr>
            <w:r/>
            <w:r>
              <w:rPr>
                <w:rFonts w:ascii="Calibri" w:hAnsi="Calibri"/>
                <w:b/>
                <w:color w:val="FFFFFF"/>
                <w:sz w:val="20"/>
              </w:rPr>
              <w:t>Action Item</w:t>
            </w:r>
          </w:p>
        </w:tc>
        <w:tc>
          <w:tcPr>
            <w:tcW w:type="dxa" w:w="2340"/>
            <w:shd w:fill="1B2A4A" w:val="clear"/>
          </w:tcPr>
          <w:p>
            <w:pPr>
              <w:spacing w:before="60" w:after="60"/>
              <w:jc w:val="left"/>
            </w:pPr>
            <w:r/>
            <w:r>
              <w:rPr>
                <w:rFonts w:ascii="Calibri" w:hAnsi="Calibri"/>
                <w:b/>
                <w:color w:val="FFFFFF"/>
                <w:sz w:val="20"/>
              </w:rPr>
              <w:t>Owner</w:t>
            </w:r>
          </w:p>
        </w:tc>
        <w:tc>
          <w:tcPr>
            <w:tcW w:type="dxa" w:w="2340"/>
            <w:shd w:fill="1B2A4A" w:val="clear"/>
          </w:tcPr>
          <w:p>
            <w:pPr>
              <w:spacing w:before="60" w:after="60"/>
              <w:jc w:val="left"/>
            </w:pPr>
            <w:r/>
            <w:r>
              <w:rPr>
                <w:rFonts w:ascii="Calibri" w:hAnsi="Calibri"/>
                <w:b/>
                <w:color w:val="FFFFFF"/>
                <w:sz w:val="20"/>
              </w:rPr>
              <w:t>Deadline</w:t>
            </w:r>
          </w:p>
        </w:tc>
        <w:tc>
          <w:tcPr>
            <w:tcW w:type="dxa" w:w="2340"/>
            <w:shd w:fill="1B2A4A" w:val="clear"/>
          </w:tcPr>
          <w:p>
            <w:pPr>
              <w:spacing w:before="60" w:after="60"/>
              <w:jc w:val="left"/>
            </w:pPr>
            <w:r/>
            <w:r>
              <w:rPr>
                <w:rFonts w:ascii="Calibri" w:hAnsi="Calibri"/>
                <w:b/>
                <w:color w:val="FFFFFF"/>
                <w:sz w:val="20"/>
              </w:rPr>
              <w:t>Done Criteria</w:t>
            </w:r>
          </w:p>
        </w:tc>
      </w:tr>
      <w:tr>
        <w:tc>
          <w:tcPr>
            <w:tcW w:type="dxa" w:w="2340"/>
          </w:tcPr>
          <w:p>
            <w:pPr>
              <w:spacing w:before="60" w:after="60"/>
              <w:jc w:val="left"/>
            </w:pPr>
            <w:r/>
            <w:r>
              <w:rPr>
                <w:rFonts w:ascii="Calibri" w:hAnsi="Calibri"/>
                <w:color w:val="2D2D2D"/>
                <w:sz w:val="20"/>
              </w:rPr>
              <w:t>Send partnership memo + redline terms to Holland counterpart</w:t>
            </w:r>
          </w:p>
        </w:tc>
        <w:tc>
          <w:tcPr>
            <w:tcW w:type="dxa" w:w="2340"/>
          </w:tcPr>
          <w:p>
            <w:pPr>
              <w:spacing w:before="60" w:after="60"/>
              <w:jc w:val="left"/>
            </w:pPr>
            <w:r/>
            <w:r>
              <w:rPr>
                <w:rFonts w:ascii="Calibri" w:hAnsi="Calibri"/>
                <w:color w:val="2D2D2D"/>
                <w:sz w:val="20"/>
              </w:rPr>
              <w:t>CSO (Michael)</w:t>
            </w:r>
          </w:p>
        </w:tc>
        <w:tc>
          <w:tcPr>
            <w:tcW w:type="dxa" w:w="2340"/>
          </w:tcPr>
          <w:p>
            <w:pPr>
              <w:spacing w:before="60" w:after="60"/>
              <w:jc w:val="left"/>
            </w:pPr>
            <w:r/>
            <w:r>
              <w:rPr>
                <w:rFonts w:ascii="Calibri" w:hAnsi="Calibri"/>
                <w:color w:val="2D2D2D"/>
                <w:sz w:val="20"/>
              </w:rPr>
              <w:t>Day 1</w:t>
            </w:r>
          </w:p>
        </w:tc>
        <w:tc>
          <w:tcPr>
            <w:tcW w:type="dxa" w:w="2340"/>
          </w:tcPr>
          <w:p>
            <w:pPr>
              <w:spacing w:before="60" w:after="60"/>
              <w:jc w:val="left"/>
            </w:pPr>
            <w:r/>
            <w:r>
              <w:rPr>
                <w:rFonts w:ascii="Calibri" w:hAnsi="Calibri"/>
                <w:color w:val="2D2D2D"/>
                <w:sz w:val="20"/>
              </w:rPr>
              <w:t>Email sent with attached term sheet</w:t>
            </w:r>
          </w:p>
        </w:tc>
      </w:tr>
      <w:tr>
        <w:tc>
          <w:tcPr>
            <w:tcW w:type="dxa" w:w="2340"/>
            <w:shd w:fill="F0F4F8" w:val="clear"/>
          </w:tcPr>
          <w:p>
            <w:pPr>
              <w:spacing w:before="60" w:after="60"/>
              <w:jc w:val="left"/>
            </w:pPr>
            <w:r/>
            <w:r>
              <w:rPr>
                <w:rFonts w:ascii="Calibri" w:hAnsi="Calibri"/>
                <w:color w:val="2D2D2D"/>
                <w:sz w:val="20"/>
              </w:rPr>
              <w:t>Schedule Holland kickoff meeting to draft named-account map</w:t>
            </w:r>
          </w:p>
        </w:tc>
        <w:tc>
          <w:tcPr>
            <w:tcW w:type="dxa" w:w="2340"/>
            <w:shd w:fill="F0F4F8" w:val="clear"/>
          </w:tcPr>
          <w:p>
            <w:pPr>
              <w:spacing w:before="60" w:after="60"/>
              <w:jc w:val="left"/>
            </w:pPr>
            <w:r/>
            <w:r>
              <w:rPr>
                <w:rFonts w:ascii="Calibri" w:hAnsi="Calibri"/>
                <w:color w:val="2D2D2D"/>
                <w:sz w:val="20"/>
              </w:rPr>
              <w:t>CSO + Sales Lead</w:t>
            </w:r>
          </w:p>
        </w:tc>
        <w:tc>
          <w:tcPr>
            <w:tcW w:type="dxa" w:w="2340"/>
            <w:shd w:fill="F0F4F8" w:val="clear"/>
          </w:tcPr>
          <w:p>
            <w:pPr>
              <w:spacing w:before="60" w:after="60"/>
              <w:jc w:val="left"/>
            </w:pPr>
            <w:r/>
            <w:r>
              <w:rPr>
                <w:rFonts w:ascii="Calibri" w:hAnsi="Calibri"/>
                <w:color w:val="2D2D2D"/>
                <w:sz w:val="20"/>
              </w:rPr>
              <w:t>Within 7 days</w:t>
            </w:r>
          </w:p>
        </w:tc>
        <w:tc>
          <w:tcPr>
            <w:tcW w:type="dxa" w:w="2340"/>
            <w:shd w:fill="F0F4F8" w:val="clear"/>
          </w:tcPr>
          <w:p>
            <w:pPr>
              <w:spacing w:before="60" w:after="60"/>
              <w:jc w:val="left"/>
            </w:pPr>
            <w:r/>
            <w:r>
              <w:rPr>
                <w:rFonts w:ascii="Calibri" w:hAnsi="Calibri"/>
                <w:color w:val="2D2D2D"/>
                <w:sz w:val="20"/>
              </w:rPr>
              <w:t>Calendar invite confirmed with Holland channel lead</w:t>
            </w:r>
          </w:p>
        </w:tc>
      </w:tr>
      <w:tr>
        <w:tc>
          <w:tcPr>
            <w:tcW w:type="dxa" w:w="2340"/>
          </w:tcPr>
          <w:p>
            <w:pPr>
              <w:spacing w:before="60" w:after="60"/>
              <w:jc w:val="left"/>
            </w:pPr>
            <w:r/>
            <w:r>
              <w:rPr>
                <w:rFonts w:ascii="Calibri" w:hAnsi="Calibri"/>
                <w:color w:val="2D2D2D"/>
                <w:sz w:val="20"/>
              </w:rPr>
              <w:t>Initiate legal review of template MSA / SOW with data rights clause</w:t>
            </w:r>
          </w:p>
        </w:tc>
        <w:tc>
          <w:tcPr>
            <w:tcW w:type="dxa" w:w="2340"/>
          </w:tcPr>
          <w:p>
            <w:pPr>
              <w:spacing w:before="60" w:after="60"/>
              <w:jc w:val="left"/>
            </w:pPr>
            <w:r/>
            <w:r>
              <w:rPr>
                <w:rFonts w:ascii="Calibri" w:hAnsi="Calibri"/>
                <w:color w:val="2D2D2D"/>
                <w:sz w:val="20"/>
              </w:rPr>
              <w:t>CSO + Legal</w:t>
            </w:r>
          </w:p>
        </w:tc>
        <w:tc>
          <w:tcPr>
            <w:tcW w:type="dxa" w:w="2340"/>
          </w:tcPr>
          <w:p>
            <w:pPr>
              <w:spacing w:before="60" w:after="60"/>
              <w:jc w:val="left"/>
            </w:pPr>
            <w:r/>
            <w:r>
              <w:rPr>
                <w:rFonts w:ascii="Calibri" w:hAnsi="Calibri"/>
                <w:color w:val="2D2D2D"/>
                <w:sz w:val="20"/>
              </w:rPr>
              <w:t>Within 7 days</w:t>
            </w:r>
          </w:p>
        </w:tc>
        <w:tc>
          <w:tcPr>
            <w:tcW w:type="dxa" w:w="2340"/>
          </w:tcPr>
          <w:p>
            <w:pPr>
              <w:spacing w:before="60" w:after="60"/>
              <w:jc w:val="left"/>
            </w:pPr>
            <w:r/>
            <w:r>
              <w:rPr>
                <w:rFonts w:ascii="Calibri" w:hAnsi="Calibri"/>
                <w:color w:val="2D2D2D"/>
                <w:sz w:val="20"/>
              </w:rPr>
              <w:t>Legal confirms review timeline ≤10 business days</w:t>
            </w:r>
          </w:p>
        </w:tc>
      </w:tr>
      <w:tr>
        <w:tc>
          <w:tcPr>
            <w:tcW w:type="dxa" w:w="2340"/>
            <w:shd w:fill="F0F4F8" w:val="clear"/>
          </w:tcPr>
          <w:p>
            <w:pPr>
              <w:spacing w:before="60" w:after="60"/>
              <w:jc w:val="left"/>
            </w:pPr>
            <w:r/>
            <w:r>
              <w:rPr>
                <w:rFonts w:ascii="Calibri" w:hAnsi="Calibri"/>
                <w:color w:val="2D2D2D"/>
                <w:sz w:val="20"/>
              </w:rPr>
              <w:t>Confirm data-sharing mechanics and security review scope</w:t>
            </w:r>
          </w:p>
        </w:tc>
        <w:tc>
          <w:tcPr>
            <w:tcW w:type="dxa" w:w="2340"/>
            <w:shd w:fill="F0F4F8" w:val="clear"/>
          </w:tcPr>
          <w:p>
            <w:pPr>
              <w:spacing w:before="60" w:after="60"/>
              <w:jc w:val="left"/>
            </w:pPr>
            <w:r/>
            <w:r>
              <w:rPr>
                <w:rFonts w:ascii="Calibri" w:hAnsi="Calibri"/>
                <w:color w:val="2D2D2D"/>
                <w:sz w:val="20"/>
              </w:rPr>
              <w:t>Engineering Lead</w:t>
            </w:r>
          </w:p>
        </w:tc>
        <w:tc>
          <w:tcPr>
            <w:tcW w:type="dxa" w:w="2340"/>
            <w:shd w:fill="F0F4F8" w:val="clear"/>
          </w:tcPr>
          <w:p>
            <w:pPr>
              <w:spacing w:before="60" w:after="60"/>
              <w:jc w:val="left"/>
            </w:pPr>
            <w:r/>
            <w:r>
              <w:rPr>
                <w:rFonts w:ascii="Calibri" w:hAnsi="Calibri"/>
                <w:color w:val="2D2D2D"/>
                <w:sz w:val="20"/>
              </w:rPr>
              <w:t>Within 7 days</w:t>
            </w:r>
          </w:p>
        </w:tc>
        <w:tc>
          <w:tcPr>
            <w:tcW w:type="dxa" w:w="2340"/>
            <w:shd w:fill="F0F4F8" w:val="clear"/>
          </w:tcPr>
          <w:p>
            <w:pPr>
              <w:spacing w:before="60" w:after="60"/>
              <w:jc w:val="left"/>
            </w:pPr>
            <w:r/>
            <w:r>
              <w:rPr>
                <w:rFonts w:ascii="Calibri" w:hAnsi="Calibri"/>
                <w:color w:val="2D2D2D"/>
                <w:sz w:val="20"/>
              </w:rPr>
              <w:t>Security review checklist created; Holland IT contact identified</w:t>
            </w:r>
          </w:p>
        </w:tc>
      </w:tr>
      <w:tr>
        <w:tc>
          <w:tcPr>
            <w:tcW w:type="dxa" w:w="2340"/>
          </w:tcPr>
          <w:p>
            <w:pPr>
              <w:spacing w:before="60" w:after="60"/>
              <w:jc w:val="left"/>
            </w:pPr>
            <w:r/>
            <w:r>
              <w:rPr>
                <w:rFonts w:ascii="Calibri" w:hAnsi="Calibri"/>
                <w:color w:val="2D2D2D"/>
                <w:sz w:val="20"/>
              </w:rPr>
              <w:t>Brief Jamie O'Rourke on partnership strategy for executive air cover</w:t>
            </w:r>
          </w:p>
        </w:tc>
        <w:tc>
          <w:tcPr>
            <w:tcW w:type="dxa" w:w="2340"/>
          </w:tcPr>
          <w:p>
            <w:pPr>
              <w:spacing w:before="60" w:after="60"/>
              <w:jc w:val="left"/>
            </w:pPr>
            <w:r/>
            <w:r>
              <w:rPr>
                <w:rFonts w:ascii="Calibri" w:hAnsi="Calibri"/>
                <w:color w:val="2D2D2D"/>
                <w:sz w:val="20"/>
              </w:rPr>
              <w:t>CSO</w:t>
            </w:r>
          </w:p>
        </w:tc>
        <w:tc>
          <w:tcPr>
            <w:tcW w:type="dxa" w:w="2340"/>
          </w:tcPr>
          <w:p>
            <w:pPr>
              <w:spacing w:before="60" w:after="60"/>
              <w:jc w:val="left"/>
            </w:pPr>
            <w:r/>
            <w:r>
              <w:rPr>
                <w:rFonts w:ascii="Calibri" w:hAnsi="Calibri"/>
                <w:color w:val="2D2D2D"/>
                <w:sz w:val="20"/>
              </w:rPr>
              <w:t>Within 3 days</w:t>
            </w:r>
          </w:p>
        </w:tc>
        <w:tc>
          <w:tcPr>
            <w:tcW w:type="dxa" w:w="2340"/>
          </w:tcPr>
          <w:p>
            <w:pPr>
              <w:spacing w:before="60" w:after="60"/>
              <w:jc w:val="left"/>
            </w:pPr>
            <w:r/>
            <w:r>
              <w:rPr>
                <w:rFonts w:ascii="Calibri" w:hAnsi="Calibri"/>
                <w:color w:val="2D2D2D"/>
                <w:sz w:val="20"/>
              </w:rPr>
              <w:t>CEO alignment confirmed; talking points for Holland exec call prepared</w:t>
            </w:r>
          </w:p>
        </w:tc>
      </w:tr>
    </w:tbl>
    <w:p/>
    <w:p>
      <w:pPr>
        <w:spacing w:before="200" w:after="200"/>
        <w:jc w:val="center"/>
      </w:pPr>
      <w:r>
        <w:rPr>
          <w:color w:val="D0D5DD"/>
          <w:sz w:val="12"/>
        </w:rPr>
        <w:t>──────────────────────────────────────────────────────────────────────</w:t>
      </w:r>
    </w:p>
    <w:p>
      <w:pPr>
        <w:pStyle w:val="Heading2"/>
      </w:pPr>
      <w:r>
        <w:t>Week 2 Deliverables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1B2A4A" w:val="clear"/>
          </w:tcPr>
          <w:p>
            <w:pPr>
              <w:spacing w:before="60" w:after="60"/>
              <w:jc w:val="left"/>
            </w:pPr>
            <w:r/>
            <w:r>
              <w:rPr>
                <w:rFonts w:ascii="Calibri" w:hAnsi="Calibri"/>
                <w:b/>
                <w:color w:val="FFFFFF"/>
                <w:sz w:val="20"/>
              </w:rPr>
              <w:t>Deliverable</w:t>
            </w:r>
          </w:p>
        </w:tc>
        <w:tc>
          <w:tcPr>
            <w:tcW w:type="dxa" w:w="3120"/>
            <w:shd w:fill="1B2A4A" w:val="clear"/>
          </w:tcPr>
          <w:p>
            <w:pPr>
              <w:spacing w:before="60" w:after="60"/>
              <w:jc w:val="left"/>
            </w:pPr>
            <w:r/>
            <w:r>
              <w:rPr>
                <w:rFonts w:ascii="Calibri" w:hAnsi="Calibri"/>
                <w:b/>
                <w:color w:val="FFFFFF"/>
                <w:sz w:val="20"/>
              </w:rPr>
              <w:t>Owner</w:t>
            </w:r>
          </w:p>
        </w:tc>
        <w:tc>
          <w:tcPr>
            <w:tcW w:type="dxa" w:w="3120"/>
            <w:shd w:fill="1B2A4A" w:val="clear"/>
          </w:tcPr>
          <w:p>
            <w:pPr>
              <w:spacing w:before="60" w:after="60"/>
              <w:jc w:val="left"/>
            </w:pPr>
            <w:r/>
            <w:r>
              <w:rPr>
                <w:rFonts w:ascii="Calibri" w:hAnsi="Calibri"/>
                <w:b/>
                <w:color w:val="FFFFFF"/>
                <w:sz w:val="20"/>
              </w:rPr>
              <w:t>Completion Standard</w:t>
            </w:r>
          </w:p>
        </w:tc>
      </w:tr>
      <w:tr>
        <w:tc>
          <w:tcPr>
            <w:tcW w:type="dxa" w:w="3120"/>
          </w:tcPr>
          <w:p>
            <w:pPr>
              <w:spacing w:before="60" w:after="60"/>
              <w:jc w:val="left"/>
            </w:pPr>
            <w:r/>
            <w:r>
              <w:rPr>
                <w:rFonts w:ascii="Calibri" w:hAnsi="Calibri"/>
                <w:color w:val="2D2D2D"/>
                <w:sz w:val="20"/>
              </w:rPr>
              <w:t>POC Kit v1 (baseline plan, SOW template, value-based pricing examples)</w:t>
            </w:r>
          </w:p>
        </w:tc>
        <w:tc>
          <w:tcPr>
            <w:tcW w:type="dxa" w:w="3120"/>
          </w:tcPr>
          <w:p>
            <w:pPr>
              <w:spacing w:before="60" w:after="60"/>
              <w:jc w:val="left"/>
            </w:pPr>
            <w:r/>
            <w:r>
              <w:rPr>
                <w:rFonts w:ascii="Calibri" w:hAnsi="Calibri"/>
                <w:color w:val="2D2D2D"/>
                <w:sz w:val="20"/>
              </w:rPr>
              <w:t>Sales + Product</w:t>
            </w:r>
          </w:p>
        </w:tc>
        <w:tc>
          <w:tcPr>
            <w:tcW w:type="dxa" w:w="3120"/>
          </w:tcPr>
          <w:p>
            <w:pPr>
              <w:spacing w:before="60" w:after="60"/>
              <w:jc w:val="left"/>
            </w:pPr>
            <w:r/>
            <w:r>
              <w:rPr>
                <w:rFonts w:ascii="Calibri" w:hAnsi="Calibri"/>
                <w:color w:val="2D2D2D"/>
                <w:sz w:val="20"/>
              </w:rPr>
              <w:t>Reviewed and approved by CSO; ready for customer presentation</w:t>
            </w:r>
          </w:p>
        </w:tc>
      </w:tr>
      <w:tr>
        <w:tc>
          <w:tcPr>
            <w:tcW w:type="dxa" w:w="3120"/>
            <w:shd w:fill="F0F4F8" w:val="clear"/>
          </w:tcPr>
          <w:p>
            <w:pPr>
              <w:spacing w:before="60" w:after="60"/>
              <w:jc w:val="left"/>
            </w:pPr>
            <w:r/>
            <w:r>
              <w:rPr>
                <w:rFonts w:ascii="Calibri" w:hAnsi="Calibri"/>
                <w:color w:val="2D2D2D"/>
                <w:sz w:val="20"/>
              </w:rPr>
              <w:t>Adoption Playbook v1 (messaging rubrics, coaching protocols, scorecards)</w:t>
            </w:r>
          </w:p>
        </w:tc>
        <w:tc>
          <w:tcPr>
            <w:tcW w:type="dxa" w:w="3120"/>
            <w:shd w:fill="F0F4F8" w:val="clear"/>
          </w:tcPr>
          <w:p>
            <w:pPr>
              <w:spacing w:before="60" w:after="60"/>
              <w:jc w:val="left"/>
            </w:pPr>
            <w:r/>
            <w:r>
              <w:rPr>
                <w:rFonts w:ascii="Calibri" w:hAnsi="Calibri"/>
                <w:color w:val="2D2D2D"/>
                <w:sz w:val="20"/>
              </w:rPr>
              <w:t>Product + CS</w:t>
            </w:r>
          </w:p>
        </w:tc>
        <w:tc>
          <w:tcPr>
            <w:tcW w:type="dxa" w:w="3120"/>
            <w:shd w:fill="F0F4F8" w:val="clear"/>
          </w:tcPr>
          <w:p>
            <w:pPr>
              <w:spacing w:before="60" w:after="60"/>
              <w:jc w:val="left"/>
            </w:pPr>
            <w:r/>
            <w:r>
              <w:rPr>
                <w:rFonts w:ascii="Calibri" w:hAnsi="Calibri"/>
                <w:color w:val="2D2D2D"/>
                <w:sz w:val="20"/>
              </w:rPr>
              <w:t>Tested with internal team; formatted for Holland field training</w:t>
            </w:r>
          </w:p>
        </w:tc>
      </w:tr>
      <w:tr>
        <w:tc>
          <w:tcPr>
            <w:tcW w:type="dxa" w:w="3120"/>
          </w:tcPr>
          <w:p>
            <w:pPr>
              <w:spacing w:before="60" w:after="60"/>
              <w:jc w:val="left"/>
            </w:pPr>
            <w:r/>
            <w:r>
              <w:rPr>
                <w:rFonts w:ascii="Calibri" w:hAnsi="Calibri"/>
                <w:color w:val="2D2D2D"/>
                <w:sz w:val="20"/>
              </w:rPr>
              <w:t>Engineer 1-Pager (co-developed with Holland input)</w:t>
            </w:r>
          </w:p>
        </w:tc>
        <w:tc>
          <w:tcPr>
            <w:tcW w:type="dxa" w:w="3120"/>
          </w:tcPr>
          <w:p>
            <w:pPr>
              <w:spacing w:before="60" w:after="60"/>
              <w:jc w:val="left"/>
            </w:pPr>
            <w:r/>
            <w:r>
              <w:rPr>
                <w:rFonts w:ascii="Calibri" w:hAnsi="Calibri"/>
                <w:color w:val="2D2D2D"/>
                <w:sz w:val="20"/>
              </w:rPr>
              <w:t>Product + Holland</w:t>
            </w:r>
          </w:p>
        </w:tc>
        <w:tc>
          <w:tcPr>
            <w:tcW w:type="dxa" w:w="3120"/>
          </w:tcPr>
          <w:p>
            <w:pPr>
              <w:spacing w:before="60" w:after="60"/>
              <w:jc w:val="left"/>
            </w:pPr>
            <w:r/>
            <w:r>
              <w:rPr>
                <w:rFonts w:ascii="Calibri" w:hAnsi="Calibri"/>
                <w:color w:val="2D2D2D"/>
                <w:sz w:val="20"/>
              </w:rPr>
              <w:t>Single-page PDF; plain language; addresses "what it is / isn't / how data is used"</w:t>
            </w:r>
          </w:p>
        </w:tc>
      </w:tr>
      <w:tr>
        <w:tc>
          <w:tcPr>
            <w:tcW w:type="dxa" w:w="3120"/>
            <w:shd w:fill="F0F4F8" w:val="clear"/>
          </w:tcPr>
          <w:p>
            <w:pPr>
              <w:spacing w:before="60" w:after="60"/>
              <w:jc w:val="left"/>
            </w:pPr>
            <w:r/>
            <w:r>
              <w:rPr>
                <w:rFonts w:ascii="Calibri" w:hAnsi="Calibri"/>
                <w:color w:val="2D2D2D"/>
                <w:sz w:val="20"/>
              </w:rPr>
              <w:t>Security &amp; data-sharing path validation</w:t>
            </w:r>
          </w:p>
        </w:tc>
        <w:tc>
          <w:tcPr>
            <w:tcW w:type="dxa" w:w="3120"/>
            <w:shd w:fill="F0F4F8" w:val="clear"/>
          </w:tcPr>
          <w:p>
            <w:pPr>
              <w:spacing w:before="60" w:after="60"/>
              <w:jc w:val="left"/>
            </w:pPr>
            <w:r/>
            <w:r>
              <w:rPr>
                <w:rFonts w:ascii="Calibri" w:hAnsi="Calibri"/>
                <w:color w:val="2D2D2D"/>
                <w:sz w:val="20"/>
              </w:rPr>
              <w:t>Engineering</w:t>
            </w:r>
          </w:p>
        </w:tc>
        <w:tc>
          <w:tcPr>
            <w:tcW w:type="dxa" w:w="3120"/>
            <w:shd w:fill="F0F4F8" w:val="clear"/>
          </w:tcPr>
          <w:p>
            <w:pPr>
              <w:spacing w:before="60" w:after="60"/>
              <w:jc w:val="left"/>
            </w:pPr>
            <w:r/>
            <w:r>
              <w:rPr>
                <w:rFonts w:ascii="Calibri" w:hAnsi="Calibri"/>
                <w:color w:val="2D2D2D"/>
                <w:sz w:val="20"/>
              </w:rPr>
              <w:t>Secure transfer mechanism tested end-to-end; anonymization standard documented</w:t>
            </w:r>
          </w:p>
        </w:tc>
      </w:tr>
    </w:tbl>
    <w:p/>
    <w:p>
      <w:pPr>
        <w:spacing w:before="200" w:after="200"/>
        <w:jc w:val="center"/>
      </w:pPr>
      <w:r>
        <w:rPr>
          <w:color w:val="D0D5DD"/>
          <w:sz w:val="12"/>
        </w:rPr>
        <w:t>──────────────────────────────────────────────────────────────────────</w:t>
      </w:r>
    </w:p>
    <w:p>
      <w:pPr>
        <w:pStyle w:val="Heading2"/>
      </w:pPr>
      <w:r>
        <w:t>Strategic Recommendations</w:t>
      </w:r>
    </w:p>
    <w:p>
      <w:pPr>
        <w:spacing w:after="120" w:before="40" w:line="276" w:lineRule="auto"/>
        <w:jc w:val="both"/>
      </w:pPr>
      <w:r>
        <w:rPr>
          <w:rFonts w:ascii="Calibri" w:hAnsi="Calibri"/>
          <w:color w:val="2D2D2D"/>
          <w:sz w:val="22"/>
        </w:rPr>
        <w:t>Based on the analysis in this document, the CSO office makes the following five recommendations to the executive team:</w:t>
      </w:r>
    </w:p>
    <w:p>
      <w:pPr>
        <w:spacing w:after="120" w:before="40" w:line="276" w:lineRule="auto"/>
        <w:jc w:val="both"/>
      </w:pPr>
      <w:r>
        <w:rPr>
          <w:rFonts w:ascii="Calibri" w:hAnsi="Calibri"/>
          <w:b/>
          <w:color w:val="2D2D2D"/>
          <w:sz w:val="22"/>
        </w:rPr>
        <w:t>1. Approve the Holland partnership under the defined guardrails.</w:t>
      </w:r>
      <w:r>
        <w:rPr>
          <w:rFonts w:ascii="Calibri" w:hAnsi="Calibri"/>
          <w:color w:val="2D2D2D"/>
          <w:sz w:val="22"/>
        </w:rPr>
        <w:t xml:space="preserve"> The referral + co-sell model with non-exclusive, non-reseller terms preserves RailVision's strategic assets while unlocking Holland's distribution network. The risk-reward profile is strongly favorable given current runway constraints.</w:t>
      </w:r>
    </w:p>
    <w:p>
      <w:pPr>
        <w:spacing w:after="120" w:before="40" w:line="276" w:lineRule="auto"/>
        <w:jc w:val="both"/>
      </w:pPr>
      <w:r>
        <w:rPr>
          <w:rFonts w:ascii="Calibri" w:hAnsi="Calibri"/>
          <w:b/>
          <w:color w:val="2D2D2D"/>
          <w:sz w:val="22"/>
        </w:rPr>
        <w:t>2. Treat the 90-day gate as a hard commitment, not a soft target.</w:t>
      </w:r>
      <w:r>
        <w:rPr>
          <w:rFonts w:ascii="Calibri" w:hAnsi="Calibri"/>
          <w:color w:val="2D2D2D"/>
          <w:sz w:val="22"/>
        </w:rPr>
        <w:t xml:space="preserve"> If the partnership does not deliver ≥3 signed POCs and honored data rights by Day 90, the exit clause must be exercised. Sunk cost thinking in a cash-constrained environment is fatal.</w:t>
      </w:r>
    </w:p>
    <w:p>
      <w:pPr>
        <w:spacing w:after="120" w:before="40" w:line="276" w:lineRule="auto"/>
        <w:jc w:val="both"/>
      </w:pPr>
      <w:r>
        <w:rPr>
          <w:rFonts w:ascii="Calibri" w:hAnsi="Calibri"/>
          <w:b/>
          <w:color w:val="2D2D2D"/>
          <w:sz w:val="22"/>
        </w:rPr>
        <w:t>3. Invest disproportionately in crew adoption enablement.</w:t>
      </w:r>
      <w:r>
        <w:rPr>
          <w:rFonts w:ascii="Calibri" w:hAnsi="Calibri"/>
          <w:color w:val="2D2D2D"/>
          <w:sz w:val="22"/>
        </w:rPr>
        <w:t xml:space="preserve"> Engineer acceptance is the highest-variance factor in every deployment. The adoption playbook, Holland field training, and messaging guardrails are not "nice to haves" — they are the difference between a reference customer and a churn event.</w:t>
      </w:r>
    </w:p>
    <w:p>
      <w:pPr>
        <w:spacing w:after="120" w:before="40" w:line="276" w:lineRule="auto"/>
        <w:jc w:val="both"/>
      </w:pPr>
      <w:r>
        <w:rPr>
          <w:rFonts w:ascii="Calibri" w:hAnsi="Calibri"/>
          <w:b/>
          <w:color w:val="2D2D2D"/>
          <w:sz w:val="22"/>
        </w:rPr>
        <w:t>4. Run GWRR and Holland tracks in parallel, not sequentially.</w:t>
      </w:r>
      <w:r>
        <w:rPr>
          <w:rFonts w:ascii="Calibri" w:hAnsi="Calibri"/>
          <w:color w:val="2D2D2D"/>
          <w:sz w:val="22"/>
        </w:rPr>
        <w:t xml:space="preserve"> The six-month plan requires both engines producing results. GWRR provides the anchor case study; Holland provides pipeline breadth. Neither alone is sufficient to hit the $400K+ ARR target.</w:t>
      </w:r>
    </w:p>
    <w:p>
      <w:pPr>
        <w:spacing w:after="120" w:before="40" w:line="276" w:lineRule="auto"/>
        <w:jc w:val="both"/>
      </w:pPr>
      <w:r>
        <w:rPr>
          <w:rFonts w:ascii="Calibri" w:hAnsi="Calibri"/>
          <w:b/>
          <w:color w:val="2D2D2D"/>
          <w:sz w:val="22"/>
        </w:rPr>
        <w:t>5. Prepare the Month 6 decision framework now — not in June.</w:t>
      </w:r>
      <w:r>
        <w:rPr>
          <w:rFonts w:ascii="Calibri" w:hAnsi="Calibri"/>
          <w:color w:val="2D2D2D"/>
          <w:sz w:val="22"/>
        </w:rPr>
        <w:t xml:space="preserve"> The fundraising, strategic sale, and wind-down scenarios should be pre-negotiated with the board so that the June decision is a selection, not a scramble. Investment materials should begin drafting in Month 4, not Month 6.</w:t>
      </w:r>
    </w:p>
    <w:p>
      <w:pPr>
        <w:spacing w:before="200" w:after="200"/>
        <w:jc w:val="center"/>
      </w:pPr>
      <w:r>
        <w:rPr>
          <w:color w:val="D0D5DD"/>
          <w:sz w:val="12"/>
        </w:rPr>
        <w:t>──────────────────────────────────────────────────────────────────────</w:t>
      </w:r>
    </w:p>
    <w:p>
      <w:pPr>
        <w:spacing w:before="120" w:after="120"/>
        <w:ind w:left="720"/>
        <w:pBdr>
          <w:left w:val="single" w:sz="12" w:space="8" w:color="3A86C8"/>
        </w:pBdr>
      </w:pPr>
      <w:r>
        <w:rPr>
          <w:rFonts w:ascii="Calibri" w:hAnsi="Calibri"/>
          <w:i/>
          <w:color w:val="4A5A6A"/>
          <w:sz w:val="22"/>
        </w:rPr>
        <w:t>**Final word**: RailVision has a **180-day window** to prove that its technology can convert into contracted, recurring revenue at a pace that justifies continued investment. The Holland partnership is the highest-probability accelerant available. Execute with discipline, measure with rigor, and be willing to pivot fast if the data says otherwise.</w:t>
      </w:r>
    </w:p>
    <w:p>
      <w:pPr>
        <w:spacing w:before="200" w:after="200"/>
        <w:jc w:val="center"/>
      </w:pPr>
      <w:r>
        <w:rPr>
          <w:color w:val="D0D5DD"/>
          <w:sz w:val="12"/>
        </w:rPr>
        <w:t>──────────────────────────────────────────────────────────────────────</w:t>
      </w:r>
    </w:p>
    <w:p>
      <w:pPr>
        <w:spacing w:after="120" w:before="40" w:line="276" w:lineRule="auto"/>
        <w:jc w:val="both"/>
      </w:pPr>
      <w:r>
        <w:rPr>
          <w:rFonts w:ascii="Calibri" w:hAnsi="Calibri"/>
          <w:i/>
          <w:color w:val="2D2D2D"/>
          <w:sz w:val="22"/>
        </w:rPr>
        <w:t>Document prepared by the Office of the Chief Strategy Officer, RailVision</w:t>
      </w:r>
    </w:p>
    <w:p>
      <w:pPr>
        <w:spacing w:after="120" w:before="40" w:line="276" w:lineRule="auto"/>
        <w:jc w:val="both"/>
      </w:pPr>
      <w:r>
        <w:rPr>
          <w:rFonts w:ascii="Calibri" w:hAnsi="Calibri"/>
          <w:i/>
          <w:color w:val="2D2D2D"/>
          <w:sz w:val="22"/>
        </w:rPr>
        <w:t>Classification: Internal — Executive Distribution</w:t>
      </w:r>
    </w:p>
    <w:p>
      <w:pPr>
        <w:spacing w:after="120" w:before="40" w:line="276" w:lineRule="auto"/>
        <w:jc w:val="both"/>
      </w:pPr>
      <w:r>
        <w:rPr>
          <w:rFonts w:ascii="Calibri" w:hAnsi="Calibri"/>
          <w:i/>
          <w:color w:val="2D2D2D"/>
          <w:sz w:val="22"/>
        </w:rPr>
        <w:t>Version: 1.0 — December 2025</w:t>
      </w:r>
    </w:p>
    <w:sectPr w:rsidR="00FC693F" w:rsidRPr="0006063C" w:rsidSect="00034616">
      <w:headerReference w:type="default" r:id="rId9"/>
      <w:footerReference w:type="default" r:id="rId10"/>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07B"/>
        <w:sz w:val="16"/>
      </w:rPr>
      <w:t xml:space="preserve">Page </w:t>
    </w:r>
    <w:fldSimple w:instr=" PAGE \* MERGEFORMAT ">
      <w:r>
        <w:rPr>
          <w:sz w:val="16"/>
          <w:color w:val="6B707B"/>
          <w:rFonts w:ascii="Calibri" w:hAnsi="Calibri"/>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6B707B"/>
        <w:sz w:val="16"/>
      </w:rPr>
      <w:t>RailVision × Holland Co-Sell Partnership — Strategic Assessment &amp; Execution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40" w:line="276"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2A4A"/>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C5F8A"/>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A86C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