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Holland × RailVision Co‑Sell Partner Strategy – Internal Briefing</w:t>
      </w:r>
    </w:p>
    <w:p/>
    <w:p>
      <w:pPr>
        <w:pStyle w:val="Heading1"/>
      </w:pPr>
      <w:r>
        <w:t>Executive Summary</w:t>
      </w:r>
    </w:p>
    <w:p>
      <w:pPr>
        <w:spacing w:after="120"/>
      </w:pPr>
      <w:r>
        <w:t>This document summarizes the proposed Holland × RailVision co‑sell partnership, focusing on the 90‑day plan, commercial guardrails, and decision criteria for a go/no‑go after the initial ramp period.</w:t>
      </w:r>
    </w:p>
    <w:p>
      <w:pPr>
        <w:spacing w:after="120"/>
      </w:pPr>
      <w:r>
        <w:t>Single most important takeaway:</w:t>
      </w:r>
    </w:p>
    <w:p>
      <w:pPr>
        <w:spacing w:after="120"/>
      </w:pPr>
      <w:r>
        <w:t>RailVision should pursue a **non‑exclusive, co‑sell (referral + joint selling) partnership with Holland** to accelerate adoption among North American shortlines and regionals, provided that (1) RailVision preserves direct customer and data rights, and (2) the partnership clears clearly defined 90‑day gates on intros, pilots, and usage.</w:t>
      </w:r>
    </w:p>
    <w:p>
      <w:pPr>
        <w:spacing w:after="120"/>
      </w:pPr>
      <w:r>
        <w:t>Why this matters:</w:t>
      </w:r>
    </w:p>
    <w:p>
      <w:pPr>
        <w:pStyle w:val="ListBullet"/>
      </w:pPr>
      <w:r>
        <w:t>Holland already has embedded relationships, routine site presence, and credibility with crews across the shortline/regional market.</w:t>
      </w:r>
    </w:p>
    <w:p>
      <w:pPr>
        <w:pStyle w:val="ListBullet"/>
      </w:pPr>
      <w:r>
        <w:t>RailVision is optimized for tablet‑first, low‑capex, rapid deployment, which can be bundled into Holland’s existing field services and maintenance workflows.</w:t>
      </w:r>
    </w:p>
    <w:p>
      <w:pPr>
        <w:pStyle w:val="ListBullet"/>
      </w:pPr>
      <w:r>
        <w:t>A tightly scoped, non‑exclusive co‑sell model allows RailVision to test the channel’s effectiveness while protecting pricing power, brand, and data.</w:t>
      </w:r>
    </w:p>
    <w:p>
      <w:pPr>
        <w:spacing w:after="120"/>
      </w:pPr>
      <w:r>
        <w:t>Decision at 90 days:</w:t>
      </w:r>
    </w:p>
    <w:p>
      <w:pPr>
        <w:pStyle w:val="ListBullet"/>
      </w:pPr>
      <w:r>
        <w:t>**Go:** If Holland delivers ≥3 qualified POCs, ≥1 production contract, and honors RailVision’s data rights while maintaining crew‑first messaging and positive usage.</w:t>
      </w:r>
    </w:p>
    <w:p>
      <w:pPr>
        <w:pStyle w:val="ListBullet"/>
      </w:pPr>
      <w:r>
        <w:t>**No‑Go / Reset:** If Holland under‑delivers intros/POCs, blocks data access, or drifts into problematic positioning (e.g., “autopilot,” surveillance, or exclusivity/reseller demands).</w:t>
      </w:r>
    </w:p>
    <w:p>
      <w:pPr>
        <w:pStyle w:val="Heading1"/>
      </w:pPr>
      <w:r>
        <w:t>1. Context and Strategic Rationale</w:t>
      </w:r>
    </w:p>
    <w:p>
      <w:pPr>
        <w:spacing w:after="120"/>
      </w:pPr>
      <w:r>
        <w:t>Market context</w:t>
      </w:r>
    </w:p>
    <w:p>
      <w:pPr>
        <w:pStyle w:val="ListBullet"/>
      </w:pPr>
      <w:r>
        <w:t>Target market: North America shortlines and regionals.</w:t>
      </w:r>
    </w:p>
    <w:p>
      <w:pPr>
        <w:pStyle w:val="ListBullet"/>
      </w:pPr>
      <w:r>
        <w:t>G&amp;W, as a reference point, owns 120 railroads with an estimated ARR potential of ~$10M for RailVision, illustrating the upside in this segment.</w:t>
      </w:r>
    </w:p>
    <w:p>
      <w:pPr>
        <w:pStyle w:val="ListBullet"/>
      </w:pPr>
      <w:r>
        <w:t>Shortlines and regionals often lack the appetite or budget for high‑capex, locomotive‑surgery solutions; they favor rapid, low‑capex deployments that can be layered on top of existing operations.</w:t>
      </w:r>
    </w:p>
    <w:p>
      <w:pPr>
        <w:spacing w:after="120"/>
      </w:pPr>
      <w:r>
        <w:t>Why Holland</w:t>
      </w:r>
    </w:p>
    <w:p>
      <w:pPr>
        <w:pStyle w:val="ListBullet"/>
      </w:pPr>
      <w:r>
        <w:t>Holland is a 100+‑year family‑owned railway company headquartered in Crete, Illinois, with deep maintenance and field service relationships across shortlines and regionals.</w:t>
      </w:r>
    </w:p>
    <w:p>
      <w:pPr>
        <w:pStyle w:val="ListBullet"/>
      </w:pPr>
      <w:r>
        <w:t>They are on site routinely for track and related services, giving them:</w:t>
      </w:r>
    </w:p>
    <w:p>
      <w:pPr>
        <w:pStyle w:val="ListBullet"/>
      </w:pPr>
      <w:r>
        <w:t>Embedded relationships with operations leaders and crews.</w:t>
      </w:r>
    </w:p>
    <w:p>
      <w:pPr>
        <w:pStyle w:val="ListBullet"/>
      </w:pPr>
      <w:r>
        <w:t>Frequent physical presence at yards and along the network.</w:t>
      </w:r>
    </w:p>
    <w:p>
      <w:pPr>
        <w:pStyle w:val="ListBullet"/>
      </w:pPr>
      <w:r>
        <w:t>Credibility with engineers and field staff who already trust their teams.</w:t>
      </w:r>
    </w:p>
    <w:p>
      <w:pPr>
        <w:pStyle w:val="ListBullet"/>
      </w:pPr>
      <w:r>
        <w:t>Holland provides maintenance and services (including install assistance, crew coaching, and change‑management), which naturally complements RailVision’s software.</w:t>
      </w:r>
    </w:p>
    <w:p>
      <w:pPr>
        <w:spacing w:after="120"/>
      </w:pPr>
      <w:r>
        <w:t>Why RailVision is a fit</w:t>
      </w:r>
    </w:p>
    <w:p>
      <w:pPr>
        <w:pStyle w:val="ListBullet"/>
      </w:pPr>
      <w:r>
        <w:t>RailVision offers a **tablet‑first, low‑capex, rapid deployment** capability, ideal for pilot‑driven adoption.</w:t>
      </w:r>
    </w:p>
    <w:p>
      <w:pPr>
        <w:pStyle w:val="ListBullet"/>
      </w:pPr>
      <w:r>
        <w:t>The product can be deployed without locomotive surgery, aligning with Holland’s ability to bundle software into existing field touchpoints.</w:t>
      </w:r>
    </w:p>
    <w:p>
      <w:pPr>
        <w:pStyle w:val="ListBullet"/>
      </w:pPr>
      <w:r>
        <w:t>Crews and supervisors can monitor savings and performance through dashboards, aligning well with Holland’s field coaching.</w:t>
      </w:r>
    </w:p>
    <w:p>
      <w:pPr>
        <w:spacing w:after="120"/>
      </w:pPr>
      <w:r>
        <w:t>Strategic rationale</w:t>
      </w:r>
    </w:p>
    <w:p>
      <w:pPr>
        <w:pStyle w:val="ListBullet"/>
      </w:pPr>
      <w:r>
        <w:t>Combine Holland’s **access + trust + field services** with RailVision’s **software + analytics + rapid deployment** to:</w:t>
      </w:r>
    </w:p>
    <w:p>
      <w:pPr>
        <w:pStyle w:val="ListBullet"/>
      </w:pPr>
      <w:r>
        <w:t>Accelerate POC launches and production conversions.</w:t>
      </w:r>
    </w:p>
    <w:p>
      <w:pPr>
        <w:pStyle w:val="ListBullet"/>
      </w:pPr>
      <w:r>
        <w:t>Reduce adoption friction with engineers via trusted “on‑the‑ground” coaching.</w:t>
      </w:r>
    </w:p>
    <w:p>
      <w:pPr>
        <w:pStyle w:val="ListBullet"/>
      </w:pPr>
      <w:r>
        <w:t>Generate proof points (fuel/time savings, schedule adherence improvements) faster.</w:t>
      </w:r>
    </w:p>
    <w:p>
      <w:pPr>
        <w:pStyle w:val="ListBullet"/>
      </w:pPr>
      <w:r>
        <w:t>Use an intentionally **non‑exclusive, co‑sell model** to:</w:t>
      </w:r>
    </w:p>
    <w:p>
      <w:pPr>
        <w:pStyle w:val="ListBullet"/>
      </w:pPr>
      <w:r>
        <w:t>Avoid channel conflict and loss of intimacy with customers.</w:t>
      </w:r>
    </w:p>
    <w:p>
      <w:pPr>
        <w:pStyle w:val="ListBullet"/>
      </w:pPr>
      <w:r>
        <w:t>Retain direct visibility into usage, outcomes, and customer feedback.</w:t>
      </w:r>
    </w:p>
    <w:p>
      <w:pPr>
        <w:pStyle w:val="ListBullet"/>
      </w:pPr>
      <w:r>
        <w:t>Preserve the option to add or rebalance other partners later.</w:t>
      </w:r>
    </w:p>
    <w:p>
      <w:pPr>
        <w:spacing w:after="120"/>
      </w:pPr>
      <w:r>
        <w:t>Non‑go conditions (at a strategic level)</w:t>
      </w:r>
    </w:p>
    <w:p>
      <w:pPr>
        <w:pStyle w:val="ListBullet"/>
      </w:pPr>
      <w:r>
        <w:t>Holland requires exclusivity in the target segment.</w:t>
      </w:r>
    </w:p>
    <w:p>
      <w:pPr>
        <w:pStyle w:val="ListBullet"/>
      </w:pPr>
      <w:r>
        <w:t>Holland insists on reseller control (they invoice and set price) or a white‑label arrangement.</w:t>
      </w:r>
    </w:p>
    <w:p>
      <w:pPr>
        <w:pStyle w:val="ListBullet"/>
      </w:pPr>
      <w:r>
        <w:t>Holland restricts or conditions RailVision’s access to usage and performance data from joint customers.</w:t>
      </w:r>
    </w:p>
    <w:p>
      <w:pPr>
        <w:pStyle w:val="Heading1"/>
      </w:pPr>
      <w:r>
        <w:t>2. Partnership Model and Guardrails</w:t>
      </w:r>
    </w:p>
    <w:p>
      <w:pPr>
        <w:spacing w:after="120"/>
      </w:pPr>
      <w:r>
        <w:t>Partnership type</w:t>
      </w:r>
    </w:p>
    <w:p>
      <w:pPr>
        <w:pStyle w:val="ListBullet"/>
      </w:pPr>
      <w:r>
        <w:t>**Model:** Referral + co‑sell (no reseller, no white‑label).</w:t>
      </w:r>
    </w:p>
    <w:p>
      <w:pPr>
        <w:pStyle w:val="ListBullet"/>
      </w:pPr>
      <w:r>
        <w:t>**Territory:** North America shortlines &amp; regionals, explicitly **non‑exclusive**.</w:t>
      </w:r>
    </w:p>
    <w:p>
      <w:pPr>
        <w:pStyle w:val="ListBullet"/>
      </w:pPr>
      <w:r>
        <w:t>**Positioning:** “Engineer‑first efficiency companion” — not autopilot and not surveillance.</w:t>
      </w:r>
    </w:p>
    <w:p>
      <w:pPr>
        <w:spacing w:after="120"/>
      </w:pPr>
      <w:r>
        <w:t>Core guardrails</w:t>
      </w:r>
    </w:p>
    <w:p>
      <w:pPr>
        <w:pStyle w:val="ListNumber"/>
      </w:pPr>
      <w:r>
        <w:t>Customer relationship</w:t>
      </w:r>
    </w:p>
    <w:p>
      <w:pPr>
        <w:pStyle w:val="ListBullet"/>
      </w:pPr>
      <w:r>
        <w:t>RailVision holds the SOW, sets price, and manages renewals.</w:t>
      </w:r>
    </w:p>
    <w:p>
      <w:pPr>
        <w:pStyle w:val="ListBullet"/>
      </w:pPr>
      <w:r>
        <w:t>Holland introduces, co‑sells, and can attach its own services under a separate SOW with the railroad.</w:t>
      </w:r>
    </w:p>
    <w:p>
      <w:pPr>
        <w:pStyle w:val="ListNumber"/>
      </w:pPr>
      <w:r>
        <w:t>Data rights</w:t>
      </w:r>
    </w:p>
    <w:p>
      <w:pPr>
        <w:pStyle w:val="ListBullet"/>
      </w:pPr>
      <w:r>
        <w:t>RailVision receives **usage, trip, and baseline/performance data** for all joint deployments.</w:t>
      </w:r>
    </w:p>
    <w:p>
      <w:pPr>
        <w:pStyle w:val="ListBullet"/>
      </w:pPr>
      <w:r>
        <w:t>Data clause is embedded clearly in the MSA/SOW, with:</w:t>
      </w:r>
    </w:p>
    <w:p>
      <w:pPr>
        <w:pStyle w:val="ListBullet"/>
      </w:pPr>
      <w:r>
        <w:t>Scope of data (e.g., trip logs, throttle/brake usage, schedule adherence, fuel metrics).</w:t>
      </w:r>
    </w:p>
    <w:p>
      <w:pPr>
        <w:pStyle w:val="ListBullet"/>
      </w:pPr>
      <w:r>
        <w:t>Transfer mechanics and security expectations.</w:t>
      </w:r>
    </w:p>
    <w:p>
      <w:pPr>
        <w:pStyle w:val="ListBullet"/>
      </w:pPr>
      <w:r>
        <w:t>Ability to anonymize and aggregate data for benchmarking and case studies.</w:t>
      </w:r>
    </w:p>
    <w:p>
      <w:pPr>
        <w:pStyle w:val="ListNumber"/>
      </w:pPr>
      <w:r>
        <w:t>Brand and messaging</w:t>
      </w:r>
    </w:p>
    <w:p>
      <w:pPr>
        <w:pStyle w:val="ListBullet"/>
      </w:pPr>
      <w:r>
        <w:t>RailVision brand is primary on product/UI; co‑branding is used for field materials.</w:t>
      </w:r>
    </w:p>
    <w:p>
      <w:pPr>
        <w:pStyle w:val="ListBullet"/>
      </w:pPr>
      <w:r>
        <w:t>Shared messaging guardrails (see Appendix B), emphasizing:</w:t>
      </w:r>
    </w:p>
    <w:p>
      <w:pPr>
        <w:pStyle w:val="ListBullet"/>
      </w:pPr>
      <w:r>
        <w:t>Support for engineers and crews, not replacement.</w:t>
      </w:r>
    </w:p>
    <w:p>
      <w:pPr>
        <w:pStyle w:val="ListBullet"/>
      </w:pPr>
      <w:r>
        <w:t>Transparency on data collection and use.</w:t>
      </w:r>
    </w:p>
    <w:p>
      <w:pPr>
        <w:pStyle w:val="ListBullet"/>
      </w:pPr>
      <w:r>
        <w:t>All external materials referencing RailVision’s product are reviewed and approved prior to broad use.</w:t>
      </w:r>
    </w:p>
    <w:p>
      <w:pPr>
        <w:pStyle w:val="ListNumber"/>
      </w:pPr>
      <w:r>
        <w:t>Scope of Holland services</w:t>
      </w:r>
    </w:p>
    <w:p>
      <w:pPr>
        <w:pStyle w:val="ListBullet"/>
      </w:pPr>
      <w:r>
        <w:t>Holland may provide **paid field services** under its own SOW, including:</w:t>
      </w:r>
    </w:p>
    <w:p>
      <w:pPr>
        <w:pStyle w:val="ListBullet"/>
      </w:pPr>
      <w:r>
        <w:t>Install assistance.</w:t>
      </w:r>
    </w:p>
    <w:p>
      <w:pPr>
        <w:pStyle w:val="ListBullet"/>
      </w:pPr>
      <w:r>
        <w:t>Crew coaching and ride‑along sessions.</w:t>
      </w:r>
    </w:p>
    <w:p>
      <w:pPr>
        <w:pStyle w:val="ListBullet"/>
      </w:pPr>
      <w:r>
        <w:t>Change‑management support.</w:t>
      </w:r>
    </w:p>
    <w:p>
      <w:pPr>
        <w:pStyle w:val="ListBullet"/>
      </w:pPr>
      <w:r>
        <w:t>Scope is coordinated via a joint plan to avoid conflicting expectations.</w:t>
      </w:r>
    </w:p>
    <w:p>
      <w:pPr>
        <w:pStyle w:val="ListNumber"/>
      </w:pPr>
      <w:r>
        <w:t>No reseller / no white‑label</w:t>
      </w:r>
    </w:p>
    <w:p>
      <w:pPr>
        <w:pStyle w:val="ListBullet"/>
      </w:pPr>
      <w:r>
        <w:t>Holland does not take title to the software or set the software price.</w:t>
      </w:r>
    </w:p>
    <w:p>
      <w:pPr>
        <w:pStyle w:val="ListBullet"/>
      </w:pPr>
      <w:r>
        <w:t>No white‑labeling: RailVision appears as itself, not as a hidden OEM.</w:t>
      </w:r>
    </w:p>
    <w:p>
      <w:pPr>
        <w:spacing w:after="120"/>
      </w:pPr>
      <w:r>
        <w:t>Summary of operating model</w:t>
      </w:r>
    </w:p>
    <w:p>
      <w:pPr>
        <w:pStyle w:val="ListBullet"/>
      </w:pPr>
      <w:r>
        <w:t>Holland: Access, intros, on‑site presence, and field execution (install and adoption support).</w:t>
      </w:r>
    </w:p>
    <w:p>
      <w:pPr>
        <w:pStyle w:val="ListBullet"/>
      </w:pPr>
      <w:r>
        <w:t>RailVision: Product, analytics, pricing, contracts, and long‑term customer success.</w:t>
      </w:r>
    </w:p>
    <w:p>
      <w:pPr>
        <w:pStyle w:val="ListBullet"/>
      </w:pPr>
      <w:r>
        <w:t>Joint: Account selection, deal strategy, POC design, and pipeline governance.</w:t>
      </w:r>
    </w:p>
    <w:p>
      <w:pPr>
        <w:pStyle w:val="Heading1"/>
      </w:pPr>
      <w:r>
        <w:t>3. Commercial Terms and Economics</w:t>
      </w:r>
    </w:p>
    <w:p>
      <w:pPr>
        <w:spacing w:after="120"/>
      </w:pPr>
      <w:r>
        <w:t>High‑level economics (draft)</w:t>
      </w:r>
    </w:p>
    <w:p>
      <w:pPr>
        <w:spacing w:after="120"/>
      </w:pPr>
      <w:r>
        <w:t>Two principal commercial paths are proposed:</w:t>
      </w:r>
    </w:p>
    <w:p>
      <w:pPr>
        <w:spacing w:after="120"/>
      </w:pPr>
      <w:r>
        <w:t>1) Referral model</w:t>
      </w:r>
    </w:p>
    <w:p>
      <w:pPr>
        <w:pStyle w:val="ListBullet"/>
      </w:pPr>
      <w:r>
        <w:t>Holland introduces and supports early sales motion; RailVision holds the contract and revenue.</w:t>
      </w:r>
    </w:p>
    <w:p>
      <w:pPr>
        <w:pStyle w:val="ListBullet"/>
      </w:pPr>
      <w:r>
        <w:t>Holland receives a **referral fee of 10–15% of first‑year net revenue (NRR)**.</w:t>
      </w:r>
    </w:p>
    <w:p>
      <w:pPr>
        <w:pStyle w:val="ListBullet"/>
      </w:pPr>
      <w:r>
        <w:t>Payment is triggered only upon **customer cash receipt**, not on signature alone.</w:t>
      </w:r>
    </w:p>
    <w:p>
      <w:pPr>
        <w:spacing w:after="120"/>
      </w:pPr>
      <w:r>
        <w:t>2) Co‑sell success‑fee model</w:t>
      </w:r>
    </w:p>
    <w:p>
      <w:pPr>
        <w:pStyle w:val="ListBullet"/>
      </w:pPr>
      <w:r>
        <w:t>RailVision retains 100% of subscription revenue.</w:t>
      </w:r>
    </w:p>
    <w:p>
      <w:pPr>
        <w:pStyle w:val="ListBullet"/>
      </w:pPr>
      <w:r>
        <w:t>Holland receives a **fixed success fee per signed SOW**, plus a milestone bonus for demonstrated adoption (e.g., after a 90‑day usage target is met).</w:t>
      </w:r>
    </w:p>
    <w:p>
      <w:pPr>
        <w:pStyle w:val="ListBullet"/>
      </w:pPr>
      <w:r>
        <w:t>This structure aligns Holland with:</w:t>
      </w:r>
    </w:p>
    <w:p>
      <w:pPr>
        <w:pStyle w:val="ListBullet"/>
      </w:pPr>
      <w:r>
        <w:t>Getting deals over the line.</w:t>
      </w:r>
    </w:p>
    <w:p>
      <w:pPr>
        <w:pStyle w:val="ListBullet"/>
      </w:pPr>
      <w:r>
        <w:t>Driving real crew usage, not just initial sales.</w:t>
      </w:r>
    </w:p>
    <w:p>
      <w:pPr>
        <w:spacing w:after="120"/>
      </w:pPr>
      <w:r>
        <w:t>SPIFs (sales incentives)</w:t>
      </w:r>
    </w:p>
    <w:p>
      <w:pPr>
        <w:pStyle w:val="ListBullet"/>
      </w:pPr>
      <w:r>
        <w:t>Modest SPIFs to motivate Holland account executives and field reps, e.g.:</w:t>
      </w:r>
    </w:p>
    <w:p>
      <w:pPr>
        <w:pStyle w:val="ListBullet"/>
      </w:pPr>
      <w:r>
        <w:t>~$500 per qualified POC launched.</w:t>
      </w:r>
    </w:p>
    <w:p>
      <w:pPr>
        <w:pStyle w:val="ListBullet"/>
      </w:pPr>
      <w:r>
        <w:t>~$2,000 per closed‑won deal above a certain threshold (e.g., &gt;$50k first‑year value).</w:t>
      </w:r>
    </w:p>
    <w:p>
      <w:pPr>
        <w:pStyle w:val="ListBullet"/>
      </w:pPr>
      <w:r>
        <w:t>SPIF levels should be parameterized deal‑by‑deal based on margin and ARR potential.</w:t>
      </w:r>
    </w:p>
    <w:p>
      <w:pPr>
        <w:spacing w:after="120"/>
      </w:pPr>
      <w:r>
        <w:t>Services revenue for Holland</w:t>
      </w:r>
    </w:p>
    <w:p>
      <w:pPr>
        <w:pStyle w:val="ListBullet"/>
      </w:pPr>
      <w:r>
        <w:t>Holland can generate and own services revenue for:</w:t>
      </w:r>
    </w:p>
    <w:p>
      <w:pPr>
        <w:pStyle w:val="ListBullet"/>
      </w:pPr>
      <w:r>
        <w:t>Installation and configuration work.</w:t>
      </w:r>
    </w:p>
    <w:p>
      <w:pPr>
        <w:pStyle w:val="ListBullet"/>
      </w:pPr>
      <w:r>
        <w:t>On‑site crew coaching and change‑management.</w:t>
      </w:r>
    </w:p>
    <w:p>
      <w:pPr>
        <w:pStyle w:val="ListBullet"/>
      </w:pPr>
      <w:r>
        <w:t>Ongoing adoption check‑ins bundled with their traditional maintenance visits.</w:t>
      </w:r>
    </w:p>
    <w:p>
      <w:pPr>
        <w:pStyle w:val="ListBullet"/>
      </w:pPr>
      <w:r>
        <w:t>Scope and pricing for these services are documented in a separate Holland‑railroad SOW, coordinated with RailVision so that timelines and responsibilities are aligned.</w:t>
      </w:r>
    </w:p>
    <w:p>
      <w:pPr>
        <w:spacing w:after="120"/>
      </w:pPr>
      <w:r>
        <w:t>Economic redlines / negotiation boundaries</w:t>
      </w:r>
    </w:p>
    <w:p>
      <w:pPr>
        <w:pStyle w:val="ListBullet"/>
      </w:pPr>
      <w:r>
        <w:t>Preserve:</w:t>
      </w:r>
    </w:p>
    <w:p>
      <w:pPr>
        <w:pStyle w:val="ListBullet"/>
      </w:pPr>
      <w:r>
        <w:t>RailVision control over subscription pricing and discounts.</w:t>
      </w:r>
    </w:p>
    <w:p>
      <w:pPr>
        <w:pStyle w:val="ListBullet"/>
      </w:pPr>
      <w:r>
        <w:t>RailVision entitlement to usage and performance data.</w:t>
      </w:r>
    </w:p>
    <w:p>
      <w:pPr>
        <w:pStyle w:val="ListBullet"/>
      </w:pPr>
      <w:r>
        <w:t>Avoid:</w:t>
      </w:r>
    </w:p>
    <w:p>
      <w:pPr>
        <w:pStyle w:val="ListBullet"/>
      </w:pPr>
      <w:r>
        <w:t>Deep, non‑time‑bound exclusivity in the segment.</w:t>
      </w:r>
    </w:p>
    <w:p>
      <w:pPr>
        <w:pStyle w:val="ListBullet"/>
      </w:pPr>
      <w:r>
        <w:t>Any construct where Holland controls the end‑customer contract for software or acts as a primary reseller.</w:t>
      </w:r>
    </w:p>
    <w:p>
      <w:pPr>
        <w:pStyle w:val="Heading1"/>
      </w:pPr>
      <w:r>
        <w:t>4. First 90 Days – Joint GTM Plan</w:t>
      </w:r>
    </w:p>
    <w:p>
      <w:pPr>
        <w:spacing w:after="120"/>
      </w:pPr>
      <w:r>
        <w:t>Goal for first 90 days</w:t>
      </w:r>
    </w:p>
    <w:p>
      <w:pPr>
        <w:pStyle w:val="ListBullet"/>
      </w:pPr>
      <w:r>
        <w:t>Secure **3 signed POCs** and **1 production contract** in the shortline/regional segment.</w:t>
      </w:r>
    </w:p>
    <w:p>
      <w:pPr>
        <w:pStyle w:val="ListBullet"/>
      </w:pPr>
      <w:r>
        <w:t>Demonstrate:</w:t>
      </w:r>
    </w:p>
    <w:p>
      <w:pPr>
        <w:pStyle w:val="ListBullet"/>
      </w:pPr>
      <w:r>
        <w:t>Statistically significant fuel and/or time savings.</w:t>
      </w:r>
    </w:p>
    <w:p>
      <w:pPr>
        <w:pStyle w:val="ListBullet"/>
      </w:pPr>
      <w:r>
        <w:t>High crew acceptance and sustained usage.</w:t>
      </w:r>
    </w:p>
    <w:p>
      <w:pPr>
        <w:spacing w:after="120"/>
      </w:pPr>
      <w:r>
        <w:t>A. Account mapping (Week 1)</w:t>
      </w:r>
    </w:p>
    <w:p>
      <w:pPr>
        <w:pStyle w:val="ListBullet"/>
      </w:pPr>
      <w:r>
        <w:t>Build a **25‑logo target list** of shortlines and regionals, capturing for each:</w:t>
      </w:r>
    </w:p>
    <w:p>
      <w:pPr>
        <w:pStyle w:val="ListBullet"/>
      </w:pPr>
      <w:r>
        <w:t>Fleet size and basic profile (e.g., freight mix, throttle variability).</w:t>
      </w:r>
    </w:p>
    <w:p>
      <w:pPr>
        <w:pStyle w:val="ListBullet"/>
      </w:pPr>
      <w:r>
        <w:t>Key decision makers and influencers.</w:t>
      </w:r>
    </w:p>
    <w:p>
      <w:pPr>
        <w:pStyle w:val="ListBullet"/>
      </w:pPr>
      <w:r>
        <w:t>Relationship owner (Holland, RailVision, or both).</w:t>
      </w:r>
    </w:p>
    <w:p>
      <w:pPr>
        <w:pStyle w:val="ListBullet"/>
      </w:pPr>
      <w:r>
        <w:t>Intro path (existing relationship, active project, or cold).</w:t>
      </w:r>
    </w:p>
    <w:p>
      <w:pPr>
        <w:pStyle w:val="ListBullet"/>
      </w:pPr>
      <w:r>
        <w:t>Secure **~6 joint executive calls** in the first month to:</w:t>
      </w:r>
    </w:p>
    <w:p>
      <w:pPr>
        <w:pStyle w:val="ListBullet"/>
      </w:pPr>
      <w:r>
        <w:t>Align on problem framing and value hypotheses.</w:t>
      </w:r>
    </w:p>
    <w:p>
      <w:pPr>
        <w:pStyle w:val="ListBullet"/>
      </w:pPr>
      <w:r>
        <w:t>Identify candidate routes and trains for POCs.</w:t>
      </w:r>
    </w:p>
    <w:p>
      <w:pPr>
        <w:spacing w:after="120"/>
      </w:pPr>
      <w:r>
        <w:t>B. POC kit (Weeks 1–2)</w:t>
      </w:r>
    </w:p>
    <w:p>
      <w:pPr>
        <w:pStyle w:val="ListBullet"/>
      </w:pPr>
      <w:r>
        <w:t>Build a standard POC kit that includes:</w:t>
      </w:r>
    </w:p>
    <w:p>
      <w:pPr>
        <w:pStyle w:val="ListBullet"/>
      </w:pPr>
      <w:r>
        <w:t>Baseline and measurement plan (fuel consumption, schedule adherence, throttle/brake usage, relevant KPIs).</w:t>
      </w:r>
    </w:p>
    <w:p>
      <w:pPr>
        <w:pStyle w:val="ListBullet"/>
      </w:pPr>
      <w:r>
        <w:t>Defined success metrics with confidence intervals (e.g., target 5–10% fuel savings where applicable).</w:t>
      </w:r>
    </w:p>
    <w:p>
      <w:pPr>
        <w:pStyle w:val="ListBullet"/>
      </w:pPr>
      <w:r>
        <w:t>Standard SOW templates and pricing examples tuned to shortline budgets.</w:t>
      </w:r>
    </w:p>
    <w:p>
      <w:pPr>
        <w:pStyle w:val="ListBullet"/>
      </w:pPr>
      <w:r>
        <w:t>Ensure the POC kit is simple enough that field teams can explain it in 5–10 minutes on site.</w:t>
      </w:r>
    </w:p>
    <w:p>
      <w:pPr>
        <w:spacing w:after="120"/>
      </w:pPr>
      <w:r>
        <w:t>C. Adoption playbook enablement (Weeks 2–3)</w:t>
      </w:r>
    </w:p>
    <w:p>
      <w:pPr>
        <w:pStyle w:val="ListBullet"/>
      </w:pPr>
      <w:r>
        <w:t>Train Holland field staff on a **crew‑first adoption playbook**, including:</w:t>
      </w:r>
    </w:p>
    <w:p>
      <w:pPr>
        <w:pStyle w:val="ListBullet"/>
      </w:pPr>
      <w:r>
        <w:t>Messaging rubrics that emphasize support, transparency, and respect for craft.</w:t>
      </w:r>
    </w:p>
    <w:p>
      <w:pPr>
        <w:pStyle w:val="ListBullet"/>
      </w:pPr>
      <w:r>
        <w:t>Ride‑along coaching scripts: how to sit with an engineer and walk through the tool.</w:t>
      </w:r>
    </w:p>
    <w:p>
      <w:pPr>
        <w:pStyle w:val="ListBullet"/>
      </w:pPr>
      <w:r>
        <w:t>Scorecards and feedback loops to capture crew feedback into product and CS.</w:t>
      </w:r>
    </w:p>
    <w:p>
      <w:pPr>
        <w:pStyle w:val="ListBullet"/>
      </w:pPr>
      <w:r>
        <w:t>Co‑develop a one‑page engineer handout that explains:</w:t>
      </w:r>
    </w:p>
    <w:p>
      <w:pPr>
        <w:pStyle w:val="ListBullet"/>
      </w:pPr>
      <w:r>
        <w:t>What the tool is and is not.</w:t>
      </w:r>
    </w:p>
    <w:p>
      <w:pPr>
        <w:pStyle w:val="ListBullet"/>
      </w:pPr>
      <w:r>
        <w:t>How data is used.</w:t>
      </w:r>
    </w:p>
    <w:p>
      <w:pPr>
        <w:pStyle w:val="ListBullet"/>
      </w:pPr>
      <w:r>
        <w:t>Expected benefits in their own terms (less rework, smoother runs, more predictable days).</w:t>
      </w:r>
    </w:p>
    <w:p>
      <w:pPr>
        <w:spacing w:after="120"/>
      </w:pPr>
      <w:r>
        <w:t>D. Pipeline and ops rhythm (throughout 90 days)</w:t>
      </w:r>
    </w:p>
    <w:p>
      <w:pPr>
        <w:pStyle w:val="ListBullet"/>
      </w:pPr>
      <w:r>
        <w:t>Run a weekly joint pipeline review to:</w:t>
      </w:r>
    </w:p>
    <w:p>
      <w:pPr>
        <w:pStyle w:val="ListBullet"/>
      </w:pPr>
      <w:r>
        <w:t>Track intros → meetings → POCs → deployments.</w:t>
      </w:r>
    </w:p>
    <w:p>
      <w:pPr>
        <w:pStyle w:val="ListBullet"/>
      </w:pPr>
      <w:r>
        <w:t>Remove blockers (scheduling, IT/security, contract friction).</w:t>
      </w:r>
    </w:p>
    <w:p>
      <w:pPr>
        <w:pStyle w:val="ListBullet"/>
      </w:pPr>
      <w:r>
        <w:t>Re‑prioritize accounts based on traction.</w:t>
      </w:r>
    </w:p>
    <w:p>
      <w:pPr>
        <w:pStyle w:val="ListBullet"/>
      </w:pPr>
      <w:r>
        <w:t>Maintain a shared tracker (simple at first, then CRM‑native) for:</w:t>
      </w:r>
    </w:p>
    <w:p>
      <w:pPr>
        <w:pStyle w:val="ListBullet"/>
      </w:pPr>
      <w:r>
        <w:t>Intros made and meetings held.</w:t>
      </w:r>
    </w:p>
    <w:p>
      <w:pPr>
        <w:pStyle w:val="ListBullet"/>
      </w:pPr>
      <w:r>
        <w:t>POCs in design, in progress, or completed.</w:t>
      </w:r>
    </w:p>
    <w:p>
      <w:pPr>
        <w:pStyle w:val="ListBullet"/>
      </w:pPr>
      <w:r>
        <w:t>Production contracts signed and live trains.</w:t>
      </w:r>
    </w:p>
    <w:p>
      <w:pPr>
        <w:spacing w:after="120"/>
      </w:pPr>
      <w:r>
        <w:t>Exit / review gate at Day 90</w:t>
      </w:r>
    </w:p>
    <w:p>
      <w:pPr>
        <w:pStyle w:val="ListBullet"/>
      </w:pPr>
      <w:r>
        <w:t>Criteria for **Go**:</w:t>
      </w:r>
    </w:p>
    <w:p>
      <w:pPr>
        <w:pStyle w:val="ListBullet"/>
      </w:pPr>
      <w:r>
        <w:t>≥3 qualified POCs signed.</w:t>
      </w:r>
    </w:p>
    <w:p>
      <w:pPr>
        <w:pStyle w:val="ListBullet"/>
      </w:pPr>
      <w:r>
        <w:t>≥1 production contract in place.</w:t>
      </w:r>
    </w:p>
    <w:p>
      <w:pPr>
        <w:pStyle w:val="ListBullet"/>
      </w:pPr>
      <w:r>
        <w:t>Data rights fully honored in practice.</w:t>
      </w:r>
    </w:p>
    <w:p>
      <w:pPr>
        <w:pStyle w:val="ListBullet"/>
      </w:pPr>
      <w:r>
        <w:t>Positive crew sentiment and path to scale.</w:t>
      </w:r>
    </w:p>
    <w:p>
      <w:pPr>
        <w:pStyle w:val="ListBullet"/>
      </w:pPr>
      <w:r>
        <w:t>Criteria for **Pause / Renegotiate**:</w:t>
      </w:r>
    </w:p>
    <w:p>
      <w:pPr>
        <w:pStyle w:val="ListBullet"/>
      </w:pPr>
      <w:r>
        <w:t>&lt;3 qualified POCs, or</w:t>
      </w:r>
    </w:p>
    <w:p>
      <w:pPr>
        <w:pStyle w:val="ListBullet"/>
      </w:pPr>
      <w:r>
        <w:t>Material friction on data access, or</w:t>
      </w:r>
    </w:p>
    <w:p>
      <w:pPr>
        <w:pStyle w:val="ListBullet"/>
      </w:pPr>
      <w:r>
        <w:t>Consistent drift toward autopilot/surveillance messaging, or</w:t>
      </w:r>
    </w:p>
    <w:p>
      <w:pPr>
        <w:pStyle w:val="ListBullet"/>
      </w:pPr>
      <w:r>
        <w:t>Evidence that the channel is slowing, not accelerating, deals.</w:t>
      </w:r>
    </w:p>
    <w:p>
      <w:pPr>
        <w:pStyle w:val="Heading1"/>
      </w:pPr>
      <w:r>
        <w:t>5. Success Metrics and Proof</w:t>
      </w:r>
    </w:p>
    <w:p>
      <w:pPr>
        <w:spacing w:after="120"/>
      </w:pPr>
      <w:r>
        <w:t>Commercial metrics</w:t>
      </w:r>
    </w:p>
    <w:p>
      <w:pPr>
        <w:pStyle w:val="ListBullet"/>
      </w:pPr>
      <w:r>
        <w:t>≥3 POCs signed within 90 days.</w:t>
      </w:r>
    </w:p>
    <w:p>
      <w:pPr>
        <w:pStyle w:val="ListBullet"/>
      </w:pPr>
      <w:r>
        <w:t>≥1 production contract signed in the same window.</w:t>
      </w:r>
    </w:p>
    <w:p>
      <w:pPr>
        <w:pStyle w:val="ListBullet"/>
      </w:pPr>
      <w:r>
        <w:t>New ARR targets to be set per logo size, but all deals should be sized to allow meaningful measurement and future expansion.</w:t>
      </w:r>
    </w:p>
    <w:p>
      <w:pPr>
        <w:spacing w:after="120"/>
      </w:pPr>
      <w:r>
        <w:t>Adoption and usage</w:t>
      </w:r>
    </w:p>
    <w:p>
      <w:pPr>
        <w:pStyle w:val="ListBullet"/>
      </w:pPr>
      <w:r>
        <w:t>≥70% active crew use in POC.</w:t>
      </w:r>
    </w:p>
    <w:p>
      <w:pPr>
        <w:pStyle w:val="ListBullet"/>
      </w:pPr>
      <w:r>
        <w:t>Positive NPS or equivalent sentiment from engineers.</w:t>
      </w:r>
    </w:p>
    <w:p>
      <w:pPr>
        <w:pStyle w:val="ListBullet"/>
      </w:pPr>
      <w:r>
        <w:t>&lt;10% opt‑out or active resistance over the POC period.</w:t>
      </w:r>
    </w:p>
    <w:p>
      <w:pPr>
        <w:spacing w:after="120"/>
      </w:pPr>
      <w:r>
        <w:t>Operational execution</w:t>
      </w:r>
    </w:p>
    <w:p>
      <w:pPr>
        <w:pStyle w:val="ListBullet"/>
      </w:pPr>
      <w:r>
        <w:t>Time‑to‑first‑train (from SOW to first train running with RailVision) ≤ 14 days for POCs.</w:t>
      </w:r>
    </w:p>
    <w:p>
      <w:pPr>
        <w:pStyle w:val="ListBullet"/>
      </w:pPr>
      <w:r>
        <w:t>POC runbooks executed as designed, with minimal last‑minute changes.</w:t>
      </w:r>
    </w:p>
    <w:p>
      <w:pPr>
        <w:pStyle w:val="ListBullet"/>
      </w:pPr>
      <w:r>
        <w:t>Data collection and transfer working reliably by the time the first trains are running.</w:t>
      </w:r>
    </w:p>
    <w:p>
      <w:pPr>
        <w:spacing w:after="120"/>
      </w:pPr>
      <w:r>
        <w:t>Savings and proof points</w:t>
      </w:r>
    </w:p>
    <w:p>
      <w:pPr>
        <w:pStyle w:val="ListBullet"/>
      </w:pPr>
      <w:r>
        <w:t>Documented fuel and/or time savings using agreed methodology and confidence intervals.</w:t>
      </w:r>
    </w:p>
    <w:p>
      <w:pPr>
        <w:pStyle w:val="ListBullet"/>
      </w:pPr>
      <w:r>
        <w:t>Where possible, produce **two anonymized case snapshots** showing:</w:t>
      </w:r>
    </w:p>
    <w:p>
      <w:pPr>
        <w:pStyle w:val="ListBullet"/>
      </w:pPr>
      <w:r>
        <w:t>Baseline vs. POC period performance.</w:t>
      </w:r>
    </w:p>
    <w:p>
      <w:pPr>
        <w:pStyle w:val="ListBullet"/>
      </w:pPr>
      <w:r>
        <w:t>Engineer commentary.</w:t>
      </w:r>
    </w:p>
    <w:p>
      <w:pPr>
        <w:pStyle w:val="ListBullet"/>
      </w:pPr>
      <w:r>
        <w:t>Operational leader’s perspective on sustainability and scale‑up.</w:t>
      </w:r>
    </w:p>
    <w:p>
      <w:pPr>
        <w:spacing w:after="120"/>
      </w:pPr>
      <w:r>
        <w:t>Scorecard snapshot (mirrored on a one‑slide view)</w:t>
      </w:r>
    </w:p>
    <w:p>
      <w:pPr>
        <w:pStyle w:val="ListBullet"/>
      </w:pPr>
      <w:r>
        <w:t>Fit &amp; Access</w:t>
      </w:r>
    </w:p>
    <w:p>
      <w:pPr>
        <w:pStyle w:val="ListBullet"/>
      </w:pPr>
      <w:r>
        <w:t>Coverage of target shortlines/regionals.</w:t>
      </w:r>
    </w:p>
    <w:p>
      <w:pPr>
        <w:pStyle w:val="ListBullet"/>
      </w:pPr>
      <w:r>
        <w:t>C‑suite and operations champions identified.</w:t>
      </w:r>
    </w:p>
    <w:p>
      <w:pPr>
        <w:pStyle w:val="ListBullet"/>
      </w:pPr>
      <w:r>
        <w:t>6 exec intros scheduled in first 30 days.</w:t>
      </w:r>
    </w:p>
    <w:p>
      <w:pPr>
        <w:pStyle w:val="ListBullet"/>
      </w:pPr>
      <w:r>
        <w:t>Execution Readiness</w:t>
      </w:r>
    </w:p>
    <w:p>
      <w:pPr>
        <w:pStyle w:val="ListBullet"/>
      </w:pPr>
      <w:r>
        <w:t>Named‑account map (25 logos) complete.</w:t>
      </w:r>
    </w:p>
    <w:p>
      <w:pPr>
        <w:pStyle w:val="ListBullet"/>
      </w:pPr>
      <w:r>
        <w:t>≥10 Holland field staff trained on adoption playbook.</w:t>
      </w:r>
    </w:p>
    <w:p>
      <w:pPr>
        <w:pStyle w:val="ListBullet"/>
      </w:pPr>
      <w:r>
        <w:t>POC kit signed off; data‑sharing path validated.</w:t>
      </w:r>
    </w:p>
    <w:p>
      <w:pPr>
        <w:pStyle w:val="ListBullet"/>
      </w:pPr>
      <w:r>
        <w:t>Early Outcomes (at 90‑day gate)</w:t>
      </w:r>
    </w:p>
    <w:p>
      <w:pPr>
        <w:pStyle w:val="ListBullet"/>
      </w:pPr>
      <w:r>
        <w:t>≥3 POCs signed.</w:t>
      </w:r>
    </w:p>
    <w:p>
      <w:pPr>
        <w:pStyle w:val="ListBullet"/>
      </w:pPr>
      <w:r>
        <w:t>≥1 production contract.</w:t>
      </w:r>
    </w:p>
    <w:p>
      <w:pPr>
        <w:pStyle w:val="ListBullet"/>
      </w:pPr>
      <w:r>
        <w:t>≥70% active crew usage in POCs.</w:t>
      </w:r>
    </w:p>
    <w:p>
      <w:pPr>
        <w:pStyle w:val="ListBullet"/>
      </w:pPr>
      <w:r>
        <w:t>At least one documented savings case.</w:t>
      </w:r>
    </w:p>
    <w:p>
      <w:pPr>
        <w:pStyle w:val="ListBullet"/>
      </w:pPr>
      <w:r>
        <w:t>Commercials &amp; Governance</w:t>
      </w:r>
    </w:p>
    <w:p>
      <w:pPr>
        <w:pStyle w:val="ListBullet"/>
      </w:pPr>
      <w:r>
        <w:t>Non‑exclusive; no reseller/white‑label.</w:t>
      </w:r>
    </w:p>
    <w:p>
      <w:pPr>
        <w:pStyle w:val="ListBullet"/>
      </w:pPr>
      <w:r>
        <w:t>Referral (10–15%) or success‑fee model active.</w:t>
      </w:r>
    </w:p>
    <w:p>
      <w:pPr>
        <w:pStyle w:val="ListBullet"/>
      </w:pPr>
      <w:r>
        <w:t>Weekly, monthly, and quarterly cadence in place.</w:t>
      </w:r>
    </w:p>
    <w:p>
      <w:pPr>
        <w:pStyle w:val="ListBullet"/>
      </w:pPr>
      <w:r>
        <w:t>Risk Flags</w:t>
      </w:r>
    </w:p>
    <w:p>
      <w:pPr>
        <w:pStyle w:val="ListBullet"/>
      </w:pPr>
      <w:r>
        <w:t>Slow intros / slipped timelines.</w:t>
      </w:r>
    </w:p>
    <w:p>
      <w:pPr>
        <w:pStyle w:val="ListBullet"/>
      </w:pPr>
      <w:r>
        <w:t>Data access blocked or delayed.</w:t>
      </w:r>
    </w:p>
    <w:p>
      <w:pPr>
        <w:pStyle w:val="ListBullet"/>
      </w:pPr>
      <w:r>
        <w:t>Messaging drift toward autopilot/surveillance.</w:t>
      </w:r>
    </w:p>
    <w:p>
      <w:pPr>
        <w:pStyle w:val="ListBullet"/>
      </w:pPr>
      <w:r>
        <w:t>Go / No‑Go Bar</w:t>
      </w:r>
    </w:p>
    <w:p>
      <w:pPr>
        <w:pStyle w:val="ListBullet"/>
      </w:pPr>
      <w:r>
        <w:t>Go: Gate metrics met and pipeline ≥5 qualified deals.</w:t>
      </w:r>
    </w:p>
    <w:p>
      <w:pPr>
        <w:pStyle w:val="ListBullet"/>
      </w:pPr>
      <w:r>
        <w:t>No‑Go: &lt;3 POCs or failure to deliver data rights.</w:t>
      </w:r>
    </w:p>
    <w:p>
      <w:pPr>
        <w:spacing w:after="120"/>
      </w:pPr>
      <w:r>
        <w:t>Accountability</w:t>
      </w:r>
    </w:p>
    <w:p>
      <w:pPr>
        <w:pStyle w:val="ListBullet"/>
      </w:pPr>
      <w:r>
        <w:t>Owners for the partner scorecard:</w:t>
      </w:r>
    </w:p>
    <w:p>
      <w:pPr>
        <w:pStyle w:val="ListBullet"/>
      </w:pPr>
      <w:r>
        <w:t>RailVision CSO (lead, overall owner of partnership strategy and scorecard).</w:t>
      </w:r>
    </w:p>
    <w:p>
      <w:pPr>
        <w:pStyle w:val="ListBullet"/>
      </w:pPr>
      <w:r>
        <w:t>Sales (co‑lead, responsible for pipeline and deal conversion).</w:t>
      </w:r>
    </w:p>
    <w:p>
      <w:pPr>
        <w:pStyle w:val="ListBullet"/>
      </w:pPr>
      <w:r>
        <w:t>Holland channel lead (on the partner side, accountable for intros and field execution).</w:t>
      </w:r>
    </w:p>
    <w:p>
      <w:pPr>
        <w:pStyle w:val="Heading1"/>
      </w:pPr>
      <w:r>
        <w:t>6. Risks and Mitigations</w:t>
      </w:r>
    </w:p>
    <w:p>
      <w:pPr>
        <w:spacing w:after="120"/>
      </w:pPr>
      <w:r>
        <w:t>Key risks</w:t>
      </w:r>
    </w:p>
    <w:p>
      <w:pPr>
        <w:spacing w:after="120"/>
      </w:pPr>
      <w:r>
        <w:t>1) Channel conflict and loss of intimacy with customers</w:t>
      </w:r>
    </w:p>
    <w:p>
      <w:pPr>
        <w:pStyle w:val="ListBullet"/>
      </w:pPr>
      <w:r>
        <w:t>Risk: Holland could, intentionally or not, wedge itself between RailVision and the railroad, diluting RailVision’s insight into customer needs and usage.</w:t>
      </w:r>
    </w:p>
    <w:p>
      <w:pPr>
        <w:pStyle w:val="ListBullet"/>
      </w:pPr>
      <w:r>
        <w:t>Mitigation:</w:t>
      </w:r>
    </w:p>
    <w:p>
      <w:pPr>
        <w:pStyle w:val="ListBullet"/>
      </w:pPr>
      <w:r>
        <w:t>Co‑sell only; RailVision controls SOW and pricing.</w:t>
      </w:r>
    </w:p>
    <w:p>
      <w:pPr>
        <w:pStyle w:val="ListBullet"/>
      </w:pPr>
      <w:r>
        <w:t>Clear documentation of roles in the MSA/SOW.</w:t>
      </w:r>
    </w:p>
    <w:p>
      <w:pPr>
        <w:pStyle w:val="ListBullet"/>
      </w:pPr>
      <w:r>
        <w:t>Joint QBRs with customers so both parties hear feedback directly.</w:t>
      </w:r>
    </w:p>
    <w:p>
      <w:pPr>
        <w:spacing w:after="120"/>
      </w:pPr>
      <w:r>
        <w:t>2) Slow sell‑through / low partner engagement</w:t>
      </w:r>
    </w:p>
    <w:p>
      <w:pPr>
        <w:pStyle w:val="ListBullet"/>
      </w:pPr>
      <w:r>
        <w:t>Risk: Holland’s field and sales teams may not prioritize RailVision, leading to few intros and low pipeline growth.</w:t>
      </w:r>
    </w:p>
    <w:p>
      <w:pPr>
        <w:pStyle w:val="ListBullet"/>
      </w:pPr>
      <w:r>
        <w:t>Mitigation:</w:t>
      </w:r>
    </w:p>
    <w:p>
      <w:pPr>
        <w:pStyle w:val="ListBullet"/>
      </w:pPr>
      <w:r>
        <w:t>90‑day quota and exit clause for the initial phase.</w:t>
      </w:r>
    </w:p>
    <w:p>
      <w:pPr>
        <w:pStyle w:val="ListBullet"/>
      </w:pPr>
      <w:r>
        <w:t>Named‑account plan with explicit targets per rep.</w:t>
      </w:r>
    </w:p>
    <w:p>
      <w:pPr>
        <w:pStyle w:val="ListBullet"/>
      </w:pPr>
      <w:r>
        <w:t>SPIFs and visible recognition for early wins.</w:t>
      </w:r>
    </w:p>
    <w:p>
      <w:pPr>
        <w:spacing w:after="120"/>
      </w:pPr>
      <w:r>
        <w:t>3) Messaging drift ("autopilot" expectations)</w:t>
      </w:r>
    </w:p>
    <w:p>
      <w:pPr>
        <w:pStyle w:val="ListBullet"/>
      </w:pPr>
      <w:r>
        <w:t>Risk: Customers and crews may develop misconceptions that the product is an autopilot, a form of surveillance, or aimed at replacing engineers.</w:t>
      </w:r>
    </w:p>
    <w:p>
      <w:pPr>
        <w:pStyle w:val="ListBullet"/>
      </w:pPr>
      <w:r>
        <w:t>Mitigation:</w:t>
      </w:r>
    </w:p>
    <w:p>
      <w:pPr>
        <w:pStyle w:val="ListBullet"/>
      </w:pPr>
      <w:r>
        <w:t>Shared talk track and short, approved messaging blocks.</w:t>
      </w:r>
    </w:p>
    <w:p>
      <w:pPr>
        <w:pStyle w:val="ListBullet"/>
      </w:pPr>
      <w:r>
        <w:t>Review/approval of external materials.</w:t>
      </w:r>
    </w:p>
    <w:p>
      <w:pPr>
        <w:pStyle w:val="ListBullet"/>
      </w:pPr>
      <w:r>
        <w:t>Emphasize crew‑first, craft‑respecting language in all training.</w:t>
      </w:r>
    </w:p>
    <w:p>
      <w:pPr>
        <w:spacing w:after="120"/>
      </w:pPr>
      <w:r>
        <w:t>4) Data friction</w:t>
      </w:r>
    </w:p>
    <w:p>
      <w:pPr>
        <w:pStyle w:val="ListBullet"/>
      </w:pPr>
      <w:r>
        <w:t>Risk: Railroads, or Holland acting on their behalf, could restrict RailVision’s access to usage and performance data, undermining product improvement and value proof.</w:t>
      </w:r>
    </w:p>
    <w:p>
      <w:pPr>
        <w:pStyle w:val="ListBullet"/>
      </w:pPr>
      <w:r>
        <w:t>Mitigation:</w:t>
      </w:r>
    </w:p>
    <w:p>
      <w:pPr>
        <w:pStyle w:val="ListBullet"/>
      </w:pPr>
      <w:r>
        <w:t>Strong data clauses in the MSA/SOW specifying:</w:t>
      </w:r>
    </w:p>
    <w:p>
      <w:pPr>
        <w:pStyle w:val="ListBullet"/>
      </w:pPr>
      <w:r>
        <w:t>Data access rights.</w:t>
      </w:r>
    </w:p>
    <w:p>
      <w:pPr>
        <w:pStyle w:val="ListBullet"/>
      </w:pPr>
      <w:r>
        <w:t>Security and privacy standards.</w:t>
      </w:r>
    </w:p>
    <w:p>
      <w:pPr>
        <w:pStyle w:val="ListBullet"/>
      </w:pPr>
      <w:r>
        <w:t>Acceptable anonymization for benchmarks.</w:t>
      </w:r>
    </w:p>
    <w:p>
      <w:pPr>
        <w:pStyle w:val="ListBullet"/>
      </w:pPr>
      <w:r>
        <w:t>Clear explanation to customers of why data is needed and how it is protected.</w:t>
      </w:r>
    </w:p>
    <w:p>
      <w:pPr>
        <w:spacing w:after="120"/>
      </w:pPr>
      <w:r>
        <w:t>5) Incumbent pushback (e.g., from existing optimization tools)</w:t>
      </w:r>
    </w:p>
    <w:p>
      <w:pPr>
        <w:pStyle w:val="ListBullet"/>
      </w:pPr>
      <w:r>
        <w:t>Risk: Existing solutions (such as Trip Optimizer–type tools) might position RailVision as redundant or inferior.</w:t>
      </w:r>
    </w:p>
    <w:p>
      <w:pPr>
        <w:pStyle w:val="ListBullet"/>
      </w:pPr>
      <w:r>
        <w:t>Mitigation:</w:t>
      </w:r>
    </w:p>
    <w:p>
      <w:pPr>
        <w:pStyle w:val="ListBullet"/>
      </w:pPr>
      <w:r>
        <w:t>Position RailVision as a **low‑capex, fast time‑to‑value first step** toward efficiency.</w:t>
      </w:r>
    </w:p>
    <w:p>
      <w:pPr>
        <w:pStyle w:val="ListBullet"/>
      </w:pPr>
      <w:r>
        <w:t>Emphasize complementary, not necessarily substitutive, value.</w:t>
      </w:r>
    </w:p>
    <w:p>
      <w:pPr>
        <w:pStyle w:val="ListBullet"/>
      </w:pPr>
      <w:r>
        <w:t>Use early case data to demonstrate incremental benefit and ease of rollout.</w:t>
      </w:r>
    </w:p>
    <w:p>
      <w:pPr>
        <w:spacing w:after="120"/>
      </w:pPr>
      <w:r>
        <w:t>6) Over‑customization pressure</w:t>
      </w:r>
    </w:p>
    <w:p>
      <w:pPr>
        <w:pStyle w:val="ListBullet"/>
      </w:pPr>
      <w:r>
        <w:t>Risk: Holland or early customers may request extensive custom work, jeopardizing scalability.</w:t>
      </w:r>
    </w:p>
    <w:p>
      <w:pPr>
        <w:pStyle w:val="ListBullet"/>
      </w:pPr>
      <w:r>
        <w:t>Mitigation:</w:t>
      </w:r>
    </w:p>
    <w:p>
      <w:pPr>
        <w:pStyle w:val="ListBullet"/>
      </w:pPr>
      <w:r>
        <w:t>Use the standard POC kit and playbook as the default.</w:t>
      </w:r>
    </w:p>
    <w:p>
      <w:pPr>
        <w:pStyle w:val="ListBullet"/>
      </w:pPr>
      <w:r>
        <w:t>Channel custom requirements into clear tiers (config vs. feature request).</w:t>
      </w:r>
    </w:p>
    <w:p>
      <w:pPr>
        <w:pStyle w:val="ListBullet"/>
      </w:pPr>
      <w:r>
        <w:t>Require joint sign‑off for any large deviation from standard GTM.</w:t>
      </w:r>
    </w:p>
    <w:p>
      <w:pPr>
        <w:spacing w:after="120"/>
      </w:pPr>
      <w:r>
        <w:t>Risk monitoring</w:t>
      </w:r>
    </w:p>
    <w:p>
      <w:pPr>
        <w:pStyle w:val="ListBullet"/>
      </w:pPr>
      <w:r>
        <w:t>Include a "Risk Flags" section in the monthly partner report capturing:</w:t>
      </w:r>
    </w:p>
    <w:p>
      <w:pPr>
        <w:pStyle w:val="ListBullet"/>
      </w:pPr>
      <w:r>
        <w:t>Channel conflict signals.</w:t>
      </w:r>
    </w:p>
    <w:p>
      <w:pPr>
        <w:pStyle w:val="ListBullet"/>
      </w:pPr>
      <w:r>
        <w:t>Data access delays.</w:t>
      </w:r>
    </w:p>
    <w:p>
      <w:pPr>
        <w:pStyle w:val="ListBullet"/>
      </w:pPr>
      <w:r>
        <w:t>Messaging issues reported by crews.</w:t>
      </w:r>
    </w:p>
    <w:p>
      <w:pPr>
        <w:pStyle w:val="ListBullet"/>
      </w:pPr>
      <w:r>
        <w:t>Slippage against POC and contract targets.</w:t>
      </w:r>
    </w:p>
    <w:p>
      <w:pPr>
        <w:pStyle w:val="Heading1"/>
      </w:pPr>
      <w:r>
        <w:t>7. Operating Cadence and Governance</w:t>
      </w:r>
    </w:p>
    <w:p>
      <w:pPr>
        <w:spacing w:after="120"/>
      </w:pPr>
      <w:r>
        <w:t>Operating cadence</w:t>
      </w:r>
    </w:p>
    <w:p>
      <w:pPr>
        <w:pStyle w:val="ListBullet"/>
      </w:pPr>
      <w:r>
        <w:t>Weekly (30 minutes):</w:t>
      </w:r>
    </w:p>
    <w:p>
      <w:pPr>
        <w:pStyle w:val="ListBullet"/>
      </w:pPr>
      <w:r>
        <w:t>Joint pipeline and deal operations review.</w:t>
      </w:r>
    </w:p>
    <w:p>
      <w:pPr>
        <w:pStyle w:val="ListBullet"/>
      </w:pPr>
      <w:r>
        <w:t>Focus: stage progression, blockers, scheduling, and immediate next steps.</w:t>
      </w:r>
    </w:p>
    <w:p>
      <w:pPr>
        <w:pStyle w:val="ListBullet"/>
      </w:pPr>
      <w:r>
        <w:t>Monthly:</w:t>
      </w:r>
    </w:p>
    <w:p>
      <w:pPr>
        <w:pStyle w:val="ListBullet"/>
      </w:pPr>
      <w:r>
        <w:t>Enablement refresh and content updates (POC kit, messaging, FAQs).</w:t>
      </w:r>
    </w:p>
    <w:p>
      <w:pPr>
        <w:pStyle w:val="ListBullet"/>
      </w:pPr>
      <w:r>
        <w:t>Review of partner scorecard metrics for the month.</w:t>
      </w:r>
    </w:p>
    <w:p>
      <w:pPr>
        <w:pStyle w:val="ListBullet"/>
      </w:pPr>
      <w:r>
        <w:t>Quarterly (QBR):</w:t>
      </w:r>
    </w:p>
    <w:p>
      <w:pPr>
        <w:pStyle w:val="ListBullet"/>
      </w:pPr>
      <w:r>
        <w:t>Scorecard review vs. targets and 90‑day gates.</w:t>
      </w:r>
    </w:p>
    <w:p>
      <w:pPr>
        <w:pStyle w:val="ListBullet"/>
      </w:pPr>
      <w:r>
        <w:t>Decision on whether to:</w:t>
      </w:r>
    </w:p>
    <w:p>
      <w:pPr>
        <w:pStyle w:val="ListBullet"/>
      </w:pPr>
      <w:r>
        <w:t>Continue as is and raise targets.</w:t>
      </w:r>
    </w:p>
    <w:p>
      <w:pPr>
        <w:pStyle w:val="ListBullet"/>
      </w:pPr>
      <w:r>
        <w:t>Adjust scope, incentives, or focus accounts.</w:t>
      </w:r>
    </w:p>
    <w:p>
      <w:pPr>
        <w:pStyle w:val="ListBullet"/>
      </w:pPr>
      <w:r>
        <w:t>Pause or wind down if below thresholds.</w:t>
      </w:r>
    </w:p>
    <w:p>
      <w:pPr>
        <w:spacing w:after="120"/>
      </w:pPr>
      <w:r>
        <w:t>Governance roles</w:t>
      </w:r>
    </w:p>
    <w:p>
      <w:pPr>
        <w:pStyle w:val="ListBullet"/>
      </w:pPr>
      <w:r>
        <w:t>RailVision CSO</w:t>
      </w:r>
    </w:p>
    <w:p>
      <w:pPr>
        <w:pStyle w:val="ListBullet"/>
      </w:pPr>
      <w:r>
        <w:t>Overall owner of partner strategy, scorecard, and go/no‑go recommendations.</w:t>
      </w:r>
    </w:p>
    <w:p>
      <w:pPr>
        <w:pStyle w:val="ListBullet"/>
      </w:pPr>
      <w:r>
        <w:t>Sales leadership</w:t>
      </w:r>
    </w:p>
    <w:p>
      <w:pPr>
        <w:pStyle w:val="ListBullet"/>
      </w:pPr>
      <w:r>
        <w:t>Co‑lead on pipeline, forecasting, and resourcing.</w:t>
      </w:r>
    </w:p>
    <w:p>
      <w:pPr>
        <w:pStyle w:val="ListBullet"/>
      </w:pPr>
      <w:r>
        <w:t>Holland channel lead</w:t>
      </w:r>
    </w:p>
    <w:p>
      <w:pPr>
        <w:pStyle w:val="ListBullet"/>
      </w:pPr>
      <w:r>
        <w:t>Responsible for Holland intros, field resourcing, and adherence to messaging and data safeguards.</w:t>
      </w:r>
    </w:p>
    <w:p>
      <w:pPr>
        <w:spacing w:after="120"/>
      </w:pPr>
      <w:r>
        <w:t>Escalation paths</w:t>
      </w:r>
    </w:p>
    <w:p>
      <w:pPr>
        <w:pStyle w:val="ListBullet"/>
      </w:pPr>
      <w:r>
        <w:t>Day‑to‑day issues (e.g., deal friction, scheduling) escalated via weekly calls.</w:t>
      </w:r>
    </w:p>
    <w:p>
      <w:pPr>
        <w:pStyle w:val="ListBullet"/>
      </w:pPr>
      <w:r>
        <w:t>Structural issues (e.g., data access constraints, misalignment on territory or pricing) escalated to:</w:t>
      </w:r>
    </w:p>
    <w:p>
      <w:pPr>
        <w:pStyle w:val="ListBullet"/>
      </w:pPr>
      <w:r>
        <w:t>RailVision CSO and Sales leadership.</w:t>
      </w:r>
    </w:p>
    <w:p>
      <w:pPr>
        <w:pStyle w:val="ListBullet"/>
      </w:pPr>
      <w:r>
        <w:t>Holland channel lead and relevant executives.</w:t>
      </w:r>
    </w:p>
    <w:p>
      <w:pPr>
        <w:pStyle w:val="ListBullet"/>
      </w:pPr>
      <w:r>
        <w:t>Go/no‑go decisions at or after the 90‑day mark brought to RailVision’s senior leadership for final approval.</w:t>
      </w:r>
    </w:p>
    <w:p>
      <w:pPr>
        <w:pStyle w:val="Heading1"/>
      </w:pPr>
      <w:r>
        <w:t>Appendix A – Named‑Account Hypotheses (Working List)</w:t>
      </w:r>
    </w:p>
    <w:p>
      <w:pPr>
        <w:spacing w:after="120"/>
      </w:pPr>
      <w:r>
        <w:t>Purpose</w:t>
      </w:r>
    </w:p>
    <w:p>
      <w:pPr>
        <w:pStyle w:val="ListBullet"/>
      </w:pPr>
      <w:r>
        <w:t>Provide a working framework for prioritizing shortlines and regionals most likely to benefit from RailVision + Holland in the first 90 days.</w:t>
      </w:r>
    </w:p>
    <w:p>
      <w:pPr>
        <w:spacing w:after="120"/>
      </w:pPr>
      <w:r>
        <w:t>High‑fit shortline characteristics</w:t>
      </w:r>
    </w:p>
    <w:p>
      <w:pPr>
        <w:pStyle w:val="ListBullet"/>
      </w:pPr>
      <w:r>
        <w:t>Energy or aggregates focus, or other freight mixes with high throttle variability.</w:t>
      </w:r>
    </w:p>
    <w:p>
      <w:pPr>
        <w:pStyle w:val="ListBullet"/>
      </w:pPr>
      <w:r>
        <w:t>Existing relationships with Holland field teams.</w:t>
      </w:r>
    </w:p>
    <w:p>
      <w:pPr>
        <w:pStyle w:val="ListBullet"/>
      </w:pPr>
      <w:r>
        <w:t>Demonstrated openness to low‑capex tools and pilot projects.</w:t>
      </w:r>
    </w:p>
    <w:p>
      <w:pPr>
        <w:pStyle w:val="ListBullet"/>
      </w:pPr>
      <w:r>
        <w:t>Operational leaders who:</w:t>
      </w:r>
    </w:p>
    <w:p>
      <w:pPr>
        <w:pStyle w:val="ListBullet"/>
      </w:pPr>
      <w:r>
        <w:t>Are under fuel cost or on‑time performance pressure.</w:t>
      </w:r>
    </w:p>
    <w:p>
      <w:pPr>
        <w:pStyle w:val="ListBullet"/>
      </w:pPr>
      <w:r>
        <w:t>Have a track record of adopting new tools.</w:t>
      </w:r>
    </w:p>
    <w:p>
      <w:pPr>
        <w:spacing w:after="120"/>
      </w:pPr>
      <w:r>
        <w:t>Prioritization signals</w:t>
      </w:r>
    </w:p>
    <w:p>
      <w:pPr>
        <w:pStyle w:val="ListBullet"/>
      </w:pPr>
      <w:r>
        <w:t>Fuel exposure: large diesel spend and interest in fuel‑saving initiatives.</w:t>
      </w:r>
    </w:p>
    <w:p>
      <w:pPr>
        <w:pStyle w:val="ListBullet"/>
      </w:pPr>
      <w:r>
        <w:t>On‑time pressure: customers or regulators pushing on schedule adherence.</w:t>
      </w:r>
    </w:p>
    <w:p>
      <w:pPr>
        <w:pStyle w:val="ListBullet"/>
      </w:pPr>
      <w:r>
        <w:t>Safety culture: proactive, data‑driven safety programs already in place.</w:t>
      </w:r>
    </w:p>
    <w:p>
      <w:pPr>
        <w:pStyle w:val="ListBullet"/>
      </w:pPr>
      <w:r>
        <w:t>Pilot readiness: willingness to start on select routes or trains rather than full network.</w:t>
      </w:r>
    </w:p>
    <w:p>
      <w:pPr>
        <w:spacing w:after="120"/>
      </w:pPr>
      <w:r>
        <w:t>Working process</w:t>
      </w:r>
    </w:p>
    <w:p>
      <w:pPr>
        <w:pStyle w:val="ListBullet"/>
      </w:pPr>
      <w:r>
        <w:t>Start with 25 logos and refine over the first 4–6 weeks based on:</w:t>
      </w:r>
    </w:p>
    <w:p>
      <w:pPr>
        <w:pStyle w:val="ListBullet"/>
      </w:pPr>
      <w:r>
        <w:t>Intro success rate.</w:t>
      </w:r>
    </w:p>
    <w:p>
      <w:pPr>
        <w:pStyle w:val="ListBullet"/>
      </w:pPr>
      <w:r>
        <w:t>POC design conversations.</w:t>
      </w:r>
    </w:p>
    <w:p>
      <w:pPr>
        <w:pStyle w:val="ListBullet"/>
      </w:pPr>
      <w:r>
        <w:t>Early adoption behaviors.</w:t>
      </w:r>
    </w:p>
    <w:p>
      <w:pPr>
        <w:pStyle w:val="ListBullet"/>
      </w:pPr>
      <w:r>
        <w:t>Use the partner scorecard to tag each logo’s status (e.g., "intro", "POC in progress", "production", "on hold").</w:t>
      </w:r>
    </w:p>
    <w:p>
      <w:pPr>
        <w:pStyle w:val="Heading1"/>
      </w:pPr>
      <w:r>
        <w:t>Appendix B – Messaging Guardrails (Crew‑First)</w:t>
      </w:r>
    </w:p>
    <w:p>
      <w:pPr>
        <w:spacing w:after="120"/>
      </w:pPr>
      <w:r>
        <w:t>Crew‑first philosophy</w:t>
      </w:r>
    </w:p>
    <w:p>
      <w:pPr>
        <w:pStyle w:val="ListBullet"/>
      </w:pPr>
      <w:r>
        <w:t>The partnership will succeed only if engineers and crews see RailVision as a tool that supports their craft rather than judging or replacing it.</w:t>
      </w:r>
    </w:p>
    <w:p>
      <w:pPr>
        <w:spacing w:after="120"/>
      </w:pPr>
      <w:r>
        <w:t>Do say (examples)</w:t>
      </w:r>
    </w:p>
    <w:p>
      <w:pPr>
        <w:pStyle w:val="ListBullet"/>
      </w:pPr>
      <w:r>
        <w:t>“Helps you run smoother and reduce rework.”</w:t>
      </w:r>
    </w:p>
    <w:p>
      <w:pPr>
        <w:pStyle w:val="ListBullet"/>
      </w:pPr>
      <w:r>
        <w:t>“Gives you clearer visibility into your own savings and performance.”</w:t>
      </w:r>
    </w:p>
    <w:p>
      <w:pPr>
        <w:pStyle w:val="ListBullet"/>
      </w:pPr>
      <w:r>
        <w:t>“Cuts wasted fuel and helps you arrive more predictably.”</w:t>
      </w:r>
    </w:p>
    <w:p>
      <w:pPr>
        <w:pStyle w:val="ListBullet"/>
      </w:pPr>
      <w:r>
        <w:t>“Gives supervisors and crews a shared view of what’s working and what isn’t.”</w:t>
      </w:r>
    </w:p>
    <w:p>
      <w:pPr>
        <w:spacing w:after="120"/>
      </w:pPr>
      <w:r>
        <w:t>Don’t say (examples)</w:t>
      </w:r>
    </w:p>
    <w:p>
      <w:pPr>
        <w:pStyle w:val="ListBullet"/>
      </w:pPr>
      <w:r>
        <w:t>“Autopilot.”</w:t>
      </w:r>
    </w:p>
    <w:p>
      <w:pPr>
        <w:pStyle w:val="ListBullet"/>
      </w:pPr>
      <w:r>
        <w:t>“Surveillance.”</w:t>
      </w:r>
    </w:p>
    <w:p>
      <w:pPr>
        <w:pStyle w:val="ListBullet"/>
      </w:pPr>
      <w:r>
        <w:t>“Replace engineers” or anything implying loss of craft.</w:t>
      </w:r>
    </w:p>
    <w:p>
      <w:pPr>
        <w:pStyle w:val="ListBullet"/>
      </w:pPr>
      <w:r>
        <w:t>Any framing that suggests the system will overrule the engineer.</w:t>
      </w:r>
    </w:p>
    <w:p>
      <w:pPr>
        <w:spacing w:after="120"/>
      </w:pPr>
      <w:r>
        <w:t>Transparency standards</w:t>
      </w:r>
    </w:p>
    <w:p>
      <w:pPr>
        <w:pStyle w:val="ListBullet"/>
      </w:pPr>
      <w:r>
        <w:t>Be explicit about:</w:t>
      </w:r>
    </w:p>
    <w:p>
      <w:pPr>
        <w:pStyle w:val="ListBullet"/>
      </w:pPr>
      <w:r>
        <w:t>What data is collected (e.g., trip metrics, throttle/brake usage, schedule adherence, fuel data).</w:t>
      </w:r>
    </w:p>
    <w:p>
      <w:pPr>
        <w:pStyle w:val="ListBullet"/>
      </w:pPr>
      <w:r>
        <w:t>Why it is collected (to improve schedules, safety, and fuel efficiency).</w:t>
      </w:r>
    </w:p>
    <w:p>
      <w:pPr>
        <w:pStyle w:val="ListBullet"/>
      </w:pPr>
      <w:r>
        <w:t>How it is used, stored, and protected.</w:t>
      </w:r>
    </w:p>
    <w:p>
      <w:pPr>
        <w:pStyle w:val="ListBullet"/>
      </w:pPr>
      <w:r>
        <w:t>Encourage railroads to share these explanations openly with crews.</w:t>
      </w:r>
    </w:p>
    <w:p>
      <w:pPr>
        <w:spacing w:after="120"/>
      </w:pPr>
      <w:r>
        <w:t>Role of Holland field staff</w:t>
      </w:r>
    </w:p>
    <w:p>
      <w:pPr>
        <w:pStyle w:val="ListBullet"/>
      </w:pPr>
      <w:r>
        <w:t>Holland’s relationships with crews are an asset; to protect that trust:</w:t>
      </w:r>
    </w:p>
    <w:p>
      <w:pPr>
        <w:pStyle w:val="ListBullet"/>
      </w:pPr>
      <w:r>
        <w:t>Field staff should use the shared messaging guardrails.</w:t>
      </w:r>
    </w:p>
    <w:p>
      <w:pPr>
        <w:pStyle w:val="ListBullet"/>
      </w:pPr>
      <w:r>
        <w:t>Any new local materials should be reviewed for alignment.</w:t>
      </w:r>
    </w:p>
    <w:p>
      <w:pPr>
        <w:pStyle w:val="ListBullet"/>
      </w:pPr>
      <w:r>
        <w:t>Feedback from crews should be captured and relayed to RailVision to improve messaging and product fit.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