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ED" w:rsidRDefault="00C17DED">
      <w:pPr>
        <w:rPr>
          <w:rFonts w:ascii="Arial" w:hAnsi="Arial" w:cs="Arial"/>
        </w:rPr>
      </w:pPr>
      <w:r>
        <w:rPr>
          <w:rFonts w:ascii="Arial" w:hAnsi="Arial" w:cs="Arial"/>
          <w:b/>
        </w:rPr>
        <w:t>1.0 OBJETIVO:</w:t>
      </w:r>
      <w:r>
        <w:rPr>
          <w:rFonts w:ascii="Arial" w:hAnsi="Arial" w:cs="Arial"/>
        </w:rPr>
        <w:t xml:space="preserve">  </w:t>
      </w:r>
    </w:p>
    <w:p w:rsidR="00C17DED" w:rsidRDefault="00C17D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Describir los pasos para registrar, atender, dar seguimiento y solución a las quejas que presenten los clientes, derivadas de la prestación del servicio de transportación </w:t>
      </w:r>
      <w:r>
        <w:rPr>
          <w:rFonts w:ascii="Arial" w:hAnsi="Arial" w:cs="Arial"/>
          <w:bCs/>
        </w:rPr>
        <w:t>en su modalidad de camión completo, ya sea seco o refrigerado</w:t>
      </w:r>
      <w:r>
        <w:rPr>
          <w:rFonts w:ascii="Arial" w:hAnsi="Arial" w:cs="Arial"/>
        </w:rPr>
        <w:t>.</w:t>
      </w:r>
    </w:p>
    <w:p w:rsidR="00C17DED" w:rsidRDefault="00C17DED">
      <w:pPr>
        <w:rPr>
          <w:rFonts w:ascii="Arial" w:hAnsi="Arial" w:cs="Arial"/>
          <w:color w:val="000080"/>
        </w:rPr>
      </w:pPr>
      <w:bookmarkStart w:id="0" w:name="_GoBack"/>
      <w:bookmarkEnd w:id="0"/>
    </w:p>
    <w:p w:rsidR="00C17DED" w:rsidRDefault="00C17DED">
      <w:pPr>
        <w:rPr>
          <w:rFonts w:ascii="Arial" w:hAnsi="Arial" w:cs="Arial"/>
        </w:rPr>
      </w:pPr>
      <w:r>
        <w:rPr>
          <w:rFonts w:ascii="Arial" w:hAnsi="Arial" w:cs="Arial"/>
          <w:b/>
        </w:rPr>
        <w:t>2.0 ALCANCE:</w:t>
      </w:r>
      <w:r>
        <w:rPr>
          <w:rFonts w:ascii="Arial" w:hAnsi="Arial" w:cs="Arial"/>
        </w:rPr>
        <w:t xml:space="preserve">  </w:t>
      </w:r>
    </w:p>
    <w:p w:rsidR="00C17DED" w:rsidRDefault="00C17DED">
      <w:pPr>
        <w:pStyle w:val="Textoindependiente2"/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lang w:val="es-ES"/>
        </w:rPr>
        <w:t xml:space="preserve">Desde que el cliente  </w:t>
      </w:r>
      <w:r w:rsidR="00AB7038">
        <w:rPr>
          <w:rFonts w:ascii="Arial" w:hAnsi="Arial" w:cs="Arial"/>
          <w:lang w:val="es-ES"/>
        </w:rPr>
        <w:t xml:space="preserve">presenta la queja, </w:t>
      </w:r>
      <w:r>
        <w:rPr>
          <w:rFonts w:ascii="Arial" w:hAnsi="Arial" w:cs="Arial"/>
        </w:rPr>
        <w:t>el Coordinador de Calidad  presenta a la Dirección los resultados obtenidos del manejo de las quejas de los clientes</w:t>
      </w:r>
      <w:r>
        <w:rPr>
          <w:rFonts w:ascii="Arial" w:hAnsi="Arial" w:cs="Arial"/>
          <w:color w:val="FF0000"/>
          <w:lang w:val="es-ES"/>
        </w:rPr>
        <w:t>.</w:t>
      </w:r>
    </w:p>
    <w:p w:rsidR="00C17DED" w:rsidRDefault="00C17DED">
      <w:pPr>
        <w:rPr>
          <w:rFonts w:ascii="Arial" w:hAnsi="Arial" w:cs="Arial"/>
        </w:rPr>
      </w:pPr>
    </w:p>
    <w:p w:rsidR="00C17DED" w:rsidRDefault="00C17DED">
      <w:pPr>
        <w:rPr>
          <w:rFonts w:ascii="Arial" w:hAnsi="Arial" w:cs="Arial"/>
        </w:rPr>
      </w:pPr>
      <w:r>
        <w:rPr>
          <w:rFonts w:ascii="Arial" w:hAnsi="Arial" w:cs="Arial"/>
          <w:b/>
        </w:rPr>
        <w:t>3.0 CAMPO DE APLICACIÓN</w:t>
      </w:r>
      <w:r>
        <w:rPr>
          <w:rFonts w:ascii="Arial" w:hAnsi="Arial" w:cs="Arial"/>
        </w:rPr>
        <w:t xml:space="preserve">: </w:t>
      </w:r>
    </w:p>
    <w:p w:rsidR="00C17DED" w:rsidRDefault="00C17DE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Este procedimiento es aplicable a todas las quejas presentadas por los clientes, </w:t>
      </w:r>
      <w:r>
        <w:rPr>
          <w:rFonts w:ascii="Arial" w:hAnsi="Arial" w:cs="Arial"/>
        </w:rPr>
        <w:t xml:space="preserve">derivadas de la prestación del servicio de transportación </w:t>
      </w:r>
      <w:r>
        <w:rPr>
          <w:rFonts w:ascii="Arial" w:hAnsi="Arial" w:cs="Arial"/>
          <w:bCs/>
        </w:rPr>
        <w:t>en su modalidad de camión completo, ya sea seco o refrigerado.</w:t>
      </w:r>
    </w:p>
    <w:p w:rsidR="00C17DED" w:rsidRDefault="00C17DED">
      <w:pPr>
        <w:rPr>
          <w:rFonts w:ascii="Arial" w:hAnsi="Arial" w:cs="Arial"/>
          <w:b/>
        </w:rPr>
      </w:pPr>
    </w:p>
    <w:p w:rsidR="00C17DED" w:rsidRDefault="00C17D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4.0 RESPONSABILIDADES: </w:t>
      </w:r>
    </w:p>
    <w:p w:rsidR="00C17DED" w:rsidRDefault="00C17D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responsabilidad del Coordinador de </w:t>
      </w:r>
      <w:r w:rsidR="00014060">
        <w:rPr>
          <w:rFonts w:ascii="Arial" w:hAnsi="Arial" w:cs="Arial"/>
        </w:rPr>
        <w:t>Calidad,</w:t>
      </w:r>
      <w:r>
        <w:rPr>
          <w:rFonts w:ascii="Arial" w:hAnsi="Arial" w:cs="Arial"/>
        </w:rPr>
        <w:t xml:space="preserve"> llevar a cabo el presente procedimiento tal y como esta estipulado.</w:t>
      </w:r>
    </w:p>
    <w:p w:rsidR="00C17DED" w:rsidRDefault="00C17D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responsabilidad del Coordinador de Calidad, asegurarse que todas las quejas presentadas por lo clientes sean subsanadas adecuadamente.</w:t>
      </w:r>
    </w:p>
    <w:p w:rsidR="00C17DED" w:rsidRDefault="00C17D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responsabilidad del Gerente de Logística y de los ejecutivos de servicio el enviar las quejas a la </w:t>
      </w:r>
      <w:r w:rsidR="00C47AD2">
        <w:rPr>
          <w:rFonts w:ascii="Arial" w:hAnsi="Arial" w:cs="Arial"/>
        </w:rPr>
        <w:t>Coordinación de Calidad</w:t>
      </w:r>
      <w:r>
        <w:rPr>
          <w:rFonts w:ascii="Arial" w:hAnsi="Arial" w:cs="Arial"/>
        </w:rPr>
        <w:t xml:space="preserve"> en caso de recibir alguna.</w:t>
      </w:r>
    </w:p>
    <w:p w:rsidR="00C17DED" w:rsidRDefault="00C17D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responsabilidad del  Director de Transporte y del Gerente de Ventas Cuentas Nacionales el dar seguimiento al tratamiento de las quejas.</w:t>
      </w:r>
    </w:p>
    <w:p w:rsidR="00C17DED" w:rsidRDefault="00C17DED">
      <w:pPr>
        <w:rPr>
          <w:rFonts w:ascii="Arial" w:hAnsi="Arial" w:cs="Arial"/>
          <w:b/>
        </w:rPr>
      </w:pPr>
    </w:p>
    <w:p w:rsidR="00C17DED" w:rsidRDefault="00C17D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5.0 REFERENCIAS:</w:t>
      </w:r>
    </w:p>
    <w:p w:rsidR="00C17DED" w:rsidRDefault="00C17DE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Informe de la medición de la satisfacción del cliente.</w:t>
      </w:r>
    </w:p>
    <w:p w:rsidR="00C17DED" w:rsidRDefault="00C17DE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 de carpeta de planes de acción.</w:t>
      </w:r>
    </w:p>
    <w:p w:rsidR="00C17DED" w:rsidRDefault="00C17DED">
      <w:pPr>
        <w:rPr>
          <w:rFonts w:ascii="Arial" w:hAnsi="Arial" w:cs="Arial"/>
        </w:rPr>
      </w:pPr>
    </w:p>
    <w:p w:rsidR="00C17DED" w:rsidRDefault="00C17D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6.0 DEFINICIONES:</w:t>
      </w:r>
    </w:p>
    <w:p w:rsidR="00C17DED" w:rsidRDefault="00C17DED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Canales de comunicación para presentar una queja: línea telefónica 01-800 y correo electrónico.</w:t>
      </w:r>
    </w:p>
    <w:p w:rsidR="00C17DED" w:rsidRDefault="00C17DED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Queja grave: Pérdida de la mercancía, descomposición de cárnicos y mercancía dañada, queja reiterativa.</w:t>
      </w:r>
    </w:p>
    <w:p w:rsidR="00C17DED" w:rsidRDefault="00C17DED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Queja no grave: inadecuada presentación del personal, incumplimiento de señales de tránsito, exceso de ruido, etc.  </w:t>
      </w:r>
    </w:p>
    <w:p w:rsidR="00C17DED" w:rsidRDefault="00C17DED">
      <w:pPr>
        <w:jc w:val="both"/>
        <w:rPr>
          <w:rFonts w:ascii="Arial" w:hAnsi="Arial" w:cs="Arial"/>
        </w:rPr>
      </w:pPr>
    </w:p>
    <w:p w:rsidR="00C17DED" w:rsidRDefault="00C17D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7.0 DESARROLLO: </w:t>
      </w:r>
    </w:p>
    <w:p w:rsidR="00C17DED" w:rsidRDefault="00C17DED">
      <w:pPr>
        <w:pStyle w:val="Sangra3detindependiente"/>
        <w:numPr>
          <w:ilvl w:val="1"/>
          <w:numId w:val="2"/>
        </w:numPr>
        <w:tabs>
          <w:tab w:val="left" w:pos="1440"/>
        </w:tabs>
        <w:ind w:hanging="720"/>
      </w:pPr>
      <w:r>
        <w:t xml:space="preserve">Una vez que el cliente presenta la queja, el Encargado </w:t>
      </w:r>
      <w:r w:rsidR="00AB7038">
        <w:t>de Calidad</w:t>
      </w:r>
      <w:r>
        <w:t xml:space="preserve"> procede a documentarla</w:t>
      </w:r>
      <w:r w:rsidR="00AB7038">
        <w:t>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 la queja presentada por el cliente, es considera</w:t>
      </w:r>
      <w:r w:rsidR="004210BA">
        <w:rPr>
          <w:rFonts w:ascii="Arial" w:hAnsi="Arial" w:cs="Arial"/>
        </w:rPr>
        <w:t xml:space="preserve">da como grave, </w:t>
      </w:r>
      <w:r w:rsidR="00FB55A5">
        <w:rPr>
          <w:rFonts w:ascii="Arial" w:hAnsi="Arial" w:cs="Arial"/>
        </w:rPr>
        <w:t xml:space="preserve"> y é</w:t>
      </w:r>
      <w:r>
        <w:rPr>
          <w:rFonts w:ascii="Arial" w:hAnsi="Arial" w:cs="Arial"/>
        </w:rPr>
        <w:t>ste es un cliente local, el Director de Transporte</w:t>
      </w:r>
      <w:r w:rsidR="0042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y/o el Gerente </w:t>
      </w:r>
      <w:r>
        <w:rPr>
          <w:rFonts w:ascii="Arial" w:hAnsi="Arial" w:cs="Arial"/>
        </w:rPr>
        <w:lastRenderedPageBreak/>
        <w:t>de Ventas procederá a realizar una visita para tratar la queja de manera directa, informando de los resultados al  Coordinador de Calidad, para que le de seguimiento.</w:t>
      </w:r>
    </w:p>
    <w:p w:rsidR="00C17DED" w:rsidRDefault="00361559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 la</w:t>
      </w:r>
      <w:r w:rsidR="00C17DED">
        <w:rPr>
          <w:rFonts w:ascii="Arial" w:hAnsi="Arial" w:cs="Arial"/>
        </w:rPr>
        <w:t xml:space="preserve"> queja no es grave, se le da el tratamiento telefónicamente con el clien</w:t>
      </w:r>
      <w:r w:rsidR="00E36891">
        <w:rPr>
          <w:rFonts w:ascii="Arial" w:hAnsi="Arial" w:cs="Arial"/>
        </w:rPr>
        <w:t xml:space="preserve">te, desde la base en Hermosillo, </w:t>
      </w:r>
      <w:r w:rsidR="00C17DED">
        <w:rPr>
          <w:rFonts w:ascii="Arial" w:hAnsi="Arial" w:cs="Arial"/>
        </w:rPr>
        <w:t>con la finalidad de recabar la información pertinente.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 canaliza al encargado del área donde se presentó la queja.</w:t>
      </w:r>
    </w:p>
    <w:p w:rsidR="00361559" w:rsidRDefault="00361559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área responsable analiza la queja para definir los siguientes puntos: La causa, asignar responsable de su tratamiento, acciones a implementar y fechas compromiso.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área</w:t>
      </w:r>
      <w:r w:rsidR="00E36891">
        <w:rPr>
          <w:rFonts w:ascii="Arial" w:hAnsi="Arial" w:cs="Arial"/>
        </w:rPr>
        <w:t xml:space="preserve"> de Calidad y personal</w:t>
      </w:r>
      <w:r>
        <w:rPr>
          <w:rFonts w:ascii="Arial" w:hAnsi="Arial" w:cs="Arial"/>
        </w:rPr>
        <w:t xml:space="preserve"> responsable analiza la queja para definir si procede como tal o no. Si la queja presentada no procede como tal, se le informa al cliente las razones de la decisión. Ejemplo: Demoras por clima, carretera cerrada, retén y tráfico en carretera y/o ciudad destino.</w:t>
      </w:r>
      <w:r w:rsidR="00361559">
        <w:rPr>
          <w:rFonts w:ascii="Arial" w:hAnsi="Arial" w:cs="Arial"/>
        </w:rPr>
        <w:t xml:space="preserve"> 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documenta el punto anterior en el formato </w:t>
      </w:r>
      <w:r w:rsidR="0032523C">
        <w:rPr>
          <w:rFonts w:ascii="Arial" w:hAnsi="Arial" w:cs="Arial"/>
        </w:rPr>
        <w:t>“</w:t>
      </w:r>
      <w:r w:rsidR="00877BF9">
        <w:rPr>
          <w:rFonts w:ascii="Arial" w:hAnsi="Arial" w:cs="Arial"/>
        </w:rPr>
        <w:t>Planes de Acción</w:t>
      </w:r>
      <w:r>
        <w:rPr>
          <w:rFonts w:ascii="Arial" w:hAnsi="Arial" w:cs="Arial"/>
        </w:rPr>
        <w:t>”.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 procede a integrar el expediente de la queja, con base en el anexo 1, “</w:t>
      </w:r>
      <w:r>
        <w:rPr>
          <w:rFonts w:ascii="Arial" w:hAnsi="Arial" w:cs="Arial"/>
          <w:bCs/>
        </w:rPr>
        <w:t>Relación de datos para integrar un expediente de una queja”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Se comunica al cliente las acciones o posibles acciones a tomar.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 el cliente acepta la propuesta se procede a su desarrollo. En caso contrario, se lleva a cabo una negociación con el cliente, de la cual, el Gerente de Logística y/o Gerente de Ventas serán responsables, y esta se realizará hasta no obtener el visto bueno del cliente.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 procede al desarrollo de las acciones definidas.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Los responsables designados le darán seguimiento a las acciones presentadas al cliente.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día en que se cumpla el plazo para la resolución de l</w:t>
      </w:r>
      <w:r w:rsidR="00E36891">
        <w:rPr>
          <w:rFonts w:ascii="Arial" w:hAnsi="Arial" w:cs="Arial"/>
        </w:rPr>
        <w:t>a queja, Coordinador de Calidad</w:t>
      </w:r>
      <w:r>
        <w:rPr>
          <w:rFonts w:ascii="Arial" w:hAnsi="Arial" w:cs="Arial"/>
        </w:rPr>
        <w:t xml:space="preserve"> verificará con el cliente, que las acciones tomadas hayan resuelto satisfactoriamente el problema.</w:t>
      </w:r>
    </w:p>
    <w:p w:rsidR="00C17DED" w:rsidRDefault="00C17DED">
      <w:pPr>
        <w:numPr>
          <w:ilvl w:val="1"/>
          <w:numId w:val="2"/>
        </w:numPr>
        <w:tabs>
          <w:tab w:val="left" w:pos="144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no ser así, o que no se haya terminado de implementar las acciones correctivas con las cuales se comprometió el responsable, se tomará registro en el formato de </w:t>
      </w:r>
      <w:r w:rsidR="00CB6CD7">
        <w:rPr>
          <w:rFonts w:ascii="Arial" w:hAnsi="Arial" w:cs="Arial"/>
        </w:rPr>
        <w:t xml:space="preserve"> </w:t>
      </w:r>
      <w:r w:rsidR="0032523C">
        <w:rPr>
          <w:rFonts w:ascii="Arial" w:hAnsi="Arial" w:cs="Arial"/>
        </w:rPr>
        <w:t>“</w:t>
      </w:r>
      <w:r w:rsidR="00CB6CD7">
        <w:rPr>
          <w:rFonts w:ascii="Arial" w:hAnsi="Arial" w:cs="Arial"/>
        </w:rPr>
        <w:t>Planes de Acción</w:t>
      </w:r>
      <w:r>
        <w:rPr>
          <w:rFonts w:ascii="Arial" w:hAnsi="Arial" w:cs="Arial"/>
        </w:rPr>
        <w:t>” y procederá a informar a la Dirección de transporte.</w:t>
      </w:r>
    </w:p>
    <w:p w:rsidR="00C17DED" w:rsidRDefault="00C17DED">
      <w:pPr>
        <w:rPr>
          <w:sz w:val="16"/>
        </w:rPr>
      </w:pPr>
    </w:p>
    <w:p w:rsidR="00C17DED" w:rsidRDefault="00C47A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C17DED">
        <w:rPr>
          <w:rFonts w:ascii="Arial" w:hAnsi="Arial" w:cs="Arial"/>
          <w:b/>
        </w:rPr>
        <w:t>.0 FORMATOS:</w:t>
      </w:r>
    </w:p>
    <w:p w:rsidR="00C17DED" w:rsidRDefault="00C17DED">
      <w:pPr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  <w:r w:rsidR="00E36891">
        <w:rPr>
          <w:rFonts w:ascii="Arial" w:hAnsi="Arial" w:cs="Arial"/>
          <w:bCs/>
        </w:rPr>
        <w:t xml:space="preserve">Plan de </w:t>
      </w:r>
      <w:r w:rsidR="00C93962">
        <w:rPr>
          <w:rFonts w:ascii="Arial" w:hAnsi="Arial" w:cs="Arial"/>
          <w:bCs/>
        </w:rPr>
        <w:t>Acción</w:t>
      </w:r>
    </w:p>
    <w:p w:rsidR="00C93962" w:rsidRDefault="00C93962">
      <w:pPr>
        <w:ind w:firstLine="708"/>
        <w:jc w:val="both"/>
        <w:rPr>
          <w:rFonts w:ascii="Arial" w:hAnsi="Arial" w:cs="Arial"/>
          <w:bCs/>
        </w:rPr>
      </w:pPr>
    </w:p>
    <w:p w:rsidR="00C93962" w:rsidRDefault="00C17D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10.0 REGISTROS DE CALIDAD:</w:t>
      </w:r>
    </w:p>
    <w:p w:rsidR="00C17DED" w:rsidRPr="00C93962" w:rsidRDefault="00C17D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lastRenderedPageBreak/>
        <w:t>Véase lista maestra de registros de calidad</w:t>
      </w:r>
      <w:r>
        <w:rPr>
          <w:rStyle w:val="Refdenotaalpie"/>
          <w:rFonts w:ascii="Arial" w:hAnsi="Arial" w:cs="Arial"/>
          <w:bCs/>
        </w:rPr>
        <w:footnoteReference w:customMarkFollows="1" w:id="1"/>
        <w:t>1</w:t>
      </w:r>
      <w:r>
        <w:rPr>
          <w:rFonts w:ascii="Arial" w:hAnsi="Arial" w:cs="Arial"/>
          <w:bCs/>
        </w:rPr>
        <w:t>.</w:t>
      </w:r>
    </w:p>
    <w:p w:rsidR="00C17DED" w:rsidRDefault="00C17DED">
      <w:pPr>
        <w:pStyle w:val="Textoindependiente2"/>
        <w:rPr>
          <w:rFonts w:ascii="Arial" w:hAnsi="Arial" w:cs="Arial"/>
          <w:sz w:val="20"/>
          <w:lang w:val="es-ES"/>
        </w:rPr>
      </w:pPr>
    </w:p>
    <w:p w:rsidR="00C17DED" w:rsidRDefault="00C17D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11.0 ANEXOS.</w:t>
      </w:r>
    </w:p>
    <w:p w:rsidR="00C17DED" w:rsidRDefault="00C17DED">
      <w:pPr>
        <w:pStyle w:val="Encabezado"/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ANEXO 1: Relación de datos para integrar un expediente de una queja</w:t>
      </w:r>
    </w:p>
    <w:p w:rsidR="00C17DED" w:rsidRDefault="00C17DED">
      <w:pPr>
        <w:pStyle w:val="Encabezado"/>
        <w:jc w:val="both"/>
        <w:rPr>
          <w:rFonts w:ascii="Arial" w:hAnsi="Arial" w:cs="Arial"/>
          <w:bCs/>
        </w:rPr>
      </w:pPr>
    </w:p>
    <w:p w:rsidR="00C17DED" w:rsidRDefault="00C17DED">
      <w:pPr>
        <w:pStyle w:val="Encabezado"/>
        <w:jc w:val="both"/>
        <w:rPr>
          <w:rFonts w:ascii="Arial" w:hAnsi="Arial" w:cs="Arial"/>
          <w:bCs/>
        </w:rPr>
      </w:pPr>
    </w:p>
    <w:p w:rsidR="00C17DED" w:rsidRDefault="00C17DED">
      <w:pPr>
        <w:pStyle w:val="Encabezado"/>
        <w:rPr>
          <w:rFonts w:ascii="Arial" w:hAnsi="Arial" w:cs="Arial"/>
          <w:b/>
        </w:rPr>
      </w:pPr>
    </w:p>
    <w:p w:rsidR="00C17DED" w:rsidRDefault="00C17DED">
      <w:pPr>
        <w:pStyle w:val="Encabezado"/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ANEXO 1:</w:t>
      </w:r>
    </w:p>
    <w:p w:rsidR="00C17DED" w:rsidRDefault="00C17DED">
      <w:pPr>
        <w:pStyle w:val="Encabezado"/>
        <w:numPr>
          <w:ilvl w:val="0"/>
          <w:numId w:val="3"/>
        </w:numPr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28"/>
        </w:rPr>
        <w:t xml:space="preserve">RELACIÓN DE DATOS PARA INTEGRAR EL EXPEDIENTE DE UNA QUEJA </w:t>
      </w:r>
    </w:p>
    <w:p w:rsidR="00C17DED" w:rsidRDefault="00C17DED">
      <w:pPr>
        <w:autoSpaceDE w:val="0"/>
        <w:autoSpaceDN w:val="0"/>
        <w:adjustRightInd w:val="0"/>
        <w:ind w:left="360"/>
        <w:rPr>
          <w:rFonts w:ascii="Arial" w:hAnsi="Arial" w:cs="Arial"/>
          <w:lang w:val="es-MX"/>
        </w:rPr>
      </w:pPr>
    </w:p>
    <w:p w:rsidR="00C17DED" w:rsidRDefault="00C17DED">
      <w:pPr>
        <w:autoSpaceDE w:val="0"/>
        <w:autoSpaceDN w:val="0"/>
        <w:adjustRightInd w:val="0"/>
        <w:ind w:left="360"/>
        <w:rPr>
          <w:rFonts w:ascii="Arial" w:hAnsi="Arial" w:cs="Arial"/>
          <w:lang w:val="es-MX"/>
        </w:rPr>
      </w:pPr>
    </w:p>
    <w:p w:rsidR="00C17DED" w:rsidRDefault="00C17DED" w:rsidP="0032523C">
      <w:pPr>
        <w:autoSpaceDE w:val="0"/>
        <w:autoSpaceDN w:val="0"/>
        <w:adjustRightInd w:val="0"/>
        <w:ind w:left="10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C17DED" w:rsidRDefault="00C17DED">
      <w:pPr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Copia del registrador de temperatura (si aplica)</w:t>
      </w:r>
    </w:p>
    <w:p w:rsidR="00C17DED" w:rsidRDefault="00C17DED">
      <w:pPr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 de acción (si aplica)</w:t>
      </w:r>
    </w:p>
    <w:p w:rsidR="00C17DED" w:rsidRDefault="00C17DED">
      <w:pPr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Formato de camión completo (si aplica) E-mail entre cliente y Transportes Pitic (si aplica)</w:t>
      </w:r>
    </w:p>
    <w:p w:rsidR="00C17DED" w:rsidRDefault="00C17DED">
      <w:pPr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Fotos del producto si están disponibles </w:t>
      </w:r>
    </w:p>
    <w:p w:rsidR="00793863" w:rsidRDefault="00793863">
      <w:pPr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Historial de Posiciones ( Si aplica)</w:t>
      </w:r>
    </w:p>
    <w:p w:rsidR="00C17DED" w:rsidRDefault="00C17DED">
      <w:pPr>
        <w:autoSpaceDE w:val="0"/>
        <w:autoSpaceDN w:val="0"/>
        <w:adjustRightInd w:val="0"/>
        <w:rPr>
          <w:rFonts w:ascii="Arial" w:hAnsi="Arial" w:cs="Arial"/>
          <w:lang w:val="es-MX"/>
        </w:rPr>
      </w:pPr>
    </w:p>
    <w:p w:rsidR="00C17DED" w:rsidRDefault="00C17DED">
      <w:pPr>
        <w:autoSpaceDE w:val="0"/>
        <w:autoSpaceDN w:val="0"/>
        <w:adjustRightInd w:val="0"/>
        <w:rPr>
          <w:rFonts w:ascii="Arial" w:hAnsi="Arial" w:cs="Arial"/>
          <w:lang w:val="es-MX"/>
        </w:rPr>
      </w:pPr>
    </w:p>
    <w:p w:rsidR="00C17DED" w:rsidRDefault="00C17DED">
      <w:pPr>
        <w:autoSpaceDE w:val="0"/>
        <w:autoSpaceDN w:val="0"/>
        <w:adjustRightInd w:val="0"/>
        <w:rPr>
          <w:rFonts w:ascii="Arial" w:hAnsi="Arial" w:cs="Arial"/>
          <w:lang w:val="es-MX"/>
        </w:rPr>
      </w:pPr>
    </w:p>
    <w:p w:rsidR="00C17DED" w:rsidRPr="00793863" w:rsidRDefault="00C17DED">
      <w:pPr>
        <w:rPr>
          <w:color w:val="FF0000"/>
          <w:lang w:val="es-MX"/>
        </w:rPr>
      </w:pPr>
    </w:p>
    <w:sectPr w:rsidR="00C17DED" w:rsidRPr="0079386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F9" w:rsidRDefault="00A705F9">
      <w:r>
        <w:separator/>
      </w:r>
    </w:p>
  </w:endnote>
  <w:endnote w:type="continuationSeparator" w:id="0">
    <w:p w:rsidR="00A705F9" w:rsidRDefault="00A7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DED" w:rsidRPr="00361559" w:rsidRDefault="00C17DED">
    <w:pPr>
      <w:pStyle w:val="Piedepgina"/>
      <w:rPr>
        <w:rFonts w:ascii="Arial" w:hAnsi="Arial" w:cs="Arial"/>
        <w:sz w:val="14"/>
        <w:lang w:val="en-GB"/>
      </w:rPr>
    </w:pPr>
    <w:r>
      <w:rPr>
        <w:rFonts w:ascii="Arial" w:hAnsi="Arial" w:cs="Arial"/>
        <w:sz w:val="14"/>
        <w:lang w:val="en-GB"/>
      </w:rPr>
      <w:t xml:space="preserve">DT/CAL PROC 20 </w:t>
    </w:r>
    <w:r w:rsidR="00014060">
      <w:rPr>
        <w:rFonts w:ascii="Arial" w:hAnsi="Arial" w:cs="Arial"/>
        <w:sz w:val="14"/>
        <w:lang w:val="en-GB"/>
      </w:rPr>
      <w:t>REV.</w:t>
    </w:r>
    <w:r w:rsidR="00361559">
      <w:rPr>
        <w:rFonts w:ascii="Arial" w:hAnsi="Arial" w:cs="Arial"/>
        <w:sz w:val="14"/>
        <w:lang w:val="en-GB"/>
      </w:rPr>
      <w:t>9</w:t>
    </w:r>
    <w:r w:rsidR="00014060">
      <w:rPr>
        <w:rFonts w:ascii="Arial" w:hAnsi="Arial" w:cs="Arial"/>
        <w:sz w:val="14"/>
        <w:lang w:val="en-GB"/>
      </w:rPr>
      <w:t xml:space="preserve"> /</w:t>
    </w:r>
    <w:r w:rsidR="00361559">
      <w:rPr>
        <w:rFonts w:ascii="Arial" w:hAnsi="Arial" w:cs="Arial"/>
        <w:sz w:val="14"/>
        <w:lang w:val="en-GB"/>
      </w:rPr>
      <w:t xml:space="preserve"> 03-16</w:t>
    </w:r>
    <w:r>
      <w:rPr>
        <w:rFonts w:ascii="Arial" w:hAnsi="Arial" w:cs="Arial"/>
        <w:sz w:val="14"/>
        <w:lang w:val="en-GB"/>
      </w:rPr>
      <w:tab/>
    </w:r>
    <w:r>
      <w:rPr>
        <w:rFonts w:ascii="Arial" w:hAnsi="Arial" w:cs="Arial"/>
        <w:sz w:val="14"/>
        <w:lang w:val="en-GB"/>
      </w:rPr>
      <w:tab/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2C4198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DE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 w:rsidR="002C4198">
      <w:rPr>
        <w:rStyle w:val="Nmerodepgina"/>
        <w:noProof/>
        <w:sz w:val="16"/>
      </w:rPr>
      <w:t>3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F9" w:rsidRDefault="00A705F9">
      <w:r>
        <w:separator/>
      </w:r>
    </w:p>
  </w:footnote>
  <w:footnote w:type="continuationSeparator" w:id="0">
    <w:p w:rsidR="00A705F9" w:rsidRDefault="00A705F9">
      <w:r>
        <w:continuationSeparator/>
      </w:r>
    </w:p>
  </w:footnote>
  <w:footnote w:id="1">
    <w:p w:rsidR="00C17DED" w:rsidRDefault="00C17DED">
      <w:pPr>
        <w:pStyle w:val="Textonotapie"/>
        <w:rPr>
          <w:lang w:val="en-GB"/>
        </w:rPr>
      </w:pPr>
      <w:r>
        <w:rPr>
          <w:lang w:val="en-GB"/>
        </w:rPr>
        <w:t>1 DT/CAL ISO 19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CellSpacing w:w="20" w:type="dxa"/>
      <w:tblInd w:w="-40" w:type="dxa"/>
      <w:tblBorders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  <w:insideH w:val="outset" w:sz="12" w:space="0" w:color="auto"/>
        <w:insideV w:val="outset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669"/>
      <w:gridCol w:w="1891"/>
    </w:tblGrid>
    <w:tr w:rsidR="00C17DED">
      <w:trPr>
        <w:cantSplit/>
        <w:trHeight w:val="616"/>
        <w:tblCellSpacing w:w="20" w:type="dxa"/>
      </w:trPr>
      <w:tc>
        <w:tcPr>
          <w:tcW w:w="2460" w:type="dxa"/>
          <w:vMerge w:val="restart"/>
          <w:vAlign w:val="center"/>
        </w:tcPr>
        <w:p w:rsidR="00C17DED" w:rsidRDefault="002C4198">
          <w:pPr>
            <w:pStyle w:val="Ttulo2"/>
            <w:jc w:val="both"/>
            <w:rPr>
              <w:rFonts w:ascii="Bookman Old Style" w:hAnsi="Bookman Old Style"/>
              <w:sz w:val="20"/>
            </w:rPr>
          </w:pPr>
          <w:r>
            <w:fldChar w:fldCharType="begin"/>
          </w:r>
          <w:r>
            <w:instrText xml:space="preserve"> INCLUDEPICTURE "http://transportespitic.com/imagenes/logPitic.PNG" \* MERGEFORMATINET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" style="width:111.75pt;height:38.25pt">
                <v:imagedata r:id="rId1" r:href="rId2"/>
              </v:shape>
            </w:pict>
          </w:r>
          <w:r>
            <w:fldChar w:fldCharType="end"/>
          </w:r>
        </w:p>
      </w:tc>
      <w:tc>
        <w:tcPr>
          <w:tcW w:w="5629" w:type="dxa"/>
          <w:vAlign w:val="center"/>
        </w:tcPr>
        <w:p w:rsidR="00C17DED" w:rsidRDefault="00C17DED">
          <w:pPr>
            <w:pStyle w:val="Ttulo2"/>
            <w:jc w:val="center"/>
            <w:rPr>
              <w:rFonts w:ascii="Bookman Old Style" w:hAnsi="Bookman Old Style"/>
              <w:shadow/>
              <w:sz w:val="28"/>
            </w:rPr>
          </w:pPr>
          <w:r>
            <w:rPr>
              <w:rFonts w:ascii="Bookman Old Style" w:hAnsi="Bookman Old Style"/>
              <w:shadow/>
              <w:sz w:val="28"/>
            </w:rPr>
            <w:t>TRANSPORTES PITIC</w:t>
          </w:r>
        </w:p>
        <w:p w:rsidR="00C17DED" w:rsidRDefault="00C17DED">
          <w:pPr>
            <w:pStyle w:val="Ttulo2"/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  <w:shadow/>
              <w:sz w:val="28"/>
            </w:rPr>
            <w:t>S. A DE C. V.</w:t>
          </w:r>
        </w:p>
      </w:tc>
      <w:tc>
        <w:tcPr>
          <w:tcW w:w="1831" w:type="dxa"/>
          <w:vAlign w:val="center"/>
        </w:tcPr>
        <w:p w:rsidR="00C17DED" w:rsidRDefault="00C17DED">
          <w:pPr>
            <w:jc w:val="center"/>
            <w:rPr>
              <w:rFonts w:ascii="Bookman Old Style" w:hAnsi="Bookman Old Style" w:cs="Arial"/>
              <w:b/>
              <w:sz w:val="18"/>
              <w:szCs w:val="20"/>
              <w:lang w:val="es-MX"/>
            </w:rPr>
          </w:pPr>
        </w:p>
        <w:p w:rsidR="00C17DED" w:rsidRPr="00014060" w:rsidRDefault="00C17DED">
          <w:pPr>
            <w:jc w:val="center"/>
            <w:rPr>
              <w:rFonts w:ascii="Bookman Old Style" w:hAnsi="Bookman Old Style" w:cs="Arial"/>
              <w:bCs/>
              <w:sz w:val="18"/>
              <w:szCs w:val="20"/>
            </w:rPr>
          </w:pPr>
          <w:r>
            <w:rPr>
              <w:rFonts w:ascii="Bookman Old Style" w:hAnsi="Bookman Old Style" w:cs="Arial"/>
              <w:b/>
              <w:sz w:val="18"/>
              <w:szCs w:val="20"/>
              <w:lang w:val="es-MX"/>
            </w:rPr>
            <w:t>REVISÓ:</w:t>
          </w:r>
          <w:r w:rsidR="005C74E6">
            <w:rPr>
              <w:rFonts w:ascii="Bookman Old Style" w:hAnsi="Bookman Old Style" w:cs="Arial"/>
              <w:b/>
              <w:sz w:val="18"/>
              <w:szCs w:val="20"/>
              <w:lang w:val="es-MX"/>
            </w:rPr>
            <w:t xml:space="preserve"> </w:t>
          </w:r>
          <w:r w:rsidRPr="00014060">
            <w:rPr>
              <w:rFonts w:ascii="Bookman Old Style" w:hAnsi="Bookman Old Style" w:cs="Arial"/>
              <w:bCs/>
              <w:sz w:val="18"/>
              <w:szCs w:val="20"/>
            </w:rPr>
            <w:t>A.A.L.S.</w:t>
          </w:r>
        </w:p>
        <w:p w:rsidR="00C17DED" w:rsidRDefault="00C17DED">
          <w:pPr>
            <w:jc w:val="center"/>
            <w:rPr>
              <w:rFonts w:ascii="Bookman Old Style" w:hAnsi="Bookman Old Style" w:cs="Arial"/>
              <w:bCs/>
              <w:sz w:val="18"/>
              <w:szCs w:val="20"/>
              <w:lang w:val="en-GB"/>
            </w:rPr>
          </w:pPr>
          <w:r>
            <w:rPr>
              <w:rFonts w:ascii="Bookman Old Style" w:hAnsi="Bookman Old Style" w:cs="Arial"/>
              <w:bCs/>
              <w:sz w:val="18"/>
              <w:szCs w:val="20"/>
              <w:lang w:val="en-GB"/>
            </w:rPr>
            <w:t>Coord. Calidad</w:t>
          </w:r>
        </w:p>
      </w:tc>
    </w:tr>
    <w:tr w:rsidR="00C17DED">
      <w:trPr>
        <w:cantSplit/>
        <w:trHeight w:val="751"/>
        <w:tblCellSpacing w:w="20" w:type="dxa"/>
      </w:trPr>
      <w:tc>
        <w:tcPr>
          <w:tcW w:w="2460" w:type="dxa"/>
          <w:vMerge/>
          <w:vAlign w:val="center"/>
        </w:tcPr>
        <w:p w:rsidR="00C17DED" w:rsidRDefault="00C17DED">
          <w:pPr>
            <w:rPr>
              <w:rFonts w:ascii="Bookman Old Style" w:hAnsi="Bookman Old Style"/>
              <w:b/>
              <w:sz w:val="20"/>
              <w:lang w:val="en-GB"/>
            </w:rPr>
          </w:pPr>
        </w:p>
      </w:tc>
      <w:tc>
        <w:tcPr>
          <w:tcW w:w="5629" w:type="dxa"/>
          <w:vAlign w:val="center"/>
        </w:tcPr>
        <w:p w:rsidR="00C17DED" w:rsidRDefault="00C17DED">
          <w:pPr>
            <w:jc w:val="center"/>
            <w:rPr>
              <w:rFonts w:ascii="Bookman Old Style" w:hAnsi="Bookman Old Style"/>
              <w:b/>
              <w:sz w:val="20"/>
              <w:szCs w:val="20"/>
              <w:lang w:val="es-MX"/>
            </w:rPr>
          </w:pPr>
          <w:r>
            <w:rPr>
              <w:rFonts w:ascii="Bookman Old Style" w:hAnsi="Bookman Old Style"/>
              <w:bCs/>
              <w:lang w:val="es-MX"/>
            </w:rPr>
            <w:t>PROCEDIMIENTO PARA ATENCIÓN DE QUEJAS DE CLIENTES</w:t>
          </w:r>
        </w:p>
      </w:tc>
      <w:tc>
        <w:tcPr>
          <w:tcW w:w="1831" w:type="dxa"/>
          <w:vAlign w:val="center"/>
        </w:tcPr>
        <w:p w:rsidR="00C17DED" w:rsidRDefault="00C17DED">
          <w:pPr>
            <w:pStyle w:val="Ttulo2"/>
            <w:jc w:val="center"/>
            <w:rPr>
              <w:rFonts w:ascii="Bookman Old Style" w:hAnsi="Bookman Old Style" w:cs="Arial"/>
              <w:sz w:val="18"/>
            </w:rPr>
          </w:pPr>
        </w:p>
        <w:p w:rsidR="00C17DED" w:rsidRPr="00014060" w:rsidRDefault="00C17DED">
          <w:pPr>
            <w:jc w:val="center"/>
            <w:rPr>
              <w:rFonts w:ascii="Bookman Old Style" w:hAnsi="Bookman Old Style"/>
              <w:sz w:val="18"/>
            </w:rPr>
          </w:pPr>
          <w:r>
            <w:rPr>
              <w:rFonts w:ascii="Bookman Old Style" w:hAnsi="Bookman Old Style" w:cs="Arial"/>
              <w:b/>
              <w:bCs/>
              <w:sz w:val="18"/>
            </w:rPr>
            <w:t>APROBO:</w:t>
          </w:r>
          <w:r w:rsidR="005C74E6">
            <w:rPr>
              <w:rFonts w:ascii="Bookman Old Style" w:hAnsi="Bookman Old Style" w:cs="Arial"/>
              <w:b/>
              <w:bCs/>
              <w:sz w:val="18"/>
            </w:rPr>
            <w:t xml:space="preserve"> </w:t>
          </w:r>
          <w:r w:rsidRPr="00014060">
            <w:rPr>
              <w:rFonts w:ascii="Bookman Old Style" w:hAnsi="Bookman Old Style"/>
              <w:sz w:val="18"/>
            </w:rPr>
            <w:t>A.C.Q.</w:t>
          </w:r>
        </w:p>
        <w:p w:rsidR="00C17DED" w:rsidRDefault="00C17DED">
          <w:pPr>
            <w:jc w:val="center"/>
            <w:rPr>
              <w:rFonts w:ascii="Bookman Old Style" w:hAnsi="Bookman Old Style" w:cs="Arial"/>
              <w:b/>
              <w:sz w:val="18"/>
              <w:szCs w:val="20"/>
            </w:rPr>
          </w:pPr>
          <w:r>
            <w:rPr>
              <w:rFonts w:ascii="Bookman Old Style" w:hAnsi="Bookman Old Style"/>
              <w:sz w:val="18"/>
            </w:rPr>
            <w:t>Dir. Transporte</w:t>
          </w:r>
        </w:p>
      </w:tc>
    </w:tr>
  </w:tbl>
  <w:p w:rsidR="00C17DED" w:rsidRDefault="00C17DED">
    <w:pPr>
      <w:pStyle w:val="Encabezado"/>
    </w:pPr>
  </w:p>
  <w:p w:rsidR="00C17DED" w:rsidRDefault="00C17D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72432"/>
    <w:multiLevelType w:val="hybridMultilevel"/>
    <w:tmpl w:val="9C7A70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EE1940"/>
    <w:multiLevelType w:val="hybridMultilevel"/>
    <w:tmpl w:val="C5A02408"/>
    <w:lvl w:ilvl="0" w:tplc="8D36C2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F2F0B"/>
    <w:multiLevelType w:val="hybridMultilevel"/>
    <w:tmpl w:val="478E89E2"/>
    <w:lvl w:ilvl="0" w:tplc="CDC6DB7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ECCBD6">
      <w:start w:val="1"/>
      <w:numFmt w:val="decimal"/>
      <w:lvlText w:val="7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36DF0"/>
    <w:multiLevelType w:val="hybridMultilevel"/>
    <w:tmpl w:val="ADDA05F0"/>
    <w:lvl w:ilvl="0" w:tplc="32403B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060"/>
    <w:rsid w:val="00014060"/>
    <w:rsid w:val="001050A2"/>
    <w:rsid w:val="001F58FE"/>
    <w:rsid w:val="002C4198"/>
    <w:rsid w:val="003220C9"/>
    <w:rsid w:val="0032523C"/>
    <w:rsid w:val="00347D7A"/>
    <w:rsid w:val="00361559"/>
    <w:rsid w:val="003D67B7"/>
    <w:rsid w:val="004210BA"/>
    <w:rsid w:val="005C74E6"/>
    <w:rsid w:val="00793863"/>
    <w:rsid w:val="007A469E"/>
    <w:rsid w:val="00877BF9"/>
    <w:rsid w:val="009F5C79"/>
    <w:rsid w:val="00A705F9"/>
    <w:rsid w:val="00AB7038"/>
    <w:rsid w:val="00AF5A9A"/>
    <w:rsid w:val="00B15275"/>
    <w:rsid w:val="00C17DED"/>
    <w:rsid w:val="00C47AD2"/>
    <w:rsid w:val="00C93962"/>
    <w:rsid w:val="00CB6CD7"/>
    <w:rsid w:val="00CF6D87"/>
    <w:rsid w:val="00D72267"/>
    <w:rsid w:val="00D833F2"/>
    <w:rsid w:val="00E0517C"/>
    <w:rsid w:val="00E36891"/>
    <w:rsid w:val="00E724C6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Verdana" w:hAnsi="Verdana"/>
      <w:color w:val="003366"/>
      <w:sz w:val="44"/>
      <w:szCs w:val="44"/>
      <w:lang w:val="es-MX"/>
    </w:rPr>
  </w:style>
  <w:style w:type="paragraph" w:styleId="Ttulo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outlineLvl w:val="1"/>
    </w:pPr>
    <w:rPr>
      <w:rFonts w:ascii="Verdana" w:hAnsi="Verdana"/>
      <w:color w:val="000000"/>
      <w:sz w:val="32"/>
      <w:szCs w:val="32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eastAsia="Arial Unicode MS"/>
      <w:color w:val="000000"/>
      <w:sz w:val="44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color w:val="003366"/>
      <w:lang w:val="es-ES_tradnl"/>
    </w:rPr>
  </w:style>
  <w:style w:type="paragraph" w:styleId="Textoindependiente2">
    <w:name w:val="Body Text 2"/>
    <w:basedOn w:val="Normal"/>
    <w:pPr>
      <w:jc w:val="both"/>
    </w:pPr>
    <w:rPr>
      <w:lang w:val="es-MX"/>
    </w:rPr>
  </w:style>
  <w:style w:type="paragraph" w:styleId="Textoindependiente3">
    <w:name w:val="Body Text 3"/>
    <w:basedOn w:val="Normal"/>
    <w:pPr>
      <w:jc w:val="both"/>
    </w:pPr>
    <w:rPr>
      <w:color w:val="000000"/>
      <w:szCs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ind w:left="120"/>
    </w:pPr>
    <w:rPr>
      <w:rFonts w:eastAsia="Arial Unicode MS"/>
      <w:b/>
      <w:bCs/>
      <w:color w:val="000000"/>
      <w:lang w:val="es-MX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1"/>
      <w:szCs w:val="21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ind w:left="360"/>
      <w:jc w:val="both"/>
    </w:pPr>
    <w:rPr>
      <w:rFonts w:ascii="Arial" w:hAnsi="Arial" w:cs="Arial"/>
      <w:szCs w:val="20"/>
      <w:lang w:val="es-ES_tradnl"/>
    </w:rPr>
  </w:style>
  <w:style w:type="paragraph" w:styleId="Sangra3detindependiente">
    <w:name w:val="Body Text Indent 3"/>
    <w:basedOn w:val="Normal"/>
    <w:pPr>
      <w:ind w:left="720" w:hanging="360"/>
      <w:jc w:val="both"/>
    </w:pPr>
    <w:rPr>
      <w:rFonts w:ascii="Arial" w:hAnsi="Arial" w:cs="Arial"/>
    </w:rPr>
  </w:style>
  <w:style w:type="paragraph" w:styleId="Subttulo">
    <w:name w:val="Subtitle"/>
    <w:basedOn w:val="Normal"/>
    <w:qFormat/>
    <w:rPr>
      <w:rFonts w:ascii="Arial" w:hAnsi="Arial"/>
      <w:sz w:val="28"/>
      <w:szCs w:val="20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ransportespitic.com/imagenes/logPitic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2016-03-05T17:39:00Z</dcterms:created>
  <dcterms:modified xsi:type="dcterms:W3CDTF">2016-03-05T18:25:00Z</dcterms:modified>
</cp:coreProperties>
</file>