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A6" w:rsidRDefault="00762CA6">
      <w:pPr>
        <w:rPr>
          <w:sz w:val="19"/>
          <w:szCs w:val="19"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960"/>
      </w:tblGrid>
      <w:tr w:rsidR="00762CA6">
        <w:tc>
          <w:tcPr>
            <w:tcW w:w="2950" w:type="dxa"/>
            <w:shd w:val="clear" w:color="auto" w:fill="FFCC00"/>
            <w:vAlign w:val="center"/>
          </w:tcPr>
          <w:p w:rsidR="00762CA6" w:rsidRDefault="00762CA6">
            <w:pPr>
              <w:pStyle w:val="Ttulo1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SITUACIÓN</w:t>
            </w:r>
          </w:p>
        </w:tc>
        <w:tc>
          <w:tcPr>
            <w:tcW w:w="6960" w:type="dxa"/>
            <w:shd w:val="clear" w:color="auto" w:fill="FFCC00"/>
            <w:vAlign w:val="center"/>
          </w:tcPr>
          <w:p w:rsidR="00762CA6" w:rsidRDefault="00762CA6">
            <w:pPr>
              <w:pStyle w:val="Ttulo2"/>
              <w:rPr>
                <w:color w:val="FF0000"/>
              </w:rPr>
            </w:pPr>
            <w:r>
              <w:rPr>
                <w:color w:val="FF0000"/>
              </w:rPr>
              <w:t>ACCIONES A LLEVAR A CABO</w:t>
            </w:r>
          </w:p>
        </w:tc>
      </w:tr>
      <w:tr w:rsidR="00762CA6">
        <w:trPr>
          <w:trHeight w:val="997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Colocaciones</w:t>
            </w:r>
          </w:p>
        </w:tc>
        <w:tc>
          <w:tcPr>
            <w:tcW w:w="6960" w:type="dxa"/>
            <w:vAlign w:val="center"/>
          </w:tcPr>
          <w:p w:rsidR="007E3A4D" w:rsidRDefault="007E3A4D">
            <w:pPr>
              <w:numPr>
                <w:ilvl w:val="0"/>
                <w:numId w:val="1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Antes de correr </w:t>
            </w:r>
            <w:r w:rsidR="00DD1879">
              <w:rPr>
                <w:rFonts w:ascii="Arial" w:hAnsi="Arial" w:cs="Arial"/>
                <w:sz w:val="20"/>
                <w:szCs w:val="16"/>
              </w:rPr>
              <w:t>vacío</w:t>
            </w:r>
            <w:r>
              <w:rPr>
                <w:rFonts w:ascii="Arial" w:hAnsi="Arial" w:cs="Arial"/>
                <w:sz w:val="20"/>
                <w:szCs w:val="16"/>
              </w:rPr>
              <w:t xml:space="preserve"> para </w:t>
            </w:r>
            <w:r w:rsidR="00DD1879">
              <w:rPr>
                <w:rFonts w:ascii="Arial" w:hAnsi="Arial" w:cs="Arial"/>
                <w:sz w:val="20"/>
                <w:szCs w:val="16"/>
              </w:rPr>
              <w:t>recolección</w:t>
            </w:r>
            <w:r>
              <w:rPr>
                <w:rFonts w:ascii="Arial" w:hAnsi="Arial" w:cs="Arial"/>
                <w:sz w:val="20"/>
                <w:szCs w:val="16"/>
              </w:rPr>
              <w:t xml:space="preserve"> el operador deberá asegurar lo siguiente:</w:t>
            </w:r>
          </w:p>
          <w:p w:rsidR="007E3A4D" w:rsidRDefault="007E3A4D" w:rsidP="007E3A4D">
            <w:pPr>
              <w:numPr>
                <w:ilvl w:val="1"/>
                <w:numId w:val="1"/>
              </w:numPr>
              <w:tabs>
                <w:tab w:val="clear" w:pos="1440"/>
              </w:tabs>
              <w:ind w:left="736" w:hanging="284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Que el termo no presente fallas </w:t>
            </w:r>
          </w:p>
          <w:p w:rsidR="007E3A4D" w:rsidRDefault="007E3A4D" w:rsidP="007E3A4D">
            <w:pPr>
              <w:numPr>
                <w:ilvl w:val="1"/>
                <w:numId w:val="1"/>
              </w:numPr>
              <w:tabs>
                <w:tab w:val="clear" w:pos="1440"/>
              </w:tabs>
              <w:ind w:left="736" w:hanging="284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Que cuente con lona y diésel.</w:t>
            </w:r>
          </w:p>
          <w:p w:rsidR="00DD1879" w:rsidRDefault="00DD1879" w:rsidP="007E3A4D">
            <w:pPr>
              <w:numPr>
                <w:ilvl w:val="1"/>
                <w:numId w:val="1"/>
              </w:numPr>
              <w:tabs>
                <w:tab w:val="clear" w:pos="1440"/>
              </w:tabs>
              <w:ind w:left="736" w:hanging="284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Realizar pre 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trip</w:t>
            </w:r>
            <w:proofErr w:type="spellEnd"/>
            <w:r>
              <w:rPr>
                <w:rFonts w:ascii="Arial" w:hAnsi="Arial" w:cs="Arial"/>
                <w:sz w:val="20"/>
                <w:szCs w:val="16"/>
              </w:rPr>
              <w:t xml:space="preserve"> del remolque</w:t>
            </w:r>
          </w:p>
          <w:p w:rsidR="00762CA6" w:rsidRPr="00DD1879" w:rsidRDefault="00DD1879" w:rsidP="00DD1879">
            <w:pPr>
              <w:numPr>
                <w:ilvl w:val="0"/>
                <w:numId w:val="1"/>
              </w:numPr>
              <w:tabs>
                <w:tab w:val="clear" w:pos="720"/>
              </w:tabs>
              <w:ind w:left="452" w:hanging="35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P</w:t>
            </w:r>
            <w:r w:rsidR="00762CA6">
              <w:rPr>
                <w:rFonts w:ascii="Arial" w:hAnsi="Arial" w:cs="Arial"/>
                <w:sz w:val="20"/>
                <w:szCs w:val="16"/>
              </w:rPr>
              <w:t>esar la caja vacía antes de colocarla.</w:t>
            </w:r>
          </w:p>
        </w:tc>
      </w:tr>
      <w:tr w:rsidR="00762CA6">
        <w:trPr>
          <w:trHeight w:val="1039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Reportes de temperatura</w:t>
            </w:r>
          </w:p>
        </w:tc>
        <w:tc>
          <w:tcPr>
            <w:tcW w:w="6960" w:type="dxa"/>
            <w:vAlign w:val="center"/>
          </w:tcPr>
          <w:p w:rsidR="00142702" w:rsidRDefault="00142702">
            <w:pPr>
              <w:numPr>
                <w:ilvl w:val="0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La temperatura que se debe </w:t>
            </w:r>
            <w:r w:rsidR="00B96473">
              <w:rPr>
                <w:rFonts w:ascii="Arial" w:hAnsi="Arial" w:cs="Arial"/>
                <w:sz w:val="20"/>
                <w:szCs w:val="16"/>
              </w:rPr>
              <w:t xml:space="preserve">de manejar en </w:t>
            </w:r>
            <w:r w:rsidR="00DD1879">
              <w:rPr>
                <w:rFonts w:ascii="Arial" w:hAnsi="Arial" w:cs="Arial"/>
                <w:sz w:val="20"/>
                <w:szCs w:val="16"/>
              </w:rPr>
              <w:t>tránsito</w:t>
            </w:r>
            <w:r w:rsidR="00B96473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="00DD1879">
              <w:rPr>
                <w:rFonts w:ascii="Arial" w:hAnsi="Arial" w:cs="Arial"/>
                <w:sz w:val="20"/>
                <w:szCs w:val="16"/>
              </w:rPr>
              <w:t>varía entre 52 y 57 de acuerdo al cliente destino si tiene dudas deberá preguntar a su Jefe de Flota</w:t>
            </w:r>
          </w:p>
          <w:p w:rsidR="00621946" w:rsidRPr="00621946" w:rsidRDefault="00621946">
            <w:pPr>
              <w:numPr>
                <w:ilvl w:val="0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b/>
                <w:sz w:val="20"/>
                <w:szCs w:val="16"/>
              </w:rPr>
            </w:pPr>
            <w:r w:rsidRPr="00621946">
              <w:rPr>
                <w:rFonts w:ascii="Arial" w:hAnsi="Arial" w:cs="Arial"/>
                <w:b/>
                <w:sz w:val="20"/>
                <w:szCs w:val="16"/>
              </w:rPr>
              <w:t>El termo deberá configurarse para trabajar en Modo Continuo</w:t>
            </w:r>
          </w:p>
          <w:p w:rsidR="00142702" w:rsidRDefault="00762CA6" w:rsidP="00315EE9">
            <w:pPr>
              <w:numPr>
                <w:ilvl w:val="0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El operador deberá enviar siempre los reportes de temperatura cada </w:t>
            </w:r>
            <w:r w:rsidR="00DD1879">
              <w:rPr>
                <w:rFonts w:ascii="Arial" w:hAnsi="Arial" w:cs="Arial"/>
                <w:sz w:val="20"/>
                <w:szCs w:val="16"/>
              </w:rPr>
              <w:t>4</w:t>
            </w:r>
            <w:r>
              <w:rPr>
                <w:rFonts w:ascii="Arial" w:hAnsi="Arial" w:cs="Arial"/>
                <w:sz w:val="20"/>
                <w:szCs w:val="16"/>
              </w:rPr>
              <w:t xml:space="preserve"> horas.</w:t>
            </w:r>
          </w:p>
          <w:p w:rsidR="00762CA6" w:rsidRDefault="00762CA6">
            <w:pPr>
              <w:numPr>
                <w:ilvl w:val="0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jefe de flotilla y operador deberán estar atentos para cambios de temperatura que solicite el cliente a la mitad del camino.</w:t>
            </w:r>
          </w:p>
        </w:tc>
      </w:tr>
      <w:tr w:rsidR="00762CA6">
        <w:trPr>
          <w:trHeight w:val="2835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Falla de Termo que requiera Trasbordo </w:t>
            </w:r>
          </w:p>
        </w:tc>
        <w:tc>
          <w:tcPr>
            <w:tcW w:w="6960" w:type="dxa"/>
            <w:vAlign w:val="center"/>
          </w:tcPr>
          <w:p w:rsidR="00762CA6" w:rsidRDefault="00762CA6">
            <w:pPr>
              <w:numPr>
                <w:ilvl w:val="1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informar inmediatamente a su JF para que este informe al ES y este de aviso al cliente, antes de comenzar el trasbordo.</w:t>
            </w:r>
          </w:p>
          <w:p w:rsidR="00762CA6" w:rsidRDefault="00762CA6">
            <w:pPr>
              <w:numPr>
                <w:ilvl w:val="1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Una vez que el cliente haya autorizado, es indispensable que una autoridad competente (ministerio público) 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este</w:t>
            </w:r>
            <w:proofErr w:type="spellEnd"/>
            <w:r>
              <w:rPr>
                <w:rFonts w:ascii="Arial" w:hAnsi="Arial" w:cs="Arial"/>
                <w:sz w:val="20"/>
                <w:szCs w:val="16"/>
              </w:rPr>
              <w:t xml:space="preserve"> presente en el momento para que levante un acta que de validez a la violación del sello.</w:t>
            </w:r>
          </w:p>
          <w:p w:rsidR="00762CA6" w:rsidRDefault="00762CA6">
            <w:pPr>
              <w:numPr>
                <w:ilvl w:val="1"/>
                <w:numId w:val="3"/>
              </w:numPr>
              <w:tabs>
                <w:tab w:val="clear" w:pos="720"/>
                <w:tab w:val="num" w:pos="430"/>
              </w:tabs>
              <w:ind w:left="43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conservar el sello junto con la hoja de sellos para que sean presentados en la Aduana.</w:t>
            </w:r>
          </w:p>
          <w:p w:rsidR="00762CA6" w:rsidRDefault="00762CA6">
            <w:pPr>
              <w:ind w:left="7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NOTA: En caso de no seguir estos puntos, o por </w:t>
            </w:r>
            <w:r w:rsidR="00DD1879">
              <w:rPr>
                <w:rFonts w:ascii="Arial" w:hAnsi="Arial" w:cs="Arial"/>
                <w:b/>
                <w:bCs/>
                <w:sz w:val="20"/>
                <w:szCs w:val="16"/>
              </w:rPr>
              <w:t>pérdida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del sello, el producto no puede cruzar a EUA y se aplica una multa fuerte a Transportes Pitic.</w:t>
            </w:r>
          </w:p>
        </w:tc>
      </w:tr>
      <w:tr w:rsidR="00762CA6">
        <w:trPr>
          <w:trHeight w:val="1076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Inconvenientes en carretera: Fallas mecánicas, carreteras cerradas, enfermedad del operador, etc.</w:t>
            </w:r>
          </w:p>
        </w:tc>
        <w:tc>
          <w:tcPr>
            <w:tcW w:w="6960" w:type="dxa"/>
            <w:vAlign w:val="center"/>
          </w:tcPr>
          <w:p w:rsidR="00762CA6" w:rsidRDefault="00762CA6">
            <w:pPr>
              <w:tabs>
                <w:tab w:val="num" w:pos="410"/>
              </w:tabs>
              <w:ind w:left="410" w:hanging="36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1) El operador deberá avisar de inmediato al JF para que este a su vez informe al ES, quien dará aviso al cliente.</w:t>
            </w:r>
          </w:p>
        </w:tc>
      </w:tr>
      <w:tr w:rsidR="00762CA6">
        <w:trPr>
          <w:trHeight w:val="1454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Llegada a Nogales</w:t>
            </w:r>
          </w:p>
        </w:tc>
        <w:tc>
          <w:tcPr>
            <w:tcW w:w="6960" w:type="dxa"/>
            <w:vAlign w:val="center"/>
          </w:tcPr>
          <w:p w:rsidR="009E425F" w:rsidRPr="009E425F" w:rsidRDefault="009E425F">
            <w:pPr>
              <w:numPr>
                <w:ilvl w:val="0"/>
                <w:numId w:val="8"/>
              </w:numPr>
              <w:tabs>
                <w:tab w:val="clear" w:pos="720"/>
                <w:tab w:val="num" w:pos="290"/>
              </w:tabs>
              <w:ind w:left="290" w:hanging="290"/>
              <w:rPr>
                <w:rFonts w:ascii="Arial" w:hAnsi="Arial" w:cs="Arial"/>
                <w:b/>
                <w:color w:val="FF0000"/>
                <w:sz w:val="20"/>
                <w:szCs w:val="16"/>
              </w:rPr>
            </w:pPr>
            <w:r w:rsidRPr="009E425F">
              <w:rPr>
                <w:rFonts w:ascii="Arial" w:hAnsi="Arial" w:cs="Arial"/>
                <w:b/>
                <w:color w:val="FF0000"/>
                <w:sz w:val="20"/>
                <w:szCs w:val="16"/>
              </w:rPr>
              <w:t>Antes de llegar a destino deberá detener marcha en PITIC HERMOSILLO para revisión del remolque, eso siempre y cuando pase en hora y día hábil.</w:t>
            </w:r>
          </w:p>
          <w:p w:rsidR="00DD1879" w:rsidRDefault="00DD1879">
            <w:pPr>
              <w:numPr>
                <w:ilvl w:val="0"/>
                <w:numId w:val="8"/>
              </w:numPr>
              <w:tabs>
                <w:tab w:val="clear" w:pos="720"/>
                <w:tab w:val="num" w:pos="290"/>
              </w:tabs>
              <w:ind w:left="290" w:hanging="29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rellenar de diésel el termo antes de entregar el remolque en los patios de PITIC</w:t>
            </w:r>
          </w:p>
          <w:p w:rsidR="00762CA6" w:rsidRDefault="00762CA6">
            <w:pPr>
              <w:numPr>
                <w:ilvl w:val="0"/>
                <w:numId w:val="8"/>
              </w:numPr>
              <w:tabs>
                <w:tab w:val="clear" w:pos="720"/>
                <w:tab w:val="num" w:pos="290"/>
              </w:tabs>
              <w:ind w:left="290" w:hanging="29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entregar la carta porte original al Jefe de Operaciones en Nogales.</w:t>
            </w:r>
          </w:p>
        </w:tc>
      </w:tr>
      <w:tr w:rsidR="00762CA6">
        <w:trPr>
          <w:trHeight w:val="2229"/>
        </w:trPr>
        <w:tc>
          <w:tcPr>
            <w:tcW w:w="2950" w:type="dxa"/>
            <w:vAlign w:val="center"/>
          </w:tcPr>
          <w:p w:rsidR="00762CA6" w:rsidRDefault="00762CA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Rompimiento de Sello en Reten</w:t>
            </w:r>
          </w:p>
        </w:tc>
        <w:tc>
          <w:tcPr>
            <w:tcW w:w="6960" w:type="dxa"/>
            <w:vAlign w:val="center"/>
          </w:tcPr>
          <w:p w:rsidR="00762CA6" w:rsidRDefault="00762CA6">
            <w:pPr>
              <w:numPr>
                <w:ilvl w:val="0"/>
                <w:numId w:val="7"/>
              </w:numPr>
              <w:tabs>
                <w:tab w:val="clear" w:pos="720"/>
                <w:tab w:val="num" w:pos="290"/>
              </w:tabs>
              <w:ind w:left="290" w:hanging="24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informar a su JF quien dará aviso al ES</w:t>
            </w:r>
            <w:r w:rsidR="00C83B07">
              <w:rPr>
                <w:rFonts w:ascii="Arial" w:hAnsi="Arial" w:cs="Arial"/>
                <w:sz w:val="20"/>
                <w:szCs w:val="16"/>
              </w:rPr>
              <w:t xml:space="preserve"> para que se informe al cliente para recibir instrucciones al respecto.</w:t>
            </w:r>
          </w:p>
          <w:p w:rsidR="00762CA6" w:rsidRDefault="00762CA6">
            <w:pPr>
              <w:numPr>
                <w:ilvl w:val="0"/>
                <w:numId w:val="7"/>
              </w:numPr>
              <w:tabs>
                <w:tab w:val="clear" w:pos="720"/>
                <w:tab w:val="num" w:pos="290"/>
              </w:tabs>
              <w:ind w:left="290" w:hanging="24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El operador deberá conservar el sello junto con la hoja de sellos para que sean presentados en la Aduana.</w:t>
            </w:r>
          </w:p>
          <w:p w:rsidR="00762CA6" w:rsidRDefault="00762CA6">
            <w:pPr>
              <w:numPr>
                <w:ilvl w:val="0"/>
                <w:numId w:val="7"/>
              </w:numPr>
              <w:tabs>
                <w:tab w:val="clear" w:pos="720"/>
                <w:tab w:val="num" w:pos="290"/>
              </w:tabs>
              <w:ind w:left="290" w:hanging="24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El operador deberá pedir  a la persona que violo el sello, que escriba en la hoja de SAGARPA (NO EN </w:t>
            </w:r>
            <w:smartTag w:uri="urn:schemas-microsoft-com:office:smarttags" w:element="PersonName">
              <w:smartTagPr>
                <w:attr w:name="ProductID" w:val="LA GUIA DE T."/>
              </w:smartTagPr>
              <w:r>
                <w:rPr>
                  <w:rFonts w:ascii="Arial" w:hAnsi="Arial" w:cs="Arial"/>
                  <w:b/>
                  <w:bCs/>
                  <w:sz w:val="20"/>
                  <w:szCs w:val="16"/>
                </w:rPr>
                <w:t>LA GUIA DE T.</w:t>
              </w:r>
            </w:smartTag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PITIC ya que si se escribe en la guía no es  </w:t>
            </w:r>
            <w:r w:rsidR="009E425F">
              <w:rPr>
                <w:rFonts w:ascii="Arial" w:hAnsi="Arial" w:cs="Arial"/>
                <w:b/>
                <w:bCs/>
                <w:sz w:val="20"/>
                <w:szCs w:val="16"/>
              </w:rPr>
              <w:t>válido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)  el motivo por el cual  se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16"/>
              </w:rPr>
              <w:t>v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16"/>
              </w:rPr>
              <w:t>iolo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 y el </w:t>
            </w:r>
            <w:r w:rsidR="009E425F">
              <w:rPr>
                <w:rFonts w:ascii="Arial" w:hAnsi="Arial" w:cs="Arial"/>
                <w:b/>
                <w:bCs/>
                <w:sz w:val="20"/>
                <w:szCs w:val="16"/>
              </w:rPr>
              <w:t>número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de sello anterior y el nuevo que sea puesto.</w:t>
            </w:r>
          </w:p>
          <w:p w:rsidR="00762CA6" w:rsidRDefault="00762CA6">
            <w:pPr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NOTA: En caso de no seguir estos puntos, o por </w:t>
            </w:r>
            <w:r w:rsidR="00C83B07">
              <w:rPr>
                <w:rFonts w:ascii="Arial" w:hAnsi="Arial" w:cs="Arial"/>
                <w:b/>
                <w:bCs/>
                <w:sz w:val="20"/>
                <w:szCs w:val="16"/>
              </w:rPr>
              <w:t>pérdida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del sello, el producto no puede cruzar a EUA y se aplica una multa fuerte a Transportes Pitic.</w:t>
            </w:r>
          </w:p>
        </w:tc>
      </w:tr>
    </w:tbl>
    <w:p w:rsidR="00762CA6" w:rsidRDefault="00762CA6">
      <w:pPr>
        <w:pStyle w:val="Encabezado"/>
        <w:tabs>
          <w:tab w:val="clear" w:pos="4252"/>
          <w:tab w:val="clear" w:pos="8504"/>
        </w:tabs>
        <w:rPr>
          <w:sz w:val="20"/>
          <w:szCs w:val="16"/>
        </w:rPr>
      </w:pPr>
    </w:p>
    <w:sectPr w:rsidR="00762CA6">
      <w:headerReference w:type="default" r:id="rId7"/>
      <w:footerReference w:type="default" r:id="rId8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24" w:rsidRDefault="00385724">
      <w:r>
        <w:separator/>
      </w:r>
    </w:p>
  </w:endnote>
  <w:endnote w:type="continuationSeparator" w:id="0">
    <w:p w:rsidR="00385724" w:rsidRDefault="003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879" w:rsidRDefault="00DD1879">
    <w:pPr>
      <w:pStyle w:val="Piedepgina"/>
      <w:rPr>
        <w:sz w:val="20"/>
        <w:lang w:val="en-GB"/>
      </w:rPr>
    </w:pPr>
    <w:r>
      <w:rPr>
        <w:sz w:val="20"/>
        <w:lang w:val="en-GB"/>
      </w:rPr>
      <w:t>DT/OP TAB22 Rev.2/04-10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24" w:rsidRDefault="00385724">
      <w:r>
        <w:separator/>
      </w:r>
    </w:p>
  </w:footnote>
  <w:footnote w:type="continuationSeparator" w:id="0">
    <w:p w:rsidR="00385724" w:rsidRDefault="00385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CellSpacing w:w="20" w:type="dxa"/>
      <w:tblInd w:w="-40" w:type="dxa"/>
      <w:tblBorders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  <w:insideH w:val="outset" w:sz="12" w:space="0" w:color="auto"/>
        <w:insideV w:val="outset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669"/>
      <w:gridCol w:w="1891"/>
    </w:tblGrid>
    <w:tr w:rsidR="00DD1879">
      <w:trPr>
        <w:cantSplit/>
        <w:trHeight w:val="616"/>
        <w:tblCellSpacing w:w="20" w:type="dxa"/>
      </w:trPr>
      <w:tc>
        <w:tcPr>
          <w:tcW w:w="2460" w:type="dxa"/>
          <w:vMerge w:val="restart"/>
          <w:vAlign w:val="center"/>
        </w:tcPr>
        <w:p w:rsidR="00DD1879" w:rsidRDefault="003D222C">
          <w:pPr>
            <w:pStyle w:val="Ttulo2"/>
            <w:jc w:val="both"/>
            <w:rPr>
              <w:rFonts w:ascii="Bookman Old Style" w:hAnsi="Bookman Old Style"/>
              <w:sz w:val="20"/>
            </w:rPr>
          </w:pPr>
          <w:r>
            <w:rPr>
              <w:rFonts w:ascii="Bookman Old Style" w:hAnsi="Bookman Old Style"/>
              <w:noProof/>
              <w:sz w:val="20"/>
              <w:lang w:val="es-MX" w:eastAsia="es-MX"/>
            </w:rPr>
            <w:drawing>
              <wp:inline distT="0" distB="0" distL="0" distR="0">
                <wp:extent cx="1435100" cy="50228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Pitic 201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9" w:type="dxa"/>
          <w:vAlign w:val="center"/>
        </w:tcPr>
        <w:p w:rsidR="00DD1879" w:rsidRPr="00C83B07" w:rsidRDefault="00DD1879">
          <w:pPr>
            <w:pStyle w:val="Ttulo2"/>
            <w:rPr>
              <w:rFonts w:ascii="Bookman Old Style" w:hAnsi="Bookman Old Style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83B07">
            <w:rPr>
              <w:rFonts w:ascii="Bookman Old Style" w:hAnsi="Bookman Old Style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TRANSPORTES PITIC</w:t>
          </w:r>
        </w:p>
        <w:p w:rsidR="00DD1879" w:rsidRDefault="00DD1879">
          <w:pPr>
            <w:pStyle w:val="Ttulo2"/>
            <w:rPr>
              <w:rFonts w:ascii="Bookman Old Style" w:hAnsi="Bookman Old Style"/>
              <w:sz w:val="32"/>
            </w:rPr>
          </w:pPr>
          <w:r w:rsidRPr="00C83B07">
            <w:rPr>
              <w:rFonts w:ascii="Bookman Old Style" w:hAnsi="Bookman Old Style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S. A DE C. V.</w:t>
          </w:r>
        </w:p>
      </w:tc>
      <w:tc>
        <w:tcPr>
          <w:tcW w:w="1831" w:type="dxa"/>
          <w:vAlign w:val="center"/>
        </w:tcPr>
        <w:p w:rsidR="00DD1879" w:rsidRDefault="00DD1879">
          <w:pPr>
            <w:jc w:val="center"/>
            <w:rPr>
              <w:rFonts w:ascii="Bookman Old Style" w:hAnsi="Bookman Old Style" w:cs="Arial"/>
              <w:bCs/>
              <w:sz w:val="18"/>
              <w:szCs w:val="20"/>
            </w:rPr>
          </w:pPr>
          <w:r>
            <w:rPr>
              <w:rFonts w:ascii="Bookman Old Style" w:hAnsi="Bookman Old Style" w:cs="Arial"/>
              <w:b/>
              <w:sz w:val="18"/>
              <w:szCs w:val="20"/>
            </w:rPr>
            <w:t xml:space="preserve">REVISÓ: </w:t>
          </w:r>
          <w:r>
            <w:rPr>
              <w:rFonts w:ascii="Bookman Old Style" w:hAnsi="Bookman Old Style" w:cs="Arial"/>
              <w:bCs/>
              <w:sz w:val="18"/>
              <w:szCs w:val="20"/>
            </w:rPr>
            <w:t>V.E.U.V</w:t>
          </w:r>
        </w:p>
        <w:p w:rsidR="00DD1879" w:rsidRDefault="00DD1879">
          <w:pPr>
            <w:jc w:val="center"/>
            <w:rPr>
              <w:rFonts w:ascii="Bookman Old Style" w:hAnsi="Bookman Old Style" w:cs="Arial"/>
              <w:bCs/>
              <w:sz w:val="18"/>
              <w:szCs w:val="20"/>
              <w:lang w:val="es-MX"/>
            </w:rPr>
          </w:pPr>
          <w:r>
            <w:rPr>
              <w:rFonts w:ascii="Bookman Old Style" w:hAnsi="Bookman Old Style" w:cs="Arial"/>
              <w:bCs/>
              <w:sz w:val="18"/>
              <w:szCs w:val="20"/>
              <w:lang w:val="es-MX"/>
            </w:rPr>
            <w:t>Gte de Logistica</w:t>
          </w:r>
        </w:p>
      </w:tc>
    </w:tr>
    <w:tr w:rsidR="00DD1879">
      <w:trPr>
        <w:cantSplit/>
        <w:trHeight w:val="562"/>
        <w:tblCellSpacing w:w="20" w:type="dxa"/>
      </w:trPr>
      <w:tc>
        <w:tcPr>
          <w:tcW w:w="2460" w:type="dxa"/>
          <w:vMerge/>
          <w:vAlign w:val="center"/>
        </w:tcPr>
        <w:p w:rsidR="00DD1879" w:rsidRDefault="00DD1879">
          <w:pPr>
            <w:rPr>
              <w:rFonts w:ascii="Bookman Old Style" w:hAnsi="Bookman Old Style"/>
              <w:b/>
              <w:sz w:val="20"/>
              <w:lang w:val="es-MX"/>
            </w:rPr>
          </w:pPr>
        </w:p>
      </w:tc>
      <w:tc>
        <w:tcPr>
          <w:tcW w:w="5629" w:type="dxa"/>
          <w:vAlign w:val="center"/>
        </w:tcPr>
        <w:p w:rsidR="00DD1879" w:rsidRDefault="00DD1879">
          <w:pPr>
            <w:jc w:val="center"/>
            <w:rPr>
              <w:rFonts w:ascii="Bookman Old Style" w:hAnsi="Bookman Old Style"/>
              <w:b/>
              <w:sz w:val="20"/>
              <w:szCs w:val="20"/>
              <w:lang w:val="es-MX"/>
            </w:rPr>
          </w:pPr>
          <w:r>
            <w:rPr>
              <w:rFonts w:ascii="Bookman Old Style" w:hAnsi="Bookman Old Style"/>
              <w:b/>
              <w:lang w:val="es-MX"/>
            </w:rPr>
            <w:t>Instrucciones Viajes de Mango</w:t>
          </w:r>
        </w:p>
      </w:tc>
      <w:tc>
        <w:tcPr>
          <w:tcW w:w="1831" w:type="dxa"/>
          <w:vAlign w:val="center"/>
        </w:tcPr>
        <w:p w:rsidR="00DD1879" w:rsidRDefault="00DD1879">
          <w:pPr>
            <w:jc w:val="center"/>
            <w:rPr>
              <w:rFonts w:ascii="Bookman Old Style" w:hAnsi="Bookman Old Style"/>
              <w:sz w:val="18"/>
            </w:rPr>
          </w:pPr>
          <w:r w:rsidRPr="000E51ED">
            <w:rPr>
              <w:rFonts w:ascii="Bookman Old Style" w:hAnsi="Bookman Old Style" w:cs="Arial"/>
              <w:b/>
              <w:sz w:val="18"/>
            </w:rPr>
            <w:t>APROBO:</w:t>
          </w:r>
          <w:r>
            <w:rPr>
              <w:rFonts w:ascii="Bookman Old Style" w:hAnsi="Bookman Old Style" w:cs="Arial"/>
              <w:sz w:val="18"/>
            </w:rPr>
            <w:t xml:space="preserve"> </w:t>
          </w:r>
          <w:r>
            <w:rPr>
              <w:rFonts w:ascii="Bookman Old Style" w:hAnsi="Bookman Old Style"/>
              <w:sz w:val="18"/>
            </w:rPr>
            <w:t>F.M.B.</w:t>
          </w:r>
        </w:p>
        <w:p w:rsidR="00DD1879" w:rsidRDefault="00DD1879">
          <w:pPr>
            <w:jc w:val="center"/>
            <w:rPr>
              <w:rFonts w:ascii="Bookman Old Style" w:hAnsi="Bookman Old Style" w:cs="Arial"/>
              <w:b/>
              <w:sz w:val="18"/>
              <w:szCs w:val="20"/>
            </w:rPr>
          </w:pPr>
          <w:r>
            <w:rPr>
              <w:rFonts w:ascii="Bookman Old Style" w:hAnsi="Bookman Old Style"/>
              <w:sz w:val="18"/>
            </w:rPr>
            <w:t>Dir. Transporte</w:t>
          </w:r>
        </w:p>
      </w:tc>
    </w:tr>
  </w:tbl>
  <w:p w:rsidR="00DD1879" w:rsidRDefault="00DD1879">
    <w:pPr>
      <w:pStyle w:val="Encabezado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A6D7F"/>
    <w:multiLevelType w:val="hybridMultilevel"/>
    <w:tmpl w:val="4634BD4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957AB2"/>
    <w:multiLevelType w:val="hybridMultilevel"/>
    <w:tmpl w:val="62D0558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1D6F08"/>
    <w:multiLevelType w:val="hybridMultilevel"/>
    <w:tmpl w:val="4F1AF97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B60145"/>
    <w:multiLevelType w:val="hybridMultilevel"/>
    <w:tmpl w:val="EE8E85C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8D1169"/>
    <w:multiLevelType w:val="hybridMultilevel"/>
    <w:tmpl w:val="97A6283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095B82"/>
    <w:multiLevelType w:val="hybridMultilevel"/>
    <w:tmpl w:val="4F922C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B32C85"/>
    <w:multiLevelType w:val="hybridMultilevel"/>
    <w:tmpl w:val="E66C71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D41CE5"/>
    <w:multiLevelType w:val="hybridMultilevel"/>
    <w:tmpl w:val="30A46B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ffe1e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02"/>
    <w:rsid w:val="000E51ED"/>
    <w:rsid w:val="00142702"/>
    <w:rsid w:val="002A0CC4"/>
    <w:rsid w:val="002E1FF2"/>
    <w:rsid w:val="00315EE9"/>
    <w:rsid w:val="00385724"/>
    <w:rsid w:val="00390DD9"/>
    <w:rsid w:val="003B4117"/>
    <w:rsid w:val="003D222C"/>
    <w:rsid w:val="00540483"/>
    <w:rsid w:val="005D5271"/>
    <w:rsid w:val="005E5306"/>
    <w:rsid w:val="0061147D"/>
    <w:rsid w:val="00621946"/>
    <w:rsid w:val="00762CA6"/>
    <w:rsid w:val="007E3A4D"/>
    <w:rsid w:val="009E425F"/>
    <w:rsid w:val="00B62F53"/>
    <w:rsid w:val="00B96473"/>
    <w:rsid w:val="00C83B07"/>
    <w:rsid w:val="00DD1879"/>
    <w:rsid w:val="00E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ru v:ext="edit" colors="#ffe1e1"/>
    </o:shapedefaults>
    <o:shapelayout v:ext="edit">
      <o:idmap v:ext="edit" data="1"/>
    </o:shapelayout>
  </w:shapeDefaults>
  <w:decimalSymbol w:val="."/>
  <w:listSeparator w:val=","/>
  <w15:chartTrackingRefBased/>
  <w15:docId w15:val="{E8CE965C-3E5F-4DDF-B12C-2F5547D2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000080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FF66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C83B07"/>
    <w:pPr>
      <w:spacing w:before="100" w:beforeAutospacing="1" w:after="100" w:afterAutospacing="1"/>
    </w:pPr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alandgrave</dc:creator>
  <cp:keywords/>
  <dc:description/>
  <cp:lastModifiedBy>Victor Urias Velasquez</cp:lastModifiedBy>
  <cp:revision>5</cp:revision>
  <cp:lastPrinted>2008-02-27T00:32:00Z</cp:lastPrinted>
  <dcterms:created xsi:type="dcterms:W3CDTF">2016-01-22T19:36:00Z</dcterms:created>
  <dcterms:modified xsi:type="dcterms:W3CDTF">2016-01-23T20:14:00Z</dcterms:modified>
</cp:coreProperties>
</file>