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6CC3B" w14:textId="349BB887" w:rsidR="005B0A3D" w:rsidRPr="00B07BD3" w:rsidRDefault="005B0A3D" w:rsidP="003031BE">
      <w:pPr>
        <w:pStyle w:val="Head1"/>
        <w:outlineLvl w:val="0"/>
      </w:pPr>
      <w:r w:rsidRPr="00B07BD3">
        <w:t>Optimal sensor placement and monitoring design in geologic CO2 sequestration: A machine learning and uncertainty quantification approach</w:t>
      </w:r>
    </w:p>
    <w:p w14:paraId="5502ED41" w14:textId="77777777" w:rsidR="008F3D55" w:rsidRPr="00B07BD3" w:rsidRDefault="008F3D55" w:rsidP="008F3D55">
      <w:pPr>
        <w:pStyle w:val="para"/>
      </w:pPr>
    </w:p>
    <w:p w14:paraId="42B7F591" w14:textId="1D54ABD8" w:rsidR="005B0A3D" w:rsidRPr="00B07BD3" w:rsidRDefault="005B0A3D" w:rsidP="008F3D55">
      <w:pPr>
        <w:pStyle w:val="para1"/>
        <w:ind w:firstLine="0"/>
      </w:pPr>
      <w:r w:rsidRPr="00B07BD3">
        <w:t>Misael M. Morales</w:t>
      </w:r>
      <w:r w:rsidRPr="00B07BD3">
        <w:rPr>
          <w:vertAlign w:val="superscript"/>
        </w:rPr>
        <w:t>1,2</w:t>
      </w:r>
      <w:r w:rsidRPr="00B07BD3">
        <w:t>, Bailian Chen</w:t>
      </w:r>
      <w:r w:rsidRPr="00B07BD3">
        <w:rPr>
          <w:vertAlign w:val="superscript"/>
        </w:rPr>
        <w:t>1</w:t>
      </w:r>
      <w:r w:rsidRPr="00B07BD3">
        <w:t>, Mohamed Mehana</w:t>
      </w:r>
      <w:r w:rsidRPr="00B07BD3">
        <w:rPr>
          <w:vertAlign w:val="superscript"/>
        </w:rPr>
        <w:t>1</w:t>
      </w:r>
    </w:p>
    <w:p w14:paraId="049DBE47" w14:textId="51AD8496" w:rsidR="005B0A3D" w:rsidRPr="00E34E87" w:rsidRDefault="005B0A3D" w:rsidP="00E34E87">
      <w:pPr>
        <w:pStyle w:val="para"/>
        <w:numPr>
          <w:ilvl w:val="0"/>
          <w:numId w:val="6"/>
        </w:numPr>
        <w:rPr>
          <w:sz w:val="22"/>
          <w:szCs w:val="18"/>
        </w:rPr>
      </w:pPr>
      <w:r w:rsidRPr="00E34E87">
        <w:rPr>
          <w:sz w:val="22"/>
          <w:szCs w:val="18"/>
        </w:rPr>
        <w:t>Los Alamos National Laboratory</w:t>
      </w:r>
      <w:r w:rsidR="00E34E87" w:rsidRPr="00E34E87">
        <w:rPr>
          <w:sz w:val="22"/>
          <w:szCs w:val="18"/>
        </w:rPr>
        <w:t xml:space="preserve"> </w:t>
      </w:r>
      <w:r w:rsidR="00E34E87">
        <w:rPr>
          <w:sz w:val="22"/>
          <w:szCs w:val="18"/>
        </w:rPr>
        <w:t>(2)</w:t>
      </w:r>
      <w:r w:rsidR="00E34E87" w:rsidRPr="00E34E87">
        <w:rPr>
          <w:sz w:val="22"/>
          <w:szCs w:val="18"/>
        </w:rPr>
        <w:t xml:space="preserve"> </w:t>
      </w:r>
      <w:r w:rsidRPr="00E34E87">
        <w:rPr>
          <w:sz w:val="22"/>
          <w:szCs w:val="18"/>
        </w:rPr>
        <w:t>The University of Texas at Austin</w:t>
      </w:r>
    </w:p>
    <w:p w14:paraId="7B518114" w14:textId="77777777" w:rsidR="005B0A3D" w:rsidRPr="00B07BD3" w:rsidRDefault="005B0A3D" w:rsidP="005B0A3D">
      <w:pPr>
        <w:pStyle w:val="para"/>
      </w:pPr>
    </w:p>
    <w:p w14:paraId="0F4DB925" w14:textId="2F2FC35E" w:rsidR="003031BE" w:rsidRPr="00B07BD3" w:rsidRDefault="003031BE" w:rsidP="003031BE">
      <w:pPr>
        <w:pStyle w:val="Head1"/>
        <w:outlineLvl w:val="0"/>
      </w:pPr>
      <w:r w:rsidRPr="00B07BD3">
        <w:t>Abstract</w:t>
      </w:r>
    </w:p>
    <w:p w14:paraId="33C47F88" w14:textId="77777777" w:rsidR="003031BE" w:rsidRPr="00B07BD3" w:rsidRDefault="003031BE" w:rsidP="003031BE">
      <w:pPr>
        <w:pStyle w:val="para1"/>
        <w:ind w:firstLine="0"/>
      </w:pPr>
      <w:r w:rsidRPr="00B07BD3">
        <w:t xml:space="preserve">    </w:t>
      </w:r>
    </w:p>
    <w:p w14:paraId="489E627D" w14:textId="77777777" w:rsidR="000747C5" w:rsidRPr="00E4510D" w:rsidRDefault="000747C5" w:rsidP="000747C5">
      <w:pPr>
        <w:pStyle w:val="para1"/>
        <w:rPr>
          <w:i/>
          <w:iCs/>
          <w:color w:val="FF0000"/>
        </w:rPr>
      </w:pPr>
      <w:r w:rsidRPr="00E4510D">
        <w:rPr>
          <w:i/>
          <w:iCs/>
          <w:color w:val="FF0000"/>
        </w:rPr>
        <w:t xml:space="preserve">Lorem ipsum dolor sit </w:t>
      </w:r>
      <w:proofErr w:type="spellStart"/>
      <w:r w:rsidRPr="00E4510D">
        <w:rPr>
          <w:i/>
          <w:iCs/>
          <w:color w:val="FF0000"/>
        </w:rPr>
        <w:t>amet</w:t>
      </w:r>
      <w:proofErr w:type="spellEnd"/>
      <w:r w:rsidRPr="00E4510D">
        <w:rPr>
          <w:i/>
          <w:iCs/>
          <w:color w:val="FF0000"/>
        </w:rPr>
        <w:t xml:space="preserve">, </w:t>
      </w:r>
      <w:proofErr w:type="spellStart"/>
      <w:r w:rsidRPr="00E4510D">
        <w:rPr>
          <w:i/>
          <w:iCs/>
          <w:color w:val="FF0000"/>
        </w:rPr>
        <w:t>consectetur</w:t>
      </w:r>
      <w:proofErr w:type="spellEnd"/>
      <w:r w:rsidRPr="00E4510D">
        <w:rPr>
          <w:i/>
          <w:iCs/>
          <w:color w:val="FF0000"/>
        </w:rPr>
        <w:t xml:space="preserve"> </w:t>
      </w:r>
      <w:proofErr w:type="spellStart"/>
      <w:r w:rsidRPr="00E4510D">
        <w:rPr>
          <w:i/>
          <w:iCs/>
          <w:color w:val="FF0000"/>
        </w:rPr>
        <w:t>adipiscing</w:t>
      </w:r>
      <w:proofErr w:type="spellEnd"/>
      <w:r w:rsidRPr="00E4510D">
        <w:rPr>
          <w:i/>
          <w:iCs/>
          <w:color w:val="FF0000"/>
        </w:rPr>
        <w:t xml:space="preserve"> </w:t>
      </w:r>
      <w:proofErr w:type="spellStart"/>
      <w:r w:rsidRPr="00E4510D">
        <w:rPr>
          <w:i/>
          <w:iCs/>
          <w:color w:val="FF0000"/>
        </w:rPr>
        <w:t>elit</w:t>
      </w:r>
      <w:proofErr w:type="spellEnd"/>
      <w:r w:rsidRPr="00E4510D">
        <w:rPr>
          <w:i/>
          <w:iCs/>
          <w:color w:val="FF0000"/>
        </w:rPr>
        <w:t xml:space="preserve">. Nunc </w:t>
      </w:r>
      <w:proofErr w:type="spellStart"/>
      <w:r w:rsidRPr="00E4510D">
        <w:rPr>
          <w:i/>
          <w:iCs/>
          <w:color w:val="FF0000"/>
        </w:rPr>
        <w:t>dapibus</w:t>
      </w:r>
      <w:proofErr w:type="spellEnd"/>
      <w:r w:rsidRPr="00E4510D">
        <w:rPr>
          <w:i/>
          <w:iCs/>
          <w:color w:val="FF0000"/>
        </w:rPr>
        <w:t xml:space="preserve"> </w:t>
      </w:r>
      <w:proofErr w:type="spellStart"/>
      <w:r w:rsidRPr="00E4510D">
        <w:rPr>
          <w:i/>
          <w:iCs/>
          <w:color w:val="FF0000"/>
        </w:rPr>
        <w:t>turpis</w:t>
      </w:r>
      <w:proofErr w:type="spellEnd"/>
      <w:r w:rsidRPr="00E4510D">
        <w:rPr>
          <w:i/>
          <w:iCs/>
          <w:color w:val="FF0000"/>
        </w:rPr>
        <w:t xml:space="preserve"> sed </w:t>
      </w:r>
      <w:proofErr w:type="spellStart"/>
      <w:r w:rsidRPr="00E4510D">
        <w:rPr>
          <w:i/>
          <w:iCs/>
          <w:color w:val="FF0000"/>
        </w:rPr>
        <w:t>mollis</w:t>
      </w:r>
      <w:proofErr w:type="spellEnd"/>
      <w:r w:rsidRPr="00E4510D">
        <w:rPr>
          <w:i/>
          <w:iCs/>
          <w:color w:val="FF0000"/>
        </w:rPr>
        <w:t xml:space="preserve"> </w:t>
      </w:r>
      <w:proofErr w:type="spellStart"/>
      <w:r w:rsidRPr="00E4510D">
        <w:rPr>
          <w:i/>
          <w:iCs/>
          <w:color w:val="FF0000"/>
        </w:rPr>
        <w:t>egestas</w:t>
      </w:r>
      <w:proofErr w:type="spellEnd"/>
      <w:r w:rsidRPr="00E4510D">
        <w:rPr>
          <w:i/>
          <w:iCs/>
          <w:color w:val="FF0000"/>
        </w:rPr>
        <w:t xml:space="preserve">. Sed pulvinar </w:t>
      </w:r>
      <w:proofErr w:type="spellStart"/>
      <w:r w:rsidRPr="00E4510D">
        <w:rPr>
          <w:i/>
          <w:iCs/>
          <w:color w:val="FF0000"/>
        </w:rPr>
        <w:t>accumsan</w:t>
      </w:r>
      <w:proofErr w:type="spellEnd"/>
      <w:r w:rsidRPr="00E4510D">
        <w:rPr>
          <w:i/>
          <w:iCs/>
          <w:color w:val="FF0000"/>
        </w:rPr>
        <w:t xml:space="preserve"> </w:t>
      </w:r>
      <w:proofErr w:type="spellStart"/>
      <w:r w:rsidRPr="00E4510D">
        <w:rPr>
          <w:i/>
          <w:iCs/>
          <w:color w:val="FF0000"/>
        </w:rPr>
        <w:t>est</w:t>
      </w:r>
      <w:proofErr w:type="spellEnd"/>
      <w:r w:rsidRPr="00E4510D">
        <w:rPr>
          <w:i/>
          <w:iCs/>
          <w:color w:val="FF0000"/>
        </w:rPr>
        <w:t xml:space="preserve">, </w:t>
      </w:r>
      <w:proofErr w:type="spellStart"/>
      <w:r w:rsidRPr="00E4510D">
        <w:rPr>
          <w:i/>
          <w:iCs/>
          <w:color w:val="FF0000"/>
        </w:rPr>
        <w:t>nec</w:t>
      </w:r>
      <w:proofErr w:type="spellEnd"/>
      <w:r w:rsidRPr="00E4510D">
        <w:rPr>
          <w:i/>
          <w:iCs/>
          <w:color w:val="FF0000"/>
        </w:rPr>
        <w:t xml:space="preserve"> </w:t>
      </w:r>
      <w:proofErr w:type="spellStart"/>
      <w:r w:rsidRPr="00E4510D">
        <w:rPr>
          <w:i/>
          <w:iCs/>
          <w:color w:val="FF0000"/>
        </w:rPr>
        <w:t>ornare</w:t>
      </w:r>
      <w:proofErr w:type="spellEnd"/>
      <w:r w:rsidRPr="00E4510D">
        <w:rPr>
          <w:i/>
          <w:iCs/>
          <w:color w:val="FF0000"/>
        </w:rPr>
        <w:t xml:space="preserve"> </w:t>
      </w:r>
      <w:proofErr w:type="spellStart"/>
      <w:r w:rsidRPr="00E4510D">
        <w:rPr>
          <w:i/>
          <w:iCs/>
          <w:color w:val="FF0000"/>
        </w:rPr>
        <w:t>erat</w:t>
      </w:r>
      <w:proofErr w:type="spellEnd"/>
      <w:r w:rsidRPr="00E4510D">
        <w:rPr>
          <w:i/>
          <w:iCs/>
          <w:color w:val="FF0000"/>
        </w:rPr>
        <w:t xml:space="preserve"> dictum sit </w:t>
      </w:r>
      <w:proofErr w:type="spellStart"/>
      <w:r w:rsidRPr="00E4510D">
        <w:rPr>
          <w:i/>
          <w:iCs/>
          <w:color w:val="FF0000"/>
        </w:rPr>
        <w:t>amet</w:t>
      </w:r>
      <w:proofErr w:type="spellEnd"/>
      <w:r w:rsidRPr="00E4510D">
        <w:rPr>
          <w:i/>
          <w:iCs/>
          <w:color w:val="FF0000"/>
        </w:rPr>
        <w:t xml:space="preserve">. </w:t>
      </w:r>
      <w:proofErr w:type="spellStart"/>
      <w:r w:rsidRPr="00E4510D">
        <w:rPr>
          <w:i/>
          <w:iCs/>
          <w:color w:val="FF0000"/>
          <w:lang w:val="es-MX"/>
        </w:rPr>
        <w:t>Vestibulum</w:t>
      </w:r>
      <w:proofErr w:type="spellEnd"/>
      <w:r w:rsidRPr="00E4510D">
        <w:rPr>
          <w:i/>
          <w:iCs/>
          <w:color w:val="FF0000"/>
          <w:lang w:val="es-MX"/>
        </w:rPr>
        <w:t xml:space="preserve"> ante </w:t>
      </w:r>
      <w:proofErr w:type="spellStart"/>
      <w:r w:rsidRPr="00E4510D">
        <w:rPr>
          <w:i/>
          <w:iCs/>
          <w:color w:val="FF0000"/>
          <w:lang w:val="es-MX"/>
        </w:rPr>
        <w:t>ipsum</w:t>
      </w:r>
      <w:proofErr w:type="spellEnd"/>
      <w:r w:rsidRPr="00E4510D">
        <w:rPr>
          <w:i/>
          <w:iCs/>
          <w:color w:val="FF0000"/>
          <w:lang w:val="es-MX"/>
        </w:rPr>
        <w:t xml:space="preserve"> </w:t>
      </w:r>
      <w:proofErr w:type="spellStart"/>
      <w:r w:rsidRPr="00E4510D">
        <w:rPr>
          <w:i/>
          <w:iCs/>
          <w:color w:val="FF0000"/>
          <w:lang w:val="es-MX"/>
        </w:rPr>
        <w:t>primis</w:t>
      </w:r>
      <w:proofErr w:type="spellEnd"/>
      <w:r w:rsidRPr="00E4510D">
        <w:rPr>
          <w:i/>
          <w:iCs/>
          <w:color w:val="FF0000"/>
          <w:lang w:val="es-MX"/>
        </w:rPr>
        <w:t xml:space="preserve"> in </w:t>
      </w:r>
      <w:proofErr w:type="spellStart"/>
      <w:r w:rsidRPr="00E4510D">
        <w:rPr>
          <w:i/>
          <w:iCs/>
          <w:color w:val="FF0000"/>
          <w:lang w:val="es-MX"/>
        </w:rPr>
        <w:t>faucibus</w:t>
      </w:r>
      <w:proofErr w:type="spellEnd"/>
      <w:r w:rsidRPr="00E4510D">
        <w:rPr>
          <w:i/>
          <w:iCs/>
          <w:color w:val="FF0000"/>
          <w:lang w:val="es-MX"/>
        </w:rPr>
        <w:t xml:space="preserve"> </w:t>
      </w:r>
      <w:proofErr w:type="spellStart"/>
      <w:r w:rsidRPr="00E4510D">
        <w:rPr>
          <w:i/>
          <w:iCs/>
          <w:color w:val="FF0000"/>
          <w:lang w:val="es-MX"/>
        </w:rPr>
        <w:t>orci</w:t>
      </w:r>
      <w:proofErr w:type="spellEnd"/>
      <w:r w:rsidRPr="00E4510D">
        <w:rPr>
          <w:i/>
          <w:iCs/>
          <w:color w:val="FF0000"/>
          <w:lang w:val="es-MX"/>
        </w:rPr>
        <w:t xml:space="preserve"> </w:t>
      </w:r>
      <w:proofErr w:type="spellStart"/>
      <w:r w:rsidRPr="00E4510D">
        <w:rPr>
          <w:i/>
          <w:iCs/>
          <w:color w:val="FF0000"/>
          <w:lang w:val="es-MX"/>
        </w:rPr>
        <w:t>luctus</w:t>
      </w:r>
      <w:proofErr w:type="spellEnd"/>
      <w:r w:rsidRPr="00E4510D">
        <w:rPr>
          <w:i/>
          <w:iCs/>
          <w:color w:val="FF0000"/>
          <w:lang w:val="es-MX"/>
        </w:rPr>
        <w:t xml:space="preserve"> et ultrices </w:t>
      </w:r>
      <w:proofErr w:type="spellStart"/>
      <w:r w:rsidRPr="00E4510D">
        <w:rPr>
          <w:i/>
          <w:iCs/>
          <w:color w:val="FF0000"/>
          <w:lang w:val="es-MX"/>
        </w:rPr>
        <w:t>posuere</w:t>
      </w:r>
      <w:proofErr w:type="spellEnd"/>
      <w:r w:rsidRPr="00E4510D">
        <w:rPr>
          <w:i/>
          <w:iCs/>
          <w:color w:val="FF0000"/>
          <w:lang w:val="es-MX"/>
        </w:rPr>
        <w:t xml:space="preserve"> </w:t>
      </w:r>
      <w:proofErr w:type="spellStart"/>
      <w:r w:rsidRPr="00E4510D">
        <w:rPr>
          <w:i/>
          <w:iCs/>
          <w:color w:val="FF0000"/>
          <w:lang w:val="es-MX"/>
        </w:rPr>
        <w:t>cubilia</w:t>
      </w:r>
      <w:proofErr w:type="spellEnd"/>
      <w:r w:rsidRPr="00E4510D">
        <w:rPr>
          <w:i/>
          <w:iCs/>
          <w:color w:val="FF0000"/>
          <w:lang w:val="es-MX"/>
        </w:rPr>
        <w:t xml:space="preserve"> </w:t>
      </w:r>
      <w:proofErr w:type="spellStart"/>
      <w:r w:rsidRPr="00E4510D">
        <w:rPr>
          <w:i/>
          <w:iCs/>
          <w:color w:val="FF0000"/>
          <w:lang w:val="es-MX"/>
        </w:rPr>
        <w:t>curae</w:t>
      </w:r>
      <w:proofErr w:type="spellEnd"/>
      <w:r w:rsidRPr="00E4510D">
        <w:rPr>
          <w:i/>
          <w:iCs/>
          <w:color w:val="FF0000"/>
          <w:lang w:val="es-MX"/>
        </w:rPr>
        <w:t xml:space="preserve">; Sed lacinia </w:t>
      </w:r>
      <w:proofErr w:type="spellStart"/>
      <w:r w:rsidRPr="00E4510D">
        <w:rPr>
          <w:i/>
          <w:iCs/>
          <w:color w:val="FF0000"/>
          <w:lang w:val="es-MX"/>
        </w:rPr>
        <w:t>quam</w:t>
      </w:r>
      <w:proofErr w:type="spellEnd"/>
      <w:r w:rsidRPr="00E4510D">
        <w:rPr>
          <w:i/>
          <w:iCs/>
          <w:color w:val="FF0000"/>
          <w:lang w:val="es-MX"/>
        </w:rPr>
        <w:t xml:space="preserve"> at </w:t>
      </w:r>
      <w:proofErr w:type="spellStart"/>
      <w:r w:rsidRPr="00E4510D">
        <w:rPr>
          <w:i/>
          <w:iCs/>
          <w:color w:val="FF0000"/>
          <w:lang w:val="es-MX"/>
        </w:rPr>
        <w:t>dignissim</w:t>
      </w:r>
      <w:proofErr w:type="spellEnd"/>
      <w:r w:rsidRPr="00E4510D">
        <w:rPr>
          <w:i/>
          <w:iCs/>
          <w:color w:val="FF0000"/>
          <w:lang w:val="es-MX"/>
        </w:rPr>
        <w:t xml:space="preserve"> </w:t>
      </w:r>
      <w:proofErr w:type="spellStart"/>
      <w:r w:rsidRPr="00E4510D">
        <w:rPr>
          <w:i/>
          <w:iCs/>
          <w:color w:val="FF0000"/>
          <w:lang w:val="es-MX"/>
        </w:rPr>
        <w:t>facilisis</w:t>
      </w:r>
      <w:proofErr w:type="spellEnd"/>
      <w:r w:rsidRPr="00E4510D">
        <w:rPr>
          <w:i/>
          <w:iCs/>
          <w:color w:val="FF0000"/>
          <w:lang w:val="es-MX"/>
        </w:rPr>
        <w:t xml:space="preserve">. </w:t>
      </w:r>
      <w:proofErr w:type="spellStart"/>
      <w:r w:rsidRPr="00E4510D">
        <w:rPr>
          <w:i/>
          <w:iCs/>
          <w:color w:val="FF0000"/>
          <w:lang w:val="es-MX"/>
        </w:rPr>
        <w:t>Pellentesque</w:t>
      </w:r>
      <w:proofErr w:type="spellEnd"/>
      <w:r w:rsidRPr="00E4510D">
        <w:rPr>
          <w:i/>
          <w:iCs/>
          <w:color w:val="FF0000"/>
          <w:lang w:val="es-MX"/>
        </w:rPr>
        <w:t xml:space="preserve"> et </w:t>
      </w:r>
      <w:proofErr w:type="spellStart"/>
      <w:r w:rsidRPr="00E4510D">
        <w:rPr>
          <w:i/>
          <w:iCs/>
          <w:color w:val="FF0000"/>
          <w:lang w:val="es-MX"/>
        </w:rPr>
        <w:t>dictum</w:t>
      </w:r>
      <w:proofErr w:type="spellEnd"/>
      <w:r w:rsidRPr="00E4510D">
        <w:rPr>
          <w:i/>
          <w:iCs/>
          <w:color w:val="FF0000"/>
          <w:lang w:val="es-MX"/>
        </w:rPr>
        <w:t xml:space="preserve"> </w:t>
      </w:r>
      <w:proofErr w:type="spellStart"/>
      <w:r w:rsidRPr="00E4510D">
        <w:rPr>
          <w:i/>
          <w:iCs/>
          <w:color w:val="FF0000"/>
          <w:lang w:val="es-MX"/>
        </w:rPr>
        <w:t>orci</w:t>
      </w:r>
      <w:proofErr w:type="spellEnd"/>
      <w:r w:rsidRPr="00E4510D">
        <w:rPr>
          <w:i/>
          <w:iCs/>
          <w:color w:val="FF0000"/>
          <w:lang w:val="es-MX"/>
        </w:rPr>
        <w:t xml:space="preserve">, </w:t>
      </w:r>
      <w:proofErr w:type="spellStart"/>
      <w:r w:rsidRPr="00E4510D">
        <w:rPr>
          <w:i/>
          <w:iCs/>
          <w:color w:val="FF0000"/>
          <w:lang w:val="es-MX"/>
        </w:rPr>
        <w:t>eu</w:t>
      </w:r>
      <w:proofErr w:type="spellEnd"/>
      <w:r w:rsidRPr="00E4510D">
        <w:rPr>
          <w:i/>
          <w:iCs/>
          <w:color w:val="FF0000"/>
          <w:lang w:val="es-MX"/>
        </w:rPr>
        <w:t xml:space="preserve"> </w:t>
      </w:r>
      <w:proofErr w:type="spellStart"/>
      <w:r w:rsidRPr="00E4510D">
        <w:rPr>
          <w:i/>
          <w:iCs/>
          <w:color w:val="FF0000"/>
          <w:lang w:val="es-MX"/>
        </w:rPr>
        <w:t>pellentesque</w:t>
      </w:r>
      <w:proofErr w:type="spellEnd"/>
      <w:r w:rsidRPr="00E4510D">
        <w:rPr>
          <w:i/>
          <w:iCs/>
          <w:color w:val="FF0000"/>
          <w:lang w:val="es-MX"/>
        </w:rPr>
        <w:t xml:space="preserve"> </w:t>
      </w:r>
      <w:proofErr w:type="spellStart"/>
      <w:r w:rsidRPr="00E4510D">
        <w:rPr>
          <w:i/>
          <w:iCs/>
          <w:color w:val="FF0000"/>
          <w:lang w:val="es-MX"/>
        </w:rPr>
        <w:t>mi</w:t>
      </w:r>
      <w:proofErr w:type="spellEnd"/>
      <w:r w:rsidRPr="00E4510D">
        <w:rPr>
          <w:i/>
          <w:iCs/>
          <w:color w:val="FF0000"/>
          <w:lang w:val="es-MX"/>
        </w:rPr>
        <w:t xml:space="preserve">. </w:t>
      </w:r>
      <w:proofErr w:type="spellStart"/>
      <w:r w:rsidRPr="00E4510D">
        <w:rPr>
          <w:i/>
          <w:iCs/>
          <w:color w:val="FF0000"/>
        </w:rPr>
        <w:t>Aliquam</w:t>
      </w:r>
      <w:proofErr w:type="spellEnd"/>
      <w:r w:rsidRPr="00E4510D">
        <w:rPr>
          <w:i/>
          <w:iCs/>
          <w:color w:val="FF0000"/>
        </w:rPr>
        <w:t xml:space="preserve"> </w:t>
      </w:r>
      <w:proofErr w:type="spellStart"/>
      <w:r w:rsidRPr="00E4510D">
        <w:rPr>
          <w:i/>
          <w:iCs/>
          <w:color w:val="FF0000"/>
        </w:rPr>
        <w:t>erat</w:t>
      </w:r>
      <w:proofErr w:type="spellEnd"/>
      <w:r w:rsidRPr="00E4510D">
        <w:rPr>
          <w:i/>
          <w:iCs/>
          <w:color w:val="FF0000"/>
        </w:rPr>
        <w:t xml:space="preserve"> </w:t>
      </w:r>
      <w:proofErr w:type="spellStart"/>
      <w:r w:rsidRPr="00E4510D">
        <w:rPr>
          <w:i/>
          <w:iCs/>
          <w:color w:val="FF0000"/>
        </w:rPr>
        <w:t>volutpat</w:t>
      </w:r>
      <w:proofErr w:type="spellEnd"/>
      <w:r w:rsidRPr="00E4510D">
        <w:rPr>
          <w:i/>
          <w:iCs/>
          <w:color w:val="FF0000"/>
        </w:rPr>
        <w:t xml:space="preserve">. Sed </w:t>
      </w:r>
      <w:proofErr w:type="spellStart"/>
      <w:r w:rsidRPr="00E4510D">
        <w:rPr>
          <w:i/>
          <w:iCs/>
          <w:color w:val="FF0000"/>
        </w:rPr>
        <w:t>odio</w:t>
      </w:r>
      <w:proofErr w:type="spellEnd"/>
      <w:r w:rsidRPr="00E4510D">
        <w:rPr>
          <w:i/>
          <w:iCs/>
          <w:color w:val="FF0000"/>
        </w:rPr>
        <w:t xml:space="preserve"> ante, </w:t>
      </w:r>
      <w:proofErr w:type="spellStart"/>
      <w:r w:rsidRPr="00E4510D">
        <w:rPr>
          <w:i/>
          <w:iCs/>
          <w:color w:val="FF0000"/>
        </w:rPr>
        <w:t>varius</w:t>
      </w:r>
      <w:proofErr w:type="spellEnd"/>
      <w:r w:rsidRPr="00E4510D">
        <w:rPr>
          <w:i/>
          <w:iCs/>
          <w:color w:val="FF0000"/>
        </w:rPr>
        <w:t xml:space="preserve"> et </w:t>
      </w:r>
      <w:proofErr w:type="spellStart"/>
      <w:r w:rsidRPr="00E4510D">
        <w:rPr>
          <w:i/>
          <w:iCs/>
          <w:color w:val="FF0000"/>
        </w:rPr>
        <w:t>tellus</w:t>
      </w:r>
      <w:proofErr w:type="spellEnd"/>
      <w:r w:rsidRPr="00E4510D">
        <w:rPr>
          <w:i/>
          <w:iCs/>
          <w:color w:val="FF0000"/>
        </w:rPr>
        <w:t xml:space="preserve"> sed, </w:t>
      </w:r>
      <w:proofErr w:type="spellStart"/>
      <w:r w:rsidRPr="00E4510D">
        <w:rPr>
          <w:i/>
          <w:iCs/>
          <w:color w:val="FF0000"/>
        </w:rPr>
        <w:t>interdum</w:t>
      </w:r>
      <w:proofErr w:type="spellEnd"/>
      <w:r w:rsidRPr="00E4510D">
        <w:rPr>
          <w:i/>
          <w:iCs/>
          <w:color w:val="FF0000"/>
        </w:rPr>
        <w:t xml:space="preserve"> </w:t>
      </w:r>
      <w:proofErr w:type="spellStart"/>
      <w:r w:rsidRPr="00E4510D">
        <w:rPr>
          <w:i/>
          <w:iCs/>
          <w:color w:val="FF0000"/>
        </w:rPr>
        <w:t>ultricies</w:t>
      </w:r>
      <w:proofErr w:type="spellEnd"/>
      <w:r w:rsidRPr="00E4510D">
        <w:rPr>
          <w:i/>
          <w:iCs/>
          <w:color w:val="FF0000"/>
        </w:rPr>
        <w:t xml:space="preserve"> </w:t>
      </w:r>
      <w:proofErr w:type="spellStart"/>
      <w:r w:rsidRPr="00E4510D">
        <w:rPr>
          <w:i/>
          <w:iCs/>
          <w:color w:val="FF0000"/>
        </w:rPr>
        <w:t>tellus</w:t>
      </w:r>
      <w:proofErr w:type="spellEnd"/>
      <w:r w:rsidRPr="00E4510D">
        <w:rPr>
          <w:i/>
          <w:iCs/>
          <w:color w:val="FF0000"/>
        </w:rPr>
        <w:t xml:space="preserve">. Vestibulum </w:t>
      </w:r>
      <w:proofErr w:type="spellStart"/>
      <w:r w:rsidRPr="00E4510D">
        <w:rPr>
          <w:i/>
          <w:iCs/>
          <w:color w:val="FF0000"/>
        </w:rPr>
        <w:t>vestibulum</w:t>
      </w:r>
      <w:proofErr w:type="spellEnd"/>
      <w:r w:rsidRPr="00E4510D">
        <w:rPr>
          <w:i/>
          <w:iCs/>
          <w:color w:val="FF0000"/>
        </w:rPr>
        <w:t xml:space="preserve"> </w:t>
      </w:r>
      <w:proofErr w:type="spellStart"/>
      <w:r w:rsidRPr="00E4510D">
        <w:rPr>
          <w:i/>
          <w:iCs/>
          <w:color w:val="FF0000"/>
        </w:rPr>
        <w:t>mollis</w:t>
      </w:r>
      <w:proofErr w:type="spellEnd"/>
      <w:r w:rsidRPr="00E4510D">
        <w:rPr>
          <w:i/>
          <w:iCs/>
          <w:color w:val="FF0000"/>
        </w:rPr>
        <w:t xml:space="preserve"> ex in pharetra. Morbi tempus dolor in diam </w:t>
      </w:r>
      <w:proofErr w:type="spellStart"/>
      <w:r w:rsidRPr="00E4510D">
        <w:rPr>
          <w:i/>
          <w:iCs/>
          <w:color w:val="FF0000"/>
        </w:rPr>
        <w:t>molestie</w:t>
      </w:r>
      <w:proofErr w:type="spellEnd"/>
      <w:r w:rsidRPr="00E4510D">
        <w:rPr>
          <w:i/>
          <w:iCs/>
          <w:color w:val="FF0000"/>
        </w:rPr>
        <w:t xml:space="preserve"> </w:t>
      </w:r>
      <w:proofErr w:type="spellStart"/>
      <w:r w:rsidRPr="00E4510D">
        <w:rPr>
          <w:i/>
          <w:iCs/>
          <w:color w:val="FF0000"/>
        </w:rPr>
        <w:t>tincidunt</w:t>
      </w:r>
      <w:proofErr w:type="spellEnd"/>
      <w:r w:rsidRPr="00E4510D">
        <w:rPr>
          <w:i/>
          <w:iCs/>
          <w:color w:val="FF0000"/>
        </w:rPr>
        <w:t xml:space="preserve">. Duis fermentum </w:t>
      </w:r>
      <w:proofErr w:type="spellStart"/>
      <w:r w:rsidRPr="00E4510D">
        <w:rPr>
          <w:i/>
          <w:iCs/>
          <w:color w:val="FF0000"/>
        </w:rPr>
        <w:t>urna</w:t>
      </w:r>
      <w:proofErr w:type="spellEnd"/>
      <w:r w:rsidRPr="00E4510D">
        <w:rPr>
          <w:i/>
          <w:iCs/>
          <w:color w:val="FF0000"/>
        </w:rPr>
        <w:t xml:space="preserve"> vel </w:t>
      </w:r>
      <w:proofErr w:type="spellStart"/>
      <w:r w:rsidRPr="00E4510D">
        <w:rPr>
          <w:i/>
          <w:iCs/>
          <w:color w:val="FF0000"/>
        </w:rPr>
        <w:t>rhoncus</w:t>
      </w:r>
      <w:proofErr w:type="spellEnd"/>
      <w:r w:rsidRPr="00E4510D">
        <w:rPr>
          <w:i/>
          <w:iCs/>
          <w:color w:val="FF0000"/>
        </w:rPr>
        <w:t xml:space="preserve"> </w:t>
      </w:r>
      <w:proofErr w:type="spellStart"/>
      <w:r w:rsidRPr="00E4510D">
        <w:rPr>
          <w:i/>
          <w:iCs/>
          <w:color w:val="FF0000"/>
        </w:rPr>
        <w:t>tincidunt</w:t>
      </w:r>
      <w:proofErr w:type="spellEnd"/>
      <w:r w:rsidRPr="00E4510D">
        <w:rPr>
          <w:i/>
          <w:iCs/>
          <w:color w:val="FF0000"/>
        </w:rPr>
        <w:t xml:space="preserve">. </w:t>
      </w:r>
      <w:proofErr w:type="spellStart"/>
      <w:r w:rsidRPr="00E4510D">
        <w:rPr>
          <w:i/>
          <w:iCs/>
          <w:color w:val="FF0000"/>
        </w:rPr>
        <w:t>Nulla</w:t>
      </w:r>
      <w:proofErr w:type="spellEnd"/>
      <w:r w:rsidRPr="00E4510D">
        <w:rPr>
          <w:i/>
          <w:iCs/>
          <w:color w:val="FF0000"/>
        </w:rPr>
        <w:t xml:space="preserve"> </w:t>
      </w:r>
      <w:proofErr w:type="spellStart"/>
      <w:r w:rsidRPr="00E4510D">
        <w:rPr>
          <w:i/>
          <w:iCs/>
          <w:color w:val="FF0000"/>
        </w:rPr>
        <w:t>fringilla</w:t>
      </w:r>
      <w:proofErr w:type="spellEnd"/>
      <w:r w:rsidRPr="00E4510D">
        <w:rPr>
          <w:i/>
          <w:iCs/>
          <w:color w:val="FF0000"/>
        </w:rPr>
        <w:t xml:space="preserve">, </w:t>
      </w:r>
      <w:proofErr w:type="spellStart"/>
      <w:r w:rsidRPr="00E4510D">
        <w:rPr>
          <w:i/>
          <w:iCs/>
          <w:color w:val="FF0000"/>
        </w:rPr>
        <w:t>enim</w:t>
      </w:r>
      <w:proofErr w:type="spellEnd"/>
      <w:r w:rsidRPr="00E4510D">
        <w:rPr>
          <w:i/>
          <w:iCs/>
          <w:color w:val="FF0000"/>
        </w:rPr>
        <w:t xml:space="preserve"> ac </w:t>
      </w:r>
      <w:proofErr w:type="spellStart"/>
      <w:r w:rsidRPr="00E4510D">
        <w:rPr>
          <w:i/>
          <w:iCs/>
          <w:color w:val="FF0000"/>
        </w:rPr>
        <w:t>ornare</w:t>
      </w:r>
      <w:proofErr w:type="spellEnd"/>
      <w:r w:rsidRPr="00E4510D">
        <w:rPr>
          <w:i/>
          <w:iCs/>
          <w:color w:val="FF0000"/>
        </w:rPr>
        <w:t xml:space="preserve"> </w:t>
      </w:r>
      <w:proofErr w:type="spellStart"/>
      <w:r w:rsidRPr="00E4510D">
        <w:rPr>
          <w:i/>
          <w:iCs/>
          <w:color w:val="FF0000"/>
        </w:rPr>
        <w:t>congue</w:t>
      </w:r>
      <w:proofErr w:type="spellEnd"/>
      <w:r w:rsidRPr="00E4510D">
        <w:rPr>
          <w:i/>
          <w:iCs/>
          <w:color w:val="FF0000"/>
        </w:rPr>
        <w:t xml:space="preserve">, </w:t>
      </w:r>
      <w:proofErr w:type="spellStart"/>
      <w:r w:rsidRPr="00E4510D">
        <w:rPr>
          <w:i/>
          <w:iCs/>
          <w:color w:val="FF0000"/>
        </w:rPr>
        <w:t>risus</w:t>
      </w:r>
      <w:proofErr w:type="spellEnd"/>
      <w:r w:rsidRPr="00E4510D">
        <w:rPr>
          <w:i/>
          <w:iCs/>
          <w:color w:val="FF0000"/>
        </w:rPr>
        <w:t xml:space="preserve"> libero </w:t>
      </w:r>
      <w:proofErr w:type="spellStart"/>
      <w:r w:rsidRPr="00E4510D">
        <w:rPr>
          <w:i/>
          <w:iCs/>
          <w:color w:val="FF0000"/>
        </w:rPr>
        <w:t>consequat</w:t>
      </w:r>
      <w:proofErr w:type="spellEnd"/>
      <w:r w:rsidRPr="00E4510D">
        <w:rPr>
          <w:i/>
          <w:iCs/>
          <w:color w:val="FF0000"/>
        </w:rPr>
        <w:t xml:space="preserve"> </w:t>
      </w:r>
      <w:proofErr w:type="spellStart"/>
      <w:r w:rsidRPr="00E4510D">
        <w:rPr>
          <w:i/>
          <w:iCs/>
          <w:color w:val="FF0000"/>
        </w:rPr>
        <w:t>risus</w:t>
      </w:r>
      <w:proofErr w:type="spellEnd"/>
      <w:r w:rsidRPr="00E4510D">
        <w:rPr>
          <w:i/>
          <w:iCs/>
          <w:color w:val="FF0000"/>
        </w:rPr>
        <w:t xml:space="preserve">, vel </w:t>
      </w:r>
      <w:proofErr w:type="spellStart"/>
      <w:r w:rsidRPr="00E4510D">
        <w:rPr>
          <w:i/>
          <w:iCs/>
          <w:color w:val="FF0000"/>
        </w:rPr>
        <w:t>faucibus</w:t>
      </w:r>
      <w:proofErr w:type="spellEnd"/>
      <w:r w:rsidRPr="00E4510D">
        <w:rPr>
          <w:i/>
          <w:iCs/>
          <w:color w:val="FF0000"/>
        </w:rPr>
        <w:t xml:space="preserve"> </w:t>
      </w:r>
      <w:proofErr w:type="spellStart"/>
      <w:r w:rsidRPr="00E4510D">
        <w:rPr>
          <w:i/>
          <w:iCs/>
          <w:color w:val="FF0000"/>
        </w:rPr>
        <w:t>felis</w:t>
      </w:r>
      <w:proofErr w:type="spellEnd"/>
      <w:r w:rsidRPr="00E4510D">
        <w:rPr>
          <w:i/>
          <w:iCs/>
          <w:color w:val="FF0000"/>
        </w:rPr>
        <w:t xml:space="preserve"> </w:t>
      </w:r>
      <w:proofErr w:type="spellStart"/>
      <w:r w:rsidRPr="00E4510D">
        <w:rPr>
          <w:i/>
          <w:iCs/>
          <w:color w:val="FF0000"/>
        </w:rPr>
        <w:t>sem</w:t>
      </w:r>
      <w:proofErr w:type="spellEnd"/>
      <w:r w:rsidRPr="00E4510D">
        <w:rPr>
          <w:i/>
          <w:iCs/>
          <w:color w:val="FF0000"/>
        </w:rPr>
        <w:t xml:space="preserve"> id </w:t>
      </w:r>
      <w:proofErr w:type="spellStart"/>
      <w:r w:rsidRPr="00E4510D">
        <w:rPr>
          <w:i/>
          <w:iCs/>
          <w:color w:val="FF0000"/>
        </w:rPr>
        <w:t>orci</w:t>
      </w:r>
      <w:proofErr w:type="spellEnd"/>
      <w:r w:rsidRPr="00E4510D">
        <w:rPr>
          <w:i/>
          <w:iCs/>
          <w:color w:val="FF0000"/>
        </w:rPr>
        <w:t>.</w:t>
      </w:r>
    </w:p>
    <w:p w14:paraId="5C9F2C70" w14:textId="77777777" w:rsidR="003031BE" w:rsidRPr="00B07BD3" w:rsidRDefault="003031BE" w:rsidP="003031BE">
      <w:pPr>
        <w:pStyle w:val="para1"/>
        <w:ind w:firstLine="0"/>
      </w:pPr>
    </w:p>
    <w:p w14:paraId="03E5D896" w14:textId="77777777" w:rsidR="00CD5768" w:rsidRDefault="00CD5768" w:rsidP="003031BE">
      <w:pPr>
        <w:pStyle w:val="Head1"/>
        <w:outlineLvl w:val="0"/>
        <w:sectPr w:rsidR="00CD5768" w:rsidSect="002308F0">
          <w:pgSz w:w="12240" w:h="15840"/>
          <w:pgMar w:top="1440" w:right="1440" w:bottom="1440" w:left="1440" w:header="720" w:footer="720" w:gutter="0"/>
          <w:cols w:space="720"/>
          <w:docGrid w:linePitch="360"/>
        </w:sectPr>
      </w:pPr>
    </w:p>
    <w:p w14:paraId="6178A69E" w14:textId="77777777" w:rsidR="003031BE" w:rsidRPr="00B07BD3" w:rsidRDefault="003031BE" w:rsidP="003031BE">
      <w:pPr>
        <w:pStyle w:val="Head1"/>
        <w:outlineLvl w:val="0"/>
      </w:pPr>
      <w:r w:rsidRPr="00B07BD3">
        <w:t>Introduction</w:t>
      </w:r>
    </w:p>
    <w:p w14:paraId="1D732376" w14:textId="052A3B9F" w:rsidR="00CD5768" w:rsidRPr="00B07BD3" w:rsidRDefault="00CD5768" w:rsidP="00CD5768">
      <w:pPr>
        <w:pStyle w:val="para1"/>
      </w:pPr>
      <w:r>
        <w:tab/>
      </w:r>
      <w:r w:rsidRPr="00B07BD3">
        <w:t xml:space="preserve">Geologic CO2 sequestration (GCS) has emerged as an important technology to reduce anthropogenic greenhouse gas emissions to the atmosphere </w:t>
      </w:r>
      <w:sdt>
        <w:sdtPr>
          <w:id w:val="1127751609"/>
          <w:citation/>
        </w:sdtPr>
        <w:sdtContent>
          <w:r w:rsidRPr="00B07BD3">
            <w:fldChar w:fldCharType="begin"/>
          </w:r>
          <w:r w:rsidRPr="00B07BD3">
            <w:instrText xml:space="preserve">CITATION Met05 \m Mic10 \l 1033 </w:instrText>
          </w:r>
          <w:r w:rsidRPr="00B07BD3">
            <w:fldChar w:fldCharType="separate"/>
          </w:r>
          <w:r w:rsidRPr="00B07BD3">
            <w:rPr>
              <w:noProof/>
            </w:rPr>
            <w:t>(Metz, 2005; Michael, et al., 2010)</w:t>
          </w:r>
          <w:r w:rsidRPr="00B07BD3">
            <w:fldChar w:fldCharType="end"/>
          </w:r>
        </w:sdtContent>
      </w:sdt>
      <w:r w:rsidRPr="00B07BD3">
        <w:t xml:space="preserve">. Different types of underground formations have been proposed to store CO2 emissions including oil and gas reservoirs, coal beds and seams, and deep saline aquifers </w:t>
      </w:r>
      <w:sdt>
        <w:sdtPr>
          <w:id w:val="-139732667"/>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The main concern in GCS projects is potential leakage of the CO2 through leakage pathways, such as improperly abandoned wells, faults, and fractures </w:t>
      </w:r>
      <w:sdt>
        <w:sdtPr>
          <w:id w:val="-1253657494"/>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Such risks can pose a major threat to overlying resources (e.g., groundwater resources, </w:t>
      </w:r>
      <w:r w:rsidRPr="00B07BD3">
        <w:t>oil</w:t>
      </w:r>
      <w:r>
        <w:t xml:space="preserve"> </w:t>
      </w:r>
      <w:r w:rsidRPr="00B07BD3">
        <w:t xml:space="preserve">and gas reservoirs, etc.) and human health </w:t>
      </w:r>
      <w:sdt>
        <w:sdtPr>
          <w:id w:val="129520952"/>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Monitoring and verifying CO2 behavior within the subsurface reservoir are crucial for assessing storage capacity, detecting potential leakage, and evaluating environmental impacts </w:t>
      </w:r>
      <w:sdt>
        <w:sdtPr>
          <w:id w:val="-873539868"/>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w:t>
      </w:r>
    </w:p>
    <w:p w14:paraId="6524330B" w14:textId="77777777" w:rsidR="00CD5768" w:rsidRPr="00B07BD3" w:rsidRDefault="00CD5768" w:rsidP="00CD5768">
      <w:pPr>
        <w:pStyle w:val="para1"/>
      </w:pPr>
      <w:r w:rsidRPr="00B07BD3">
        <w:t xml:space="preserve">To ensure safe and efficient operations in a large-scale GCS site, risk management techniques are used to minimize and mitigate potential risks during CO2 injection and post-injection periods </w:t>
      </w:r>
      <w:sdt>
        <w:sdtPr>
          <w:id w:val="364265071"/>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Monitoring is thus an important aspect of CGS risk management. Several monitoring techniques have been developed, including near surface CO2 flux and tracer measurements </w:t>
      </w:r>
      <w:sdt>
        <w:sdtPr>
          <w:id w:val="-1691683909"/>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groundwater chemistry monitoring </w:t>
      </w:r>
      <w:sdt>
        <w:sdtPr>
          <w:id w:val="1350677279"/>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seismic surveying </w:t>
      </w:r>
      <w:sdt>
        <w:sdtPr>
          <w:id w:val="1535779955"/>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and pressure monitoring </w:t>
      </w:r>
      <w:sdt>
        <w:sdtPr>
          <w:id w:val="-334689063"/>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w:t>
      </w:r>
    </w:p>
    <w:p w14:paraId="38C70A48" w14:textId="4682C433" w:rsidR="00CD5768" w:rsidRDefault="00CD5768" w:rsidP="00CD5768">
      <w:pPr>
        <w:pStyle w:val="para1"/>
      </w:pPr>
      <w:r w:rsidRPr="00B07BD3">
        <w:t>Optimal sensor placement and monitoring design play a critical role in achieving accurate and efficient monitoring in GCS projects. Depending on the reservoir properties and heterogeneity, the placement of monitoring wells can provide a more accurate measurement of the injected CO2 plume and help mitigate potential leakage risks.</w:t>
      </w:r>
      <w:r>
        <w:t xml:space="preserve"> In common CGS operations, each injection well is paired with one monitoring well, though large-scale projects often incorporate a larger number of monitoring wells. Moreover, the selection of monitoring measurement plays an important role in reducing uncertainties and quantifying risks in GCS operations. Therefore, it is crucial to define an optimal monitoring strategy in terms of both well placement and monitoring measurement type. </w:t>
      </w:r>
    </w:p>
    <w:p w14:paraId="3938308D" w14:textId="4A73323A" w:rsidR="00CD5768" w:rsidRDefault="00CD5768" w:rsidP="00CD5768">
      <w:pPr>
        <w:pStyle w:val="para1"/>
      </w:pPr>
      <w:r>
        <w:t xml:space="preserve">Recent advancement in monitoring systems such as smart or intelligent wells are capable of providing large amounts of data in terms of volume, velocity, variety, value, and veracity. Classical techniques in data processing and forecasting are sometimes hindered by big data, therefore machine learning provides a </w:t>
      </w:r>
      <w:r w:rsidR="00ED70AB">
        <w:t>promising</w:t>
      </w:r>
      <w:r>
        <w:t xml:space="preserve"> approach to </w:t>
      </w:r>
      <w:r w:rsidR="00ED70AB">
        <w:t>enhance da</w:t>
      </w:r>
      <w:r>
        <w:t>ta-drive</w:t>
      </w:r>
      <w:r w:rsidR="00ED70AB">
        <w:t>n</w:t>
      </w:r>
      <w:r>
        <w:t xml:space="preserve"> monitoring and </w:t>
      </w:r>
      <w:r>
        <w:lastRenderedPageBreak/>
        <w:t xml:space="preserve">quantification of large-scale GCS projects. </w:t>
      </w:r>
      <w:r w:rsidR="00ED70AB">
        <w:t>Machine learning approaches, when combined with reduced-order modeling (ROM) techniques, enable efficient and accurate prediction of key parameters, including pressure distribution, CO2 plume migration, and reservoir behavior. By analyzing extensive datasets, machine learning algorithms can uncover complex latent patterns and relationships that may not be discernible through traditional methods. These insights facilitate the optimization of sensor placement and monitoring strategies, enabling better decision making in GCS projects.</w:t>
      </w:r>
    </w:p>
    <w:p w14:paraId="1D483317" w14:textId="6F42C48B" w:rsidR="00ED70AB" w:rsidRDefault="00ED70AB" w:rsidP="00CD5768">
      <w:pPr>
        <w:pStyle w:val="para1"/>
      </w:pPr>
      <w:r>
        <w:t xml:space="preserve">Accurately quantifying uncertainties is vital for the reliability of predictions and optimizing monitoring design under uncertain conditions. Uncertainty quantification is particularly important in GCS due to inherent complexities and variabilities associated with subsurface conditions, fluid flow, and measurement errors. Markov Chain Monte Carlo (MCMC) filter-based approaches provide a robust framework for characterizing uncertainties associated with reservoir properties, operating conditions, and measurement errors. Leveraging MCMC techniques allows for informed risk assessment, ensuring the safety and efficiency of GCS projects. </w:t>
      </w:r>
    </w:p>
    <w:p w14:paraId="7EEC243D" w14:textId="0B611C3C" w:rsidR="00ED70AB" w:rsidRDefault="00ED70AB" w:rsidP="00CD5768">
      <w:pPr>
        <w:pStyle w:val="para1"/>
      </w:pPr>
      <w:r>
        <w:t xml:space="preserve">Numerous research endeavors have been dedicated to addressing monitoring design, sensor placement, and uncertainty quantification in GCS. Previous studies have explored various modeling techniques, simulation frameworks, and optimization algorithms to enhance monitoring strategies and improve forecasting. These investigations have focused on different aspects, such as multi-objective optimization, real-time monitoring, and adaptive sampling strategies. In this paper, we build upon the work of Chen et al. (2018) to systematically design an optimal monitoring placement and measurement strategy for large-scale GCS. </w:t>
      </w:r>
    </w:p>
    <w:p w14:paraId="7D317044" w14:textId="221ECA81" w:rsidR="00ED70AB" w:rsidRDefault="00ED70AB" w:rsidP="00CD5768">
      <w:pPr>
        <w:pStyle w:val="para1"/>
      </w:pPr>
      <w:r>
        <w:t xml:space="preserve">We propose a novel method for optimal sensor placement and monitoring design in GCS, leveraging a ROM-based predictive model and a filter-based data assimilation approach to select the most informative monitoring well location and measurement type in order to reduce uncertainties and CO2 leakage risks. By integrating machine learning techniques, uncertainty quantification methods, and optimization algorithms, we aim to enhance the efficiency, accuracy, and reliability of monitoring systems in GCS projects. </w:t>
      </w:r>
    </w:p>
    <w:p w14:paraId="257EA28C" w14:textId="00FF21BF" w:rsidR="003031BE" w:rsidRPr="00B07BD3" w:rsidRDefault="002308F0" w:rsidP="002308F0">
      <w:pPr>
        <w:pStyle w:val="para1"/>
      </w:pPr>
      <w:r>
        <w:t>The structure of this paper is as follows: Section 2 present our methodology, Section 3 presents the results of our approach for two synthetic cases, and Section 4 summarizes our findings, discusses their implications, and outlines potential avenues for future research in the field of GCS.</w:t>
      </w:r>
    </w:p>
    <w:p w14:paraId="062E9467" w14:textId="77777777" w:rsidR="003031BE" w:rsidRPr="00B07BD3" w:rsidRDefault="003031BE" w:rsidP="003031BE">
      <w:pPr>
        <w:pStyle w:val="para1"/>
        <w:ind w:firstLine="0"/>
      </w:pPr>
    </w:p>
    <w:p w14:paraId="43FFE818" w14:textId="77777777" w:rsidR="003031BE" w:rsidRPr="00B07BD3" w:rsidRDefault="003031BE" w:rsidP="003031BE">
      <w:pPr>
        <w:pStyle w:val="Head1"/>
        <w:outlineLvl w:val="0"/>
      </w:pPr>
      <w:r w:rsidRPr="00B07BD3">
        <w:t>Methodology</w:t>
      </w:r>
    </w:p>
    <w:p w14:paraId="4B77AECB" w14:textId="77777777" w:rsidR="003031BE" w:rsidRPr="00B07BD3" w:rsidRDefault="003031BE" w:rsidP="003031BE">
      <w:pPr>
        <w:pStyle w:val="para1"/>
      </w:pPr>
    </w:p>
    <w:p w14:paraId="59DF1183" w14:textId="417DA360"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5DAFA714" w14:textId="77777777" w:rsidR="003031BE" w:rsidRPr="00B07BD3" w:rsidRDefault="003031BE" w:rsidP="003031BE">
      <w:pPr>
        <w:pStyle w:val="para1"/>
      </w:pPr>
    </w:p>
    <w:p w14:paraId="36A997F6" w14:textId="31997C57" w:rsidR="003031BE" w:rsidRPr="00B07BD3" w:rsidRDefault="002308F0" w:rsidP="003031BE">
      <w:pPr>
        <w:pStyle w:val="Head1"/>
        <w:outlineLvl w:val="0"/>
      </w:pPr>
      <w:r>
        <w:t>Results</w:t>
      </w:r>
    </w:p>
    <w:p w14:paraId="23378F36" w14:textId="77777777" w:rsidR="003031BE" w:rsidRPr="00B07BD3" w:rsidRDefault="003031BE" w:rsidP="003031BE">
      <w:pPr>
        <w:pStyle w:val="para"/>
      </w:pPr>
    </w:p>
    <w:p w14:paraId="66F1EDDC" w14:textId="2D681EA9"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lastRenderedPageBreak/>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2147F0FE" w14:textId="77777777" w:rsidR="007D74F4" w:rsidRDefault="007D74F4" w:rsidP="003031BE">
      <w:pPr>
        <w:pStyle w:val="para1"/>
        <w:jc w:val="center"/>
        <w:rPr>
          <w:noProof/>
          <w14:ligatures w14:val="standardContextual"/>
        </w:rPr>
      </w:pPr>
    </w:p>
    <w:p w14:paraId="0C845836" w14:textId="01D9F2E5" w:rsidR="003031BE" w:rsidRPr="00B07BD3" w:rsidRDefault="007D74F4" w:rsidP="003031BE">
      <w:pPr>
        <w:pStyle w:val="para1"/>
        <w:jc w:val="center"/>
      </w:pPr>
      <w:r w:rsidRPr="007D74F4">
        <w:rPr>
          <w:noProof/>
          <w14:ligatures w14:val="standardContextual"/>
        </w:rPr>
        <w:t xml:space="preserve"> </w:t>
      </w:r>
      <w:r w:rsidRPr="007D74F4">
        <w:rPr>
          <w:noProof/>
        </w:rPr>
        <w:drawing>
          <wp:inline distT="0" distB="0" distL="0" distR="0" wp14:anchorId="454DCA1F" wp14:editId="7B5A69C1">
            <wp:extent cx="2545686" cy="175967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1720" cy="1763850"/>
                    </a:xfrm>
                    <a:prstGeom prst="rect">
                      <a:avLst/>
                    </a:prstGeom>
                  </pic:spPr>
                </pic:pic>
              </a:graphicData>
            </a:graphic>
          </wp:inline>
        </w:drawing>
      </w:r>
    </w:p>
    <w:p w14:paraId="4C38C7D0" w14:textId="77777777" w:rsidR="003031BE" w:rsidRPr="00B07BD3" w:rsidRDefault="003031BE" w:rsidP="003031BE">
      <w:pPr>
        <w:pStyle w:val="Caption"/>
        <w:jc w:val="both"/>
        <w:rPr>
          <w:b/>
          <w:bCs/>
          <w:i w:val="0"/>
          <w:iCs w:val="0"/>
          <w:color w:val="000000" w:themeColor="text1"/>
          <w:sz w:val="20"/>
          <w:szCs w:val="20"/>
        </w:rPr>
      </w:pPr>
      <w:bookmarkStart w:id="0" w:name="_Ref126761388"/>
      <w:r w:rsidRPr="00B07BD3">
        <w:rPr>
          <w:b/>
          <w:bCs/>
          <w:i w:val="0"/>
          <w:iCs w:val="0"/>
          <w:color w:val="000000" w:themeColor="text1"/>
          <w:sz w:val="20"/>
          <w:szCs w:val="20"/>
        </w:rPr>
        <w:t xml:space="preserve">Figure </w:t>
      </w:r>
      <w:r w:rsidRPr="00B07BD3">
        <w:rPr>
          <w:b/>
          <w:bCs/>
          <w:i w:val="0"/>
          <w:iCs w:val="0"/>
          <w:color w:val="000000" w:themeColor="text1"/>
          <w:sz w:val="20"/>
          <w:szCs w:val="20"/>
        </w:rPr>
        <w:fldChar w:fldCharType="begin"/>
      </w:r>
      <w:r w:rsidRPr="00B07BD3">
        <w:rPr>
          <w:b/>
          <w:bCs/>
          <w:i w:val="0"/>
          <w:iCs w:val="0"/>
          <w:color w:val="000000" w:themeColor="text1"/>
          <w:sz w:val="20"/>
          <w:szCs w:val="20"/>
        </w:rPr>
        <w:instrText xml:space="preserve"> SEQ Figure \* ARABIC </w:instrText>
      </w:r>
      <w:r w:rsidRPr="00B07BD3">
        <w:rPr>
          <w:b/>
          <w:bCs/>
          <w:i w:val="0"/>
          <w:iCs w:val="0"/>
          <w:color w:val="000000" w:themeColor="text1"/>
          <w:sz w:val="20"/>
          <w:szCs w:val="20"/>
        </w:rPr>
        <w:fldChar w:fldCharType="separate"/>
      </w:r>
      <w:r w:rsidRPr="00B07BD3">
        <w:rPr>
          <w:b/>
          <w:bCs/>
          <w:i w:val="0"/>
          <w:iCs w:val="0"/>
          <w:color w:val="000000" w:themeColor="text1"/>
          <w:sz w:val="20"/>
          <w:szCs w:val="20"/>
        </w:rPr>
        <w:t>1</w:t>
      </w:r>
      <w:r w:rsidRPr="00B07BD3">
        <w:rPr>
          <w:b/>
          <w:bCs/>
          <w:i w:val="0"/>
          <w:iCs w:val="0"/>
          <w:color w:val="000000" w:themeColor="text1"/>
          <w:sz w:val="20"/>
          <w:szCs w:val="20"/>
        </w:rPr>
        <w:fldChar w:fldCharType="end"/>
      </w:r>
      <w:bookmarkEnd w:id="0"/>
      <w:r w:rsidRPr="00B07BD3">
        <w:rPr>
          <w:b/>
          <w:bCs/>
          <w:i w:val="0"/>
          <w:iCs w:val="0"/>
          <w:color w:val="000000" w:themeColor="text1"/>
          <w:sz w:val="20"/>
          <w:szCs w:val="20"/>
        </w:rPr>
        <w:t xml:space="preserve">: Log-permeability distribution for the uppermost layer of the ground truth model and four prior models (R1, R2, R3 and R4). The red dot indicates the location of the injection well. The four black dots are the locations of four monitoring wells. </w:t>
      </w:r>
    </w:p>
    <w:p w14:paraId="3956593E" w14:textId="77777777" w:rsidR="003031BE" w:rsidRPr="00B07BD3" w:rsidDel="00803626" w:rsidRDefault="003031BE" w:rsidP="003031BE">
      <w:pPr>
        <w:pStyle w:val="para1"/>
        <w:rPr>
          <w:del w:id="1" w:author="Morales, Misael Miguel-Gomez" w:date="2023-07-10T11:52:00Z"/>
        </w:rPr>
      </w:pPr>
    </w:p>
    <w:p w14:paraId="75E549F8" w14:textId="77777777" w:rsidR="003031BE" w:rsidRPr="00B07BD3" w:rsidRDefault="003031BE" w:rsidP="003031BE">
      <w:pPr>
        <w:pStyle w:val="Head1"/>
        <w:outlineLvl w:val="0"/>
      </w:pPr>
      <w:r w:rsidRPr="00B07BD3">
        <w:t>Conclusions</w:t>
      </w:r>
    </w:p>
    <w:p w14:paraId="78539884" w14:textId="77777777" w:rsidR="003031BE" w:rsidRPr="00B07BD3" w:rsidRDefault="003031BE" w:rsidP="003031BE">
      <w:pPr>
        <w:pStyle w:val="para"/>
      </w:pPr>
    </w:p>
    <w:p w14:paraId="6A0D6CBA" w14:textId="3AB8F0B8"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20111435" w14:textId="77777777" w:rsidR="003031BE" w:rsidRPr="00B07BD3" w:rsidRDefault="003031BE" w:rsidP="003031BE">
      <w:pPr>
        <w:pStyle w:val="para1"/>
      </w:pPr>
    </w:p>
    <w:p w14:paraId="4A40F9AA" w14:textId="77777777" w:rsidR="003031BE" w:rsidRPr="00B07BD3" w:rsidRDefault="003031BE" w:rsidP="003031BE">
      <w:pPr>
        <w:pStyle w:val="Head1"/>
        <w:outlineLvl w:val="0"/>
      </w:pPr>
      <w:r w:rsidRPr="00B07BD3">
        <w:t>Acknowledgement</w:t>
      </w:r>
    </w:p>
    <w:p w14:paraId="39B6C261" w14:textId="77777777" w:rsidR="003031BE" w:rsidRPr="00B07BD3" w:rsidRDefault="003031BE" w:rsidP="003031BE">
      <w:pPr>
        <w:pStyle w:val="para"/>
      </w:pPr>
    </w:p>
    <w:p w14:paraId="7EC3AD13" w14:textId="4D22B4A1"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23B299E8" w14:textId="77777777" w:rsidR="00CD5768" w:rsidRDefault="00CD5768" w:rsidP="00410AE2">
      <w:pPr>
        <w:pStyle w:val="para1"/>
        <w:ind w:firstLine="0"/>
        <w:sectPr w:rsidR="00CD5768" w:rsidSect="002308F0">
          <w:type w:val="continuous"/>
          <w:pgSz w:w="12240" w:h="15840"/>
          <w:pgMar w:top="1440" w:right="1440" w:bottom="1440" w:left="1440" w:header="720" w:footer="720" w:gutter="0"/>
          <w:lnNumType w:countBy="1" w:restart="continuous"/>
          <w:cols w:space="720"/>
          <w:docGrid w:linePitch="360"/>
        </w:sectPr>
      </w:pPr>
    </w:p>
    <w:p w14:paraId="729ECD77" w14:textId="77777777" w:rsidR="00410AE2" w:rsidRPr="00B07BD3" w:rsidRDefault="00410AE2" w:rsidP="00410AE2">
      <w:pPr>
        <w:pStyle w:val="para1"/>
        <w:ind w:firstLine="0"/>
      </w:pPr>
    </w:p>
    <w:p w14:paraId="33D3ADC3" w14:textId="77777777" w:rsidR="003031BE" w:rsidRPr="00B07BD3" w:rsidRDefault="003031BE" w:rsidP="003031BE">
      <w:pPr>
        <w:pStyle w:val="para1"/>
      </w:pPr>
    </w:p>
    <w:p w14:paraId="13605C33" w14:textId="77777777" w:rsidR="00CD5768" w:rsidRDefault="00CD5768">
      <w:pPr>
        <w:widowControl/>
        <w:overflowPunct/>
        <w:autoSpaceDE/>
        <w:autoSpaceDN/>
        <w:adjustRightInd/>
        <w:spacing w:after="160" w:line="259" w:lineRule="auto"/>
        <w:textAlignment w:val="auto"/>
      </w:pPr>
      <w:r>
        <w:br w:type="page"/>
      </w:r>
    </w:p>
    <w:sdt>
      <w:sdtPr>
        <w:rPr>
          <w:rFonts w:ascii="Times New Roman" w:eastAsia="Times New Roman" w:hAnsi="Times New Roman" w:cs="Times New Roman"/>
          <w:color w:val="auto"/>
          <w:sz w:val="24"/>
          <w:szCs w:val="20"/>
        </w:rPr>
        <w:id w:val="-1697001924"/>
        <w:docPartObj>
          <w:docPartGallery w:val="Bibliographies"/>
          <w:docPartUnique/>
        </w:docPartObj>
      </w:sdtPr>
      <w:sdtContent>
        <w:p w14:paraId="19D80A20" w14:textId="15C72197" w:rsidR="009F1171" w:rsidRPr="00B07BD3" w:rsidRDefault="009F1171" w:rsidP="009F1171">
          <w:pPr>
            <w:pStyle w:val="Heading1"/>
            <w:rPr>
              <w:rFonts w:ascii="Arial" w:eastAsia="Times New Roman" w:hAnsi="Arial" w:cs="Times New Roman"/>
              <w:b/>
              <w:color w:val="auto"/>
              <w:sz w:val="28"/>
              <w:szCs w:val="20"/>
            </w:rPr>
          </w:pPr>
          <w:r w:rsidRPr="00B07BD3">
            <w:rPr>
              <w:rFonts w:ascii="Arial" w:eastAsia="Times New Roman" w:hAnsi="Arial" w:cs="Times New Roman"/>
              <w:b/>
              <w:color w:val="auto"/>
              <w:sz w:val="28"/>
              <w:szCs w:val="20"/>
            </w:rPr>
            <w:t>References</w:t>
          </w:r>
        </w:p>
        <w:p w14:paraId="0C7EE7E4" w14:textId="77777777" w:rsidR="009F1171" w:rsidRPr="00B07BD3" w:rsidRDefault="009F1171" w:rsidP="009F1171"/>
        <w:sdt>
          <w:sdtPr>
            <w:id w:val="-573587230"/>
            <w:bibliography/>
          </w:sdtPr>
          <w:sdtContent>
            <w:p w14:paraId="1C3A3761" w14:textId="10092167" w:rsidR="009F1171" w:rsidRPr="00B07BD3" w:rsidRDefault="009F1171" w:rsidP="009F1171">
              <w:pPr>
                <w:pStyle w:val="Bibliography"/>
                <w:ind w:left="720" w:hanging="720"/>
                <w:rPr>
                  <w:noProof/>
                  <w:szCs w:val="24"/>
                </w:rPr>
              </w:pPr>
              <w:r w:rsidRPr="00B07BD3">
                <w:fldChar w:fldCharType="begin"/>
              </w:r>
              <w:r w:rsidRPr="00B07BD3">
                <w:instrText xml:space="preserve"> BIBLIOGRAPHY </w:instrText>
              </w:r>
              <w:r w:rsidRPr="00B07BD3">
                <w:fldChar w:fldCharType="separate"/>
              </w:r>
              <w:r w:rsidRPr="00B07BD3">
                <w:rPr>
                  <w:noProof/>
                </w:rPr>
                <w:t xml:space="preserve">Metz, B. (2005). </w:t>
              </w:r>
              <w:r w:rsidRPr="00B07BD3">
                <w:rPr>
                  <w:i/>
                  <w:iCs/>
                  <w:noProof/>
                </w:rPr>
                <w:t>Carbon dioxide capture and storage: special report of the intergovernmental panel on climate change.</w:t>
              </w:r>
              <w:r w:rsidRPr="00B07BD3">
                <w:rPr>
                  <w:noProof/>
                </w:rPr>
                <w:t xml:space="preserve"> Cambridge University Press.</w:t>
              </w:r>
            </w:p>
            <w:p w14:paraId="006B582A" w14:textId="77777777" w:rsidR="009F1171" w:rsidRPr="00B07BD3" w:rsidRDefault="009F1171" w:rsidP="009F1171">
              <w:pPr>
                <w:pStyle w:val="Bibliography"/>
                <w:ind w:left="720" w:hanging="720"/>
                <w:rPr>
                  <w:noProof/>
                </w:rPr>
              </w:pPr>
              <w:r w:rsidRPr="00B07BD3">
                <w:rPr>
                  <w:noProof/>
                </w:rPr>
                <w:t xml:space="preserve">Michael, K., Golab, A., Shulakova, V., Ennis-King, J., Allinson, G., Sharma, S., &amp; al., e. (2010). Geological storage of CO2 in saline aquifers - a review of the experience from existing storage operations. </w:t>
              </w:r>
              <w:r w:rsidRPr="00B07BD3">
                <w:rPr>
                  <w:i/>
                  <w:iCs/>
                  <w:noProof/>
                </w:rPr>
                <w:t>Int J Greenhouse Gas Control</w:t>
              </w:r>
              <w:r w:rsidRPr="00B07BD3">
                <w:rPr>
                  <w:noProof/>
                </w:rPr>
                <w:t>, 4(4):659-67.</w:t>
              </w:r>
            </w:p>
            <w:p w14:paraId="75CD23C1" w14:textId="448345C8" w:rsidR="00CD5768" w:rsidRDefault="009F1171" w:rsidP="00CD5768">
              <w:pPr>
                <w:sectPr w:rsidR="00CD5768" w:rsidSect="002308F0">
                  <w:type w:val="continuous"/>
                  <w:pgSz w:w="12240" w:h="15840"/>
                  <w:pgMar w:top="1440" w:right="1440" w:bottom="1440" w:left="1440" w:header="720" w:footer="720" w:gutter="0"/>
                  <w:cols w:space="720"/>
                  <w:docGrid w:linePitch="360"/>
                </w:sectPr>
              </w:pPr>
              <w:r w:rsidRPr="00B07BD3">
                <w:rPr>
                  <w:b/>
                  <w:bCs/>
                  <w:noProof/>
                </w:rPr>
                <w:fldChar w:fldCharType="end"/>
              </w:r>
            </w:p>
          </w:sdtContent>
        </w:sdt>
      </w:sdtContent>
    </w:sdt>
    <w:p w14:paraId="50DBDEB0" w14:textId="77777777" w:rsidR="000747C5" w:rsidRPr="00B07BD3" w:rsidRDefault="000747C5" w:rsidP="00CD5768">
      <w:pPr>
        <w:pStyle w:val="para1"/>
        <w:ind w:firstLine="0"/>
      </w:pPr>
    </w:p>
    <w:sectPr w:rsidR="000747C5" w:rsidRPr="00B07BD3" w:rsidSect="002308F0">
      <w:type w:val="continuous"/>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0E1F"/>
    <w:multiLevelType w:val="hybridMultilevel"/>
    <w:tmpl w:val="E5E65882"/>
    <w:lvl w:ilvl="0" w:tplc="A3F67D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76F97"/>
    <w:multiLevelType w:val="hybridMultilevel"/>
    <w:tmpl w:val="734C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F1C81"/>
    <w:multiLevelType w:val="hybridMultilevel"/>
    <w:tmpl w:val="A748E084"/>
    <w:lvl w:ilvl="0" w:tplc="DCE26B94">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4A303B"/>
    <w:multiLevelType w:val="hybridMultilevel"/>
    <w:tmpl w:val="06C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DB19AE"/>
    <w:multiLevelType w:val="hybridMultilevel"/>
    <w:tmpl w:val="854426A0"/>
    <w:lvl w:ilvl="0" w:tplc="E8386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BF0EC9"/>
    <w:multiLevelType w:val="hybridMultilevel"/>
    <w:tmpl w:val="6B123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740049">
    <w:abstractNumId w:val="0"/>
  </w:num>
  <w:num w:numId="2" w16cid:durableId="922572445">
    <w:abstractNumId w:val="3"/>
  </w:num>
  <w:num w:numId="3" w16cid:durableId="630671699">
    <w:abstractNumId w:val="1"/>
  </w:num>
  <w:num w:numId="4" w16cid:durableId="774012884">
    <w:abstractNumId w:val="2"/>
  </w:num>
  <w:num w:numId="5" w16cid:durableId="557520995">
    <w:abstractNumId w:val="5"/>
  </w:num>
  <w:num w:numId="6" w16cid:durableId="12344677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iguel-Gomez">
    <w15:presenceInfo w15:providerId="AD" w15:userId="S-1-5-21-1229272821-838170752-1417001333-9363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261"/>
    <w:rsid w:val="00065708"/>
    <w:rsid w:val="000747C5"/>
    <w:rsid w:val="002308F0"/>
    <w:rsid w:val="003031BE"/>
    <w:rsid w:val="00410AE2"/>
    <w:rsid w:val="00436261"/>
    <w:rsid w:val="0055750B"/>
    <w:rsid w:val="005B0A3D"/>
    <w:rsid w:val="00683A9D"/>
    <w:rsid w:val="007D74F4"/>
    <w:rsid w:val="008F3D55"/>
    <w:rsid w:val="009F1171"/>
    <w:rsid w:val="00B07BD3"/>
    <w:rsid w:val="00C10ABC"/>
    <w:rsid w:val="00C117CF"/>
    <w:rsid w:val="00CD15BE"/>
    <w:rsid w:val="00CD5768"/>
    <w:rsid w:val="00DE169E"/>
    <w:rsid w:val="00E34E87"/>
    <w:rsid w:val="00E4510D"/>
    <w:rsid w:val="00EA53FD"/>
    <w:rsid w:val="00EC5A71"/>
    <w:rsid w:val="00ED70AB"/>
    <w:rsid w:val="00EE20C6"/>
    <w:rsid w:val="00F14F39"/>
    <w:rsid w:val="00FC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8E2F"/>
  <w15:chartTrackingRefBased/>
  <w15:docId w15:val="{F7F64392-5DF5-48A1-AC79-67E42863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1BE"/>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FC0B58"/>
    <w:pPr>
      <w:keepNext/>
      <w:keepLines/>
      <w:widowControl/>
      <w:overflowPunct/>
      <w:autoSpaceDE/>
      <w:autoSpaceDN/>
      <w:adjustRightInd/>
      <w:spacing w:before="240" w:line="259" w:lineRule="auto"/>
      <w:textAlignment w:val="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Normal"/>
    <w:next w:val="para"/>
    <w:rsid w:val="003031BE"/>
    <w:pPr>
      <w:keepNext/>
      <w:suppressAutoHyphens/>
    </w:pPr>
    <w:rPr>
      <w:rFonts w:ascii="Arial" w:hAnsi="Arial"/>
      <w:b/>
      <w:sz w:val="28"/>
    </w:rPr>
  </w:style>
  <w:style w:type="paragraph" w:customStyle="1" w:styleId="para">
    <w:name w:val="para"/>
    <w:basedOn w:val="Normal"/>
    <w:next w:val="para1"/>
    <w:rsid w:val="003031BE"/>
    <w:pPr>
      <w:widowControl/>
      <w:suppressAutoHyphens/>
      <w:jc w:val="both"/>
    </w:pPr>
  </w:style>
  <w:style w:type="paragraph" w:customStyle="1" w:styleId="para1">
    <w:name w:val="para1"/>
    <w:basedOn w:val="para"/>
    <w:rsid w:val="003031BE"/>
    <w:pPr>
      <w:ind w:firstLine="288"/>
    </w:pPr>
  </w:style>
  <w:style w:type="paragraph" w:styleId="Caption">
    <w:name w:val="caption"/>
    <w:basedOn w:val="Normal"/>
    <w:next w:val="Normal"/>
    <w:unhideWhenUsed/>
    <w:qFormat/>
    <w:rsid w:val="003031BE"/>
    <w:pPr>
      <w:spacing w:after="200"/>
    </w:pPr>
    <w:rPr>
      <w:i/>
      <w:iCs/>
      <w:color w:val="44546A" w:themeColor="text2"/>
      <w:sz w:val="18"/>
      <w:szCs w:val="18"/>
    </w:rPr>
  </w:style>
  <w:style w:type="paragraph" w:styleId="NormalWeb">
    <w:name w:val="Normal (Web)"/>
    <w:basedOn w:val="Normal"/>
    <w:uiPriority w:val="99"/>
    <w:semiHidden/>
    <w:unhideWhenUsed/>
    <w:rsid w:val="000747C5"/>
    <w:rPr>
      <w:szCs w:val="24"/>
    </w:rPr>
  </w:style>
  <w:style w:type="character" w:customStyle="1" w:styleId="Heading1Char">
    <w:name w:val="Heading 1 Char"/>
    <w:basedOn w:val="DefaultParagraphFont"/>
    <w:link w:val="Heading1"/>
    <w:uiPriority w:val="9"/>
    <w:rsid w:val="00FC0B5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C0B58"/>
  </w:style>
  <w:style w:type="paragraph" w:styleId="ListParagraph">
    <w:name w:val="List Paragraph"/>
    <w:basedOn w:val="Normal"/>
    <w:uiPriority w:val="34"/>
    <w:qFormat/>
    <w:rsid w:val="00EE20C6"/>
    <w:pPr>
      <w:ind w:left="720"/>
      <w:contextualSpacing/>
    </w:pPr>
  </w:style>
  <w:style w:type="character" w:styleId="LineNumber">
    <w:name w:val="line number"/>
    <w:basedOn w:val="DefaultParagraphFont"/>
    <w:uiPriority w:val="99"/>
    <w:semiHidden/>
    <w:unhideWhenUsed/>
    <w:rsid w:val="00CD5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2251">
      <w:bodyDiv w:val="1"/>
      <w:marLeft w:val="0"/>
      <w:marRight w:val="0"/>
      <w:marTop w:val="0"/>
      <w:marBottom w:val="0"/>
      <w:divBdr>
        <w:top w:val="none" w:sz="0" w:space="0" w:color="auto"/>
        <w:left w:val="none" w:sz="0" w:space="0" w:color="auto"/>
        <w:bottom w:val="none" w:sz="0" w:space="0" w:color="auto"/>
        <w:right w:val="none" w:sz="0" w:space="0" w:color="auto"/>
      </w:divBdr>
    </w:div>
    <w:div w:id="81806145">
      <w:bodyDiv w:val="1"/>
      <w:marLeft w:val="0"/>
      <w:marRight w:val="0"/>
      <w:marTop w:val="0"/>
      <w:marBottom w:val="0"/>
      <w:divBdr>
        <w:top w:val="none" w:sz="0" w:space="0" w:color="auto"/>
        <w:left w:val="none" w:sz="0" w:space="0" w:color="auto"/>
        <w:bottom w:val="none" w:sz="0" w:space="0" w:color="auto"/>
        <w:right w:val="none" w:sz="0" w:space="0" w:color="auto"/>
      </w:divBdr>
    </w:div>
    <w:div w:id="107748589">
      <w:bodyDiv w:val="1"/>
      <w:marLeft w:val="0"/>
      <w:marRight w:val="0"/>
      <w:marTop w:val="0"/>
      <w:marBottom w:val="0"/>
      <w:divBdr>
        <w:top w:val="none" w:sz="0" w:space="0" w:color="auto"/>
        <w:left w:val="none" w:sz="0" w:space="0" w:color="auto"/>
        <w:bottom w:val="none" w:sz="0" w:space="0" w:color="auto"/>
        <w:right w:val="none" w:sz="0" w:space="0" w:color="auto"/>
      </w:divBdr>
    </w:div>
    <w:div w:id="128523170">
      <w:bodyDiv w:val="1"/>
      <w:marLeft w:val="0"/>
      <w:marRight w:val="0"/>
      <w:marTop w:val="0"/>
      <w:marBottom w:val="0"/>
      <w:divBdr>
        <w:top w:val="none" w:sz="0" w:space="0" w:color="auto"/>
        <w:left w:val="none" w:sz="0" w:space="0" w:color="auto"/>
        <w:bottom w:val="none" w:sz="0" w:space="0" w:color="auto"/>
        <w:right w:val="none" w:sz="0" w:space="0" w:color="auto"/>
      </w:divBdr>
    </w:div>
    <w:div w:id="177696325">
      <w:bodyDiv w:val="1"/>
      <w:marLeft w:val="0"/>
      <w:marRight w:val="0"/>
      <w:marTop w:val="0"/>
      <w:marBottom w:val="0"/>
      <w:divBdr>
        <w:top w:val="none" w:sz="0" w:space="0" w:color="auto"/>
        <w:left w:val="none" w:sz="0" w:space="0" w:color="auto"/>
        <w:bottom w:val="none" w:sz="0" w:space="0" w:color="auto"/>
        <w:right w:val="none" w:sz="0" w:space="0" w:color="auto"/>
      </w:divBdr>
    </w:div>
    <w:div w:id="308748429">
      <w:bodyDiv w:val="1"/>
      <w:marLeft w:val="0"/>
      <w:marRight w:val="0"/>
      <w:marTop w:val="0"/>
      <w:marBottom w:val="0"/>
      <w:divBdr>
        <w:top w:val="none" w:sz="0" w:space="0" w:color="auto"/>
        <w:left w:val="none" w:sz="0" w:space="0" w:color="auto"/>
        <w:bottom w:val="none" w:sz="0" w:space="0" w:color="auto"/>
        <w:right w:val="none" w:sz="0" w:space="0" w:color="auto"/>
      </w:divBdr>
    </w:div>
    <w:div w:id="348604554">
      <w:bodyDiv w:val="1"/>
      <w:marLeft w:val="0"/>
      <w:marRight w:val="0"/>
      <w:marTop w:val="0"/>
      <w:marBottom w:val="0"/>
      <w:divBdr>
        <w:top w:val="none" w:sz="0" w:space="0" w:color="auto"/>
        <w:left w:val="none" w:sz="0" w:space="0" w:color="auto"/>
        <w:bottom w:val="none" w:sz="0" w:space="0" w:color="auto"/>
        <w:right w:val="none" w:sz="0" w:space="0" w:color="auto"/>
      </w:divBdr>
    </w:div>
    <w:div w:id="458305069">
      <w:bodyDiv w:val="1"/>
      <w:marLeft w:val="0"/>
      <w:marRight w:val="0"/>
      <w:marTop w:val="0"/>
      <w:marBottom w:val="0"/>
      <w:divBdr>
        <w:top w:val="none" w:sz="0" w:space="0" w:color="auto"/>
        <w:left w:val="none" w:sz="0" w:space="0" w:color="auto"/>
        <w:bottom w:val="none" w:sz="0" w:space="0" w:color="auto"/>
        <w:right w:val="none" w:sz="0" w:space="0" w:color="auto"/>
      </w:divBdr>
    </w:div>
    <w:div w:id="524170032">
      <w:bodyDiv w:val="1"/>
      <w:marLeft w:val="0"/>
      <w:marRight w:val="0"/>
      <w:marTop w:val="0"/>
      <w:marBottom w:val="0"/>
      <w:divBdr>
        <w:top w:val="none" w:sz="0" w:space="0" w:color="auto"/>
        <w:left w:val="none" w:sz="0" w:space="0" w:color="auto"/>
        <w:bottom w:val="none" w:sz="0" w:space="0" w:color="auto"/>
        <w:right w:val="none" w:sz="0" w:space="0" w:color="auto"/>
      </w:divBdr>
    </w:div>
    <w:div w:id="561597117">
      <w:bodyDiv w:val="1"/>
      <w:marLeft w:val="0"/>
      <w:marRight w:val="0"/>
      <w:marTop w:val="0"/>
      <w:marBottom w:val="0"/>
      <w:divBdr>
        <w:top w:val="none" w:sz="0" w:space="0" w:color="auto"/>
        <w:left w:val="none" w:sz="0" w:space="0" w:color="auto"/>
        <w:bottom w:val="none" w:sz="0" w:space="0" w:color="auto"/>
        <w:right w:val="none" w:sz="0" w:space="0" w:color="auto"/>
      </w:divBdr>
    </w:div>
    <w:div w:id="630282831">
      <w:bodyDiv w:val="1"/>
      <w:marLeft w:val="0"/>
      <w:marRight w:val="0"/>
      <w:marTop w:val="0"/>
      <w:marBottom w:val="0"/>
      <w:divBdr>
        <w:top w:val="none" w:sz="0" w:space="0" w:color="auto"/>
        <w:left w:val="none" w:sz="0" w:space="0" w:color="auto"/>
        <w:bottom w:val="none" w:sz="0" w:space="0" w:color="auto"/>
        <w:right w:val="none" w:sz="0" w:space="0" w:color="auto"/>
      </w:divBdr>
    </w:div>
    <w:div w:id="663631602">
      <w:bodyDiv w:val="1"/>
      <w:marLeft w:val="0"/>
      <w:marRight w:val="0"/>
      <w:marTop w:val="0"/>
      <w:marBottom w:val="0"/>
      <w:divBdr>
        <w:top w:val="none" w:sz="0" w:space="0" w:color="auto"/>
        <w:left w:val="none" w:sz="0" w:space="0" w:color="auto"/>
        <w:bottom w:val="none" w:sz="0" w:space="0" w:color="auto"/>
        <w:right w:val="none" w:sz="0" w:space="0" w:color="auto"/>
      </w:divBdr>
    </w:div>
    <w:div w:id="670642044">
      <w:bodyDiv w:val="1"/>
      <w:marLeft w:val="0"/>
      <w:marRight w:val="0"/>
      <w:marTop w:val="0"/>
      <w:marBottom w:val="0"/>
      <w:divBdr>
        <w:top w:val="none" w:sz="0" w:space="0" w:color="auto"/>
        <w:left w:val="none" w:sz="0" w:space="0" w:color="auto"/>
        <w:bottom w:val="none" w:sz="0" w:space="0" w:color="auto"/>
        <w:right w:val="none" w:sz="0" w:space="0" w:color="auto"/>
      </w:divBdr>
    </w:div>
    <w:div w:id="703019703">
      <w:bodyDiv w:val="1"/>
      <w:marLeft w:val="0"/>
      <w:marRight w:val="0"/>
      <w:marTop w:val="0"/>
      <w:marBottom w:val="0"/>
      <w:divBdr>
        <w:top w:val="none" w:sz="0" w:space="0" w:color="auto"/>
        <w:left w:val="none" w:sz="0" w:space="0" w:color="auto"/>
        <w:bottom w:val="none" w:sz="0" w:space="0" w:color="auto"/>
        <w:right w:val="none" w:sz="0" w:space="0" w:color="auto"/>
      </w:divBdr>
    </w:div>
    <w:div w:id="767121198">
      <w:bodyDiv w:val="1"/>
      <w:marLeft w:val="0"/>
      <w:marRight w:val="0"/>
      <w:marTop w:val="0"/>
      <w:marBottom w:val="0"/>
      <w:divBdr>
        <w:top w:val="none" w:sz="0" w:space="0" w:color="auto"/>
        <w:left w:val="none" w:sz="0" w:space="0" w:color="auto"/>
        <w:bottom w:val="none" w:sz="0" w:space="0" w:color="auto"/>
        <w:right w:val="none" w:sz="0" w:space="0" w:color="auto"/>
      </w:divBdr>
    </w:div>
    <w:div w:id="838813471">
      <w:bodyDiv w:val="1"/>
      <w:marLeft w:val="0"/>
      <w:marRight w:val="0"/>
      <w:marTop w:val="0"/>
      <w:marBottom w:val="0"/>
      <w:divBdr>
        <w:top w:val="none" w:sz="0" w:space="0" w:color="auto"/>
        <w:left w:val="none" w:sz="0" w:space="0" w:color="auto"/>
        <w:bottom w:val="none" w:sz="0" w:space="0" w:color="auto"/>
        <w:right w:val="none" w:sz="0" w:space="0" w:color="auto"/>
      </w:divBdr>
    </w:div>
    <w:div w:id="866715905">
      <w:bodyDiv w:val="1"/>
      <w:marLeft w:val="0"/>
      <w:marRight w:val="0"/>
      <w:marTop w:val="0"/>
      <w:marBottom w:val="0"/>
      <w:divBdr>
        <w:top w:val="none" w:sz="0" w:space="0" w:color="auto"/>
        <w:left w:val="none" w:sz="0" w:space="0" w:color="auto"/>
        <w:bottom w:val="none" w:sz="0" w:space="0" w:color="auto"/>
        <w:right w:val="none" w:sz="0" w:space="0" w:color="auto"/>
      </w:divBdr>
    </w:div>
    <w:div w:id="886797407">
      <w:bodyDiv w:val="1"/>
      <w:marLeft w:val="0"/>
      <w:marRight w:val="0"/>
      <w:marTop w:val="0"/>
      <w:marBottom w:val="0"/>
      <w:divBdr>
        <w:top w:val="none" w:sz="0" w:space="0" w:color="auto"/>
        <w:left w:val="none" w:sz="0" w:space="0" w:color="auto"/>
        <w:bottom w:val="none" w:sz="0" w:space="0" w:color="auto"/>
        <w:right w:val="none" w:sz="0" w:space="0" w:color="auto"/>
      </w:divBdr>
    </w:div>
    <w:div w:id="887566802">
      <w:bodyDiv w:val="1"/>
      <w:marLeft w:val="0"/>
      <w:marRight w:val="0"/>
      <w:marTop w:val="0"/>
      <w:marBottom w:val="0"/>
      <w:divBdr>
        <w:top w:val="none" w:sz="0" w:space="0" w:color="auto"/>
        <w:left w:val="none" w:sz="0" w:space="0" w:color="auto"/>
        <w:bottom w:val="none" w:sz="0" w:space="0" w:color="auto"/>
        <w:right w:val="none" w:sz="0" w:space="0" w:color="auto"/>
      </w:divBdr>
    </w:div>
    <w:div w:id="927466953">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89118289">
      <w:bodyDiv w:val="1"/>
      <w:marLeft w:val="0"/>
      <w:marRight w:val="0"/>
      <w:marTop w:val="0"/>
      <w:marBottom w:val="0"/>
      <w:divBdr>
        <w:top w:val="none" w:sz="0" w:space="0" w:color="auto"/>
        <w:left w:val="none" w:sz="0" w:space="0" w:color="auto"/>
        <w:bottom w:val="none" w:sz="0" w:space="0" w:color="auto"/>
        <w:right w:val="none" w:sz="0" w:space="0" w:color="auto"/>
      </w:divBdr>
    </w:div>
    <w:div w:id="1397318740">
      <w:bodyDiv w:val="1"/>
      <w:marLeft w:val="0"/>
      <w:marRight w:val="0"/>
      <w:marTop w:val="0"/>
      <w:marBottom w:val="0"/>
      <w:divBdr>
        <w:top w:val="none" w:sz="0" w:space="0" w:color="auto"/>
        <w:left w:val="none" w:sz="0" w:space="0" w:color="auto"/>
        <w:bottom w:val="none" w:sz="0" w:space="0" w:color="auto"/>
        <w:right w:val="none" w:sz="0" w:space="0" w:color="auto"/>
      </w:divBdr>
    </w:div>
    <w:div w:id="1424186719">
      <w:bodyDiv w:val="1"/>
      <w:marLeft w:val="0"/>
      <w:marRight w:val="0"/>
      <w:marTop w:val="0"/>
      <w:marBottom w:val="0"/>
      <w:divBdr>
        <w:top w:val="none" w:sz="0" w:space="0" w:color="auto"/>
        <w:left w:val="none" w:sz="0" w:space="0" w:color="auto"/>
        <w:bottom w:val="none" w:sz="0" w:space="0" w:color="auto"/>
        <w:right w:val="none" w:sz="0" w:space="0" w:color="auto"/>
      </w:divBdr>
    </w:div>
    <w:div w:id="1451977032">
      <w:bodyDiv w:val="1"/>
      <w:marLeft w:val="0"/>
      <w:marRight w:val="0"/>
      <w:marTop w:val="0"/>
      <w:marBottom w:val="0"/>
      <w:divBdr>
        <w:top w:val="none" w:sz="0" w:space="0" w:color="auto"/>
        <w:left w:val="none" w:sz="0" w:space="0" w:color="auto"/>
        <w:bottom w:val="none" w:sz="0" w:space="0" w:color="auto"/>
        <w:right w:val="none" w:sz="0" w:space="0" w:color="auto"/>
      </w:divBdr>
    </w:div>
    <w:div w:id="1547833230">
      <w:bodyDiv w:val="1"/>
      <w:marLeft w:val="0"/>
      <w:marRight w:val="0"/>
      <w:marTop w:val="0"/>
      <w:marBottom w:val="0"/>
      <w:divBdr>
        <w:top w:val="none" w:sz="0" w:space="0" w:color="auto"/>
        <w:left w:val="none" w:sz="0" w:space="0" w:color="auto"/>
        <w:bottom w:val="none" w:sz="0" w:space="0" w:color="auto"/>
        <w:right w:val="none" w:sz="0" w:space="0" w:color="auto"/>
      </w:divBdr>
    </w:div>
    <w:div w:id="1563443706">
      <w:bodyDiv w:val="1"/>
      <w:marLeft w:val="0"/>
      <w:marRight w:val="0"/>
      <w:marTop w:val="0"/>
      <w:marBottom w:val="0"/>
      <w:divBdr>
        <w:top w:val="none" w:sz="0" w:space="0" w:color="auto"/>
        <w:left w:val="none" w:sz="0" w:space="0" w:color="auto"/>
        <w:bottom w:val="none" w:sz="0" w:space="0" w:color="auto"/>
        <w:right w:val="none" w:sz="0" w:space="0" w:color="auto"/>
      </w:divBdr>
    </w:div>
    <w:div w:id="1580367294">
      <w:bodyDiv w:val="1"/>
      <w:marLeft w:val="0"/>
      <w:marRight w:val="0"/>
      <w:marTop w:val="0"/>
      <w:marBottom w:val="0"/>
      <w:divBdr>
        <w:top w:val="none" w:sz="0" w:space="0" w:color="auto"/>
        <w:left w:val="none" w:sz="0" w:space="0" w:color="auto"/>
        <w:bottom w:val="none" w:sz="0" w:space="0" w:color="auto"/>
        <w:right w:val="none" w:sz="0" w:space="0" w:color="auto"/>
      </w:divBdr>
    </w:div>
    <w:div w:id="1625235927">
      <w:bodyDiv w:val="1"/>
      <w:marLeft w:val="0"/>
      <w:marRight w:val="0"/>
      <w:marTop w:val="0"/>
      <w:marBottom w:val="0"/>
      <w:divBdr>
        <w:top w:val="none" w:sz="0" w:space="0" w:color="auto"/>
        <w:left w:val="none" w:sz="0" w:space="0" w:color="auto"/>
        <w:bottom w:val="none" w:sz="0" w:space="0" w:color="auto"/>
        <w:right w:val="none" w:sz="0" w:space="0" w:color="auto"/>
      </w:divBdr>
    </w:div>
    <w:div w:id="1692491698">
      <w:bodyDiv w:val="1"/>
      <w:marLeft w:val="0"/>
      <w:marRight w:val="0"/>
      <w:marTop w:val="0"/>
      <w:marBottom w:val="0"/>
      <w:divBdr>
        <w:top w:val="none" w:sz="0" w:space="0" w:color="auto"/>
        <w:left w:val="none" w:sz="0" w:space="0" w:color="auto"/>
        <w:bottom w:val="none" w:sz="0" w:space="0" w:color="auto"/>
        <w:right w:val="none" w:sz="0" w:space="0" w:color="auto"/>
      </w:divBdr>
    </w:div>
    <w:div w:id="1760976912">
      <w:bodyDiv w:val="1"/>
      <w:marLeft w:val="0"/>
      <w:marRight w:val="0"/>
      <w:marTop w:val="0"/>
      <w:marBottom w:val="0"/>
      <w:divBdr>
        <w:top w:val="none" w:sz="0" w:space="0" w:color="auto"/>
        <w:left w:val="none" w:sz="0" w:space="0" w:color="auto"/>
        <w:bottom w:val="none" w:sz="0" w:space="0" w:color="auto"/>
        <w:right w:val="none" w:sz="0" w:space="0" w:color="auto"/>
      </w:divBdr>
    </w:div>
    <w:div w:id="1917788618">
      <w:bodyDiv w:val="1"/>
      <w:marLeft w:val="0"/>
      <w:marRight w:val="0"/>
      <w:marTop w:val="0"/>
      <w:marBottom w:val="0"/>
      <w:divBdr>
        <w:top w:val="none" w:sz="0" w:space="0" w:color="auto"/>
        <w:left w:val="none" w:sz="0" w:space="0" w:color="auto"/>
        <w:bottom w:val="none" w:sz="0" w:space="0" w:color="auto"/>
        <w:right w:val="none" w:sz="0" w:space="0" w:color="auto"/>
      </w:divBdr>
    </w:div>
    <w:div w:id="1925139763">
      <w:bodyDiv w:val="1"/>
      <w:marLeft w:val="0"/>
      <w:marRight w:val="0"/>
      <w:marTop w:val="0"/>
      <w:marBottom w:val="0"/>
      <w:divBdr>
        <w:top w:val="none" w:sz="0" w:space="0" w:color="auto"/>
        <w:left w:val="none" w:sz="0" w:space="0" w:color="auto"/>
        <w:bottom w:val="none" w:sz="0" w:space="0" w:color="auto"/>
        <w:right w:val="none" w:sz="0" w:space="0" w:color="auto"/>
      </w:divBdr>
    </w:div>
    <w:div w:id="19337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Met05</b:Tag>
    <b:SourceType>Report</b:SourceType>
    <b:Guid>{83883AA8-821F-40C7-8E70-D2C80FF020FA}</b:Guid>
    <b:Title>Carbon dioxide capture and storage: special report of the intergovernmental panel on climate change</b:Title>
    <b:Year>2005</b:Year>
    <b:Publisher>Cambridge University Press</b:Publisher>
    <b:Author>
      <b:Author>
        <b:NameList>
          <b:Person>
            <b:Last>Metz</b:Last>
            <b:First>Bert</b:First>
          </b:Person>
        </b:NameList>
      </b:Author>
    </b:Author>
    <b:RefOrder>1</b:RefOrder>
  </b:Source>
  <b:Source>
    <b:Tag>Mic10</b:Tag>
    <b:SourceType>JournalArticle</b:SourceType>
    <b:Guid>{DE386470-9F2D-4A74-B7BC-38C5D4E8CE6A}</b:Guid>
    <b:Title>Geological storage of CO2 in saline aquifers - a review of the experience from existing storage operations</b:Title>
    <b:Year>2010</b:Year>
    <b:Author>
      <b:Author>
        <b:NameList>
          <b:Person>
            <b:Last>Michael</b:Last>
            <b:First>K.</b:First>
          </b:Person>
          <b:Person>
            <b:Last>Golab</b:Last>
            <b:First>A.</b:First>
          </b:Person>
          <b:Person>
            <b:Last>Shulakova</b:Last>
            <b:First>V.</b:First>
          </b:Person>
          <b:Person>
            <b:Last>Ennis-King</b:Last>
            <b:First>J.</b:First>
          </b:Person>
          <b:Person>
            <b:Last>Allinson</b:Last>
            <b:First>G.</b:First>
          </b:Person>
          <b:Person>
            <b:Last>Sharma</b:Last>
            <b:First>S</b:First>
          </b:Person>
          <b:Person>
            <b:Last>al.</b:Last>
            <b:First>et</b:First>
          </b:Person>
        </b:NameList>
      </b:Author>
    </b:Author>
    <b:JournalName>Int J Greenhouse Gas Control</b:JournalName>
    <b:Pages>4(4):659-67</b:Pages>
    <b:RefOrder>2</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BF23B3D7-463C-4CB4-BEF8-0CA28048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16</cp:revision>
  <dcterms:created xsi:type="dcterms:W3CDTF">2023-07-13T08:26:00Z</dcterms:created>
  <dcterms:modified xsi:type="dcterms:W3CDTF">2023-07-24T05:54:00Z</dcterms:modified>
</cp:coreProperties>
</file>