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24"/>
          <w:szCs w:val="24"/>
        </w:rPr>
        <w:t xml:space="preserve">PONTIFICIA UNIVERSIDAD CATÓLICA DEL PERÚ</w:t>
      </w:r>
    </w:p>
    <w:p>
      <w:pPr>
        <w:spacing w:after="320"/>
        <w:jc w:val="center"/>
      </w:pPr>
      <w:r>
        <w:rPr>
          <w:rFonts w:ascii="Arial" w:cs="Arial" w:eastAsia="Arial" w:hAnsi="Arial"/>
          <w:sz w:val="20"/>
          <w:szCs w:val="20"/>
        </w:rPr>
        <w:t xml:space="preserve">Facultad de Ciencias e Ingeniería — Ingeniería Informática</w:t>
      </w:r>
    </w:p>
    <w:p>
      <w:pPr>
        <w:spacing w:after="80"/>
        <w:jc w:val="center"/>
      </w:pPr>
      <w:r>
        <w:rPr>
          <w:rFonts w:ascii="Arial" w:cs="Arial" w:eastAsia="Arial" w:hAnsi="Arial"/>
          <w:b/>
          <w:bCs/>
          <w:color w:val="1F4E79"/>
          <w:sz w:val="28"/>
          <w:szCs w:val="28"/>
        </w:rPr>
        <w:t xml:space="preserve">ANEXO R</w:t>
      </w:r>
    </w:p>
    <w:p>
      <w:pPr>
        <w:spacing w:after="80"/>
        <w:jc w:val="center"/>
      </w:pPr>
      <w:r>
        <w:rPr>
          <w:rFonts w:ascii="Arial" w:cs="Arial" w:eastAsia="Arial" w:hAnsi="Arial"/>
          <w:b/>
          <w:bCs/>
          <w:sz w:val="26"/>
          <w:szCs w:val="26"/>
        </w:rPr>
        <w:t xml:space="preserve">Documento de Configuración e Instalación del Software (R2.4)</w:t>
      </w:r>
    </w:p>
    <w:p>
      <w:pPr>
        <w:spacing w:after="400"/>
        <w:jc w:val="center"/>
      </w:pPr>
      <w:r>
        <w:rPr>
          <w:rFonts w:ascii="Arial" w:cs="Arial" w:eastAsia="Arial" w:hAnsi="Arial"/>
          <w:i/>
          <w:iCs/>
          <w:sz w:val="20"/>
          <w:szCs w:val="20"/>
        </w:rPr>
        <w:t xml:space="preserve">Sistema RPA Académico PUCP</w:t>
      </w:r>
    </w:p>
    <w:p>
      <w:pPr>
        <w:pStyle w:val="Heading1"/>
      </w:pPr>
      <w:r>
        <w:t xml:space="preserve">1. Propósito y alcance del documento</w:t>
      </w:r>
    </w:p>
    <w:p>
      <w:pPr>
        <w:spacing w:after="200"/>
      </w:pPr>
      <w:r>
        <w:rPr>
          <w:rFonts w:ascii="Arial" w:cs="Arial" w:eastAsia="Arial" w:hAnsi="Arial"/>
          <w:sz w:val="22"/>
          <w:szCs w:val="22"/>
        </w:rPr>
        <w:t xml:space="preserve">Este documento corresponde al resultado esperado R2.4 del proyecto de tesis “Desarrollo de un RPA para centralizar las actividades académicas de la comunidad universitaria PUCP en un único calendario”. Su propósito es permitir que cualquier persona —técnico, futuro mantenedor del sistema o evaluador— pueda instalar y ejecutar el sistema RPA Académico PUCP desde cero en una máquina nueva, sin requerir conocimiento previo del proceso de desarrollo.</w:t>
      </w:r>
    </w:p>
    <w:p>
      <w:pPr>
        <w:spacing w:after="200"/>
      </w:pPr>
      <w:r>
        <w:rPr>
          <w:rFonts w:ascii="Arial" w:cs="Arial" w:eastAsia="Arial" w:hAnsi="Arial"/>
          <w:sz w:val="22"/>
          <w:szCs w:val="22"/>
        </w:rPr>
        <w:t xml:space="preserve">El documento cubre la instalación en un entorno de desarrollo local (Windows), que es la topología de despliegue documentada en el Anexo N (Documento de Arquitectura de Software, sección 4.2). Adicionalmente, en la sección 7 se documenta el uso de un túnel temporal (ngrok) como mecanismo de exposición del sistema hacia internet con fines de demostración y sustentación, sin que esto constituya un despliegue de producción. El despliegue en infraestructura de nube fue evaluado y descartado para el alcance actual del proyecto, según se justifica en el Anexo N (sección 6, “Trabajo futuro”), debido a que Selenium requiere un entorno con soporte para ejecutar un navegador real, lo cual impone restricciones particulares en plataformas de hosting convencionales.</w:t>
      </w:r>
    </w:p>
    <w:p>
      <w:pPr>
        <w:pStyle w:val="Heading1"/>
      </w:pPr>
      <w:r>
        <w:t xml:space="preserve">2. Requisitos previos</w:t>
      </w:r>
    </w:p>
    <w:p>
      <w:pPr>
        <w:spacing w:after="200"/>
      </w:pPr>
      <w:r>
        <w:rPr>
          <w:rFonts w:ascii="Arial" w:cs="Arial" w:eastAsia="Arial" w:hAnsi="Arial"/>
          <w:sz w:val="22"/>
          <w:szCs w:val="22"/>
        </w:rPr>
        <w:t xml:space="preserve">La Tabla R.1 detalla el software que debe estar instalado en la máquina antes de iniciar la instalación del sistema, junto con la versión utilizada durante el desarrollo y verificada en el Anexo N (sección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Software</w:t>
            </w:r>
          </w:p>
        </w:tc>
        <w:tc>
          <w:tcPr>
            <w:tcW w:type="dxa" w:w="26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Versión utilizada</w:t>
            </w:r>
          </w:p>
        </w:tc>
        <w:tc>
          <w:tcPr>
            <w:tcW w:type="dxa" w:w="43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Propósito</w:t>
            </w:r>
          </w:p>
        </w:tc>
      </w:tr>
      <w:tr>
        <w:tc>
          <w:tcPr>
            <w:tcW w:type="dxa" w:w="240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r>
              <w:rPr>
                <w:rFonts w:ascii="Arial" w:cs="Arial" w:eastAsia="Arial" w:hAnsi="Arial"/>
                <w:sz w:val="18"/>
                <w:szCs w:val="18"/>
              </w:rPr>
              <w:t xml:space="preserve">Python</w:t>
            </w:r>
          </w:p>
        </w:tc>
        <w:tc>
          <w:tcPr>
            <w:tcW w:type="dxa" w:w="260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r>
              <w:rPr>
                <w:rFonts w:ascii="Arial" w:cs="Arial" w:eastAsia="Arial" w:hAnsi="Arial"/>
                <w:sz w:val="18"/>
                <w:szCs w:val="18"/>
              </w:rPr>
              <w:t xml:space="preserve">3.11 o superior</w:t>
            </w:r>
          </w:p>
        </w:tc>
        <w:tc>
          <w:tcPr>
            <w:tcW w:type="dxa" w:w="436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r>
              <w:rPr>
                <w:rFonts w:ascii="Arial" w:cs="Arial" w:eastAsia="Arial" w:hAnsi="Arial"/>
                <w:sz w:val="18"/>
                <w:szCs w:val="18"/>
              </w:rPr>
              <w:t xml:space="preserve">Ejecución del backend (FastAPI, Selenium, SQLAlchemy).</w:t>
            </w:r>
          </w:p>
        </w:tc>
      </w:tr>
      <w:tr>
        <w:tc>
          <w:tcPr>
            <w:tcW w:type="dxa" w:w="24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r>
              <w:rPr>
                <w:rFonts w:ascii="Arial" w:cs="Arial" w:eastAsia="Arial" w:hAnsi="Arial"/>
                <w:sz w:val="18"/>
                <w:szCs w:val="18"/>
              </w:rPr>
              <w:t xml:space="preserve">Node.js</w:t>
            </w:r>
          </w:p>
        </w:tc>
        <w:tc>
          <w:tcPr>
            <w:tcW w:type="dxa" w:w="2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r>
              <w:rPr>
                <w:rFonts w:ascii="Arial" w:cs="Arial" w:eastAsia="Arial" w:hAnsi="Arial"/>
                <w:sz w:val="18"/>
                <w:szCs w:val="18"/>
              </w:rPr>
              <w:t xml:space="preserve">20.x o superior (LTS)</w:t>
            </w:r>
          </w:p>
        </w:tc>
        <w:tc>
          <w:tcPr>
            <w:tcW w:type="dxa" w:w="43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r>
              <w:rPr>
                <w:rFonts w:ascii="Arial" w:cs="Arial" w:eastAsia="Arial" w:hAnsi="Arial"/>
                <w:sz w:val="18"/>
                <w:szCs w:val="18"/>
              </w:rPr>
              <w:t xml:space="preserve">Ejecución del frontend (Next.js) y gestor de paquetes npm/pnpm.</w:t>
            </w:r>
          </w:p>
        </w:tc>
      </w:tr>
      <w:tr>
        <w:tc>
          <w:tcPr>
            <w:tcW w:type="dxa" w:w="240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r>
              <w:rPr>
                <w:rFonts w:ascii="Arial" w:cs="Arial" w:eastAsia="Arial" w:hAnsi="Arial"/>
                <w:sz w:val="18"/>
                <w:szCs w:val="18"/>
              </w:rPr>
              <w:t xml:space="preserve">MySQL Server</w:t>
            </w:r>
          </w:p>
        </w:tc>
        <w:tc>
          <w:tcPr>
            <w:tcW w:type="dxa" w:w="260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r>
              <w:rPr>
                <w:rFonts w:ascii="Arial" w:cs="Arial" w:eastAsia="Arial" w:hAnsi="Arial"/>
                <w:sz w:val="18"/>
                <w:szCs w:val="18"/>
              </w:rPr>
              <w:t xml:space="preserve">8.0</w:t>
            </w:r>
          </w:p>
        </w:tc>
        <w:tc>
          <w:tcPr>
            <w:tcW w:type="dxa" w:w="436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r>
              <w:rPr>
                <w:rFonts w:ascii="Arial" w:cs="Arial" w:eastAsia="Arial" w:hAnsi="Arial"/>
                <w:sz w:val="18"/>
                <w:szCs w:val="18"/>
              </w:rPr>
              <w:t xml:space="preserve">Motor de base de datos relacional para la persistencia del sistema.</w:t>
            </w:r>
          </w:p>
        </w:tc>
      </w:tr>
      <w:tr>
        <w:tc>
          <w:tcPr>
            <w:tcW w:type="dxa" w:w="24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r>
              <w:rPr>
                <w:rFonts w:ascii="Arial" w:cs="Arial" w:eastAsia="Arial" w:hAnsi="Arial"/>
                <w:sz w:val="18"/>
                <w:szCs w:val="18"/>
              </w:rPr>
              <w:t xml:space="preserve">Google Chrome</w:t>
            </w:r>
          </w:p>
        </w:tc>
        <w:tc>
          <w:tcPr>
            <w:tcW w:type="dxa" w:w="2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r>
              <w:rPr>
                <w:rFonts w:ascii="Arial" w:cs="Arial" w:eastAsia="Arial" w:hAnsi="Arial"/>
                <w:sz w:val="18"/>
                <w:szCs w:val="18"/>
              </w:rPr>
              <w:t xml:space="preserve">Versión estable más reciente</w:t>
            </w:r>
          </w:p>
        </w:tc>
        <w:tc>
          <w:tcPr>
            <w:tcW w:type="dxa" w:w="43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r>
              <w:rPr>
                <w:rFonts w:ascii="Arial" w:cs="Arial" w:eastAsia="Arial" w:hAnsi="Arial"/>
                <w:sz w:val="18"/>
                <w:szCs w:val="18"/>
              </w:rPr>
              <w:t xml:space="preserve">Navegador controlado por Selenium WebDriver durante la extracción.</w:t>
            </w:r>
          </w:p>
        </w:tc>
      </w:tr>
      <w:tr>
        <w:tc>
          <w:tcPr>
            <w:tcW w:type="dxa" w:w="240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r>
              <w:rPr>
                <w:rFonts w:ascii="Arial" w:cs="Arial" w:eastAsia="Arial" w:hAnsi="Arial"/>
                <w:sz w:val="18"/>
                <w:szCs w:val="18"/>
              </w:rPr>
              <w:t xml:space="preserve">Git</w:t>
            </w:r>
          </w:p>
        </w:tc>
        <w:tc>
          <w:tcPr>
            <w:tcW w:type="dxa" w:w="260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r>
              <w:rPr>
                <w:rFonts w:ascii="Arial" w:cs="Arial" w:eastAsia="Arial" w:hAnsi="Arial"/>
                <w:sz w:val="18"/>
                <w:szCs w:val="18"/>
              </w:rPr>
              <w:t xml:space="preserve">Cualquier versión reciente</w:t>
            </w:r>
          </w:p>
        </w:tc>
        <w:tc>
          <w:tcPr>
            <w:tcW w:type="dxa" w:w="436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r>
              <w:rPr>
                <w:rFonts w:ascii="Arial" w:cs="Arial" w:eastAsia="Arial" w:hAnsi="Arial"/>
                <w:sz w:val="18"/>
                <w:szCs w:val="18"/>
              </w:rPr>
              <w:t xml:space="preserve">Clonado del repositorio del proyecto.</w:t>
            </w:r>
          </w:p>
        </w:tc>
      </w:tr>
    </w:tbl>
    <w:p>
      <w:pPr>
        <w:spacing w:after="240" w:before="80"/>
      </w:pPr>
      <w:r>
        <w:rPr>
          <w:rFonts w:ascii="Arial" w:cs="Arial" w:eastAsia="Arial" w:hAnsi="Arial"/>
          <w:i/>
          <w:iCs/>
          <w:sz w:val="18"/>
          <w:szCs w:val="18"/>
        </w:rPr>
        <w:t xml:space="preserve">Tabla R.1. Requisitos previos de software. Fuente: Elaboración propia, a partir de las versiones documentadas en el Anexo N.</w:t>
      </w:r>
    </w:p>
    <w:p>
      <w:pPr>
        <w:spacing w:after="200"/>
      </w:pPr>
      <w:r>
        <w:rPr>
          <w:rFonts w:ascii="Arial" w:cs="Arial" w:eastAsia="Arial" w:hAnsi="Arial"/>
          <w:sz w:val="22"/>
          <w:szCs w:val="22"/>
        </w:rPr>
        <w:t xml:space="preserve">No es necesario instalar ChromeDriver manualmente: el sistema utiliza la librería webdriver-manager, la cual descarga automáticamente la versión de ChromeDriver compatible con el Chrome instalado en la máquina, la primera vez que se ejecuta el backend.</w:t>
      </w:r>
    </w:p>
    <w:p>
      <w:pPr>
        <w:pStyle w:val="Heading1"/>
      </w:pPr>
      <w:r>
        <w:t xml:space="preserve">3. Obtención del código fuente</w:t>
      </w:r>
    </w:p>
    <w:p>
      <w:pPr>
        <w:spacing w:after="200"/>
      </w:pPr>
      <w:r>
        <w:rPr>
          <w:rFonts w:ascii="Arial" w:cs="Arial" w:eastAsia="Arial" w:hAnsi="Arial"/>
          <w:sz w:val="22"/>
          <w:szCs w:val="22"/>
        </w:rPr>
        <w:t xml:space="preserve">Clonar el repositorio público del proyecto mediante Git:</w:t>
      </w:r>
    </w:p>
    <w:p>
      <w:pPr>
        <w:pBdr>
          <w:top w:val="single" w:color="999999" w:sz="4" w:space="4"/>
          <w:left w:val="single" w:color="999999" w:sz="4" w:space="4"/>
          <w:bottom w:val="single" w:color="999999" w:sz="4" w:space="4"/>
          <w:right w:val="single" w:color="999999" w:sz="4" w:space="4"/>
        </w:pBdr>
        <w:shd w:fill="F2F2F2" w:val="clear"/>
        <w:spacing w:after="200" w:before="80"/>
      </w:pPr>
      <w:r>
        <w:rPr>
          <w:rFonts w:ascii="Consolas" w:cs="Consolas" w:eastAsia="Consolas" w:hAnsi="Consolas"/>
          <w:sz w:val="20"/>
          <w:szCs w:val="20"/>
        </w:rPr>
        <w:t xml:space="preserve">git clone https://github.com/misahor67/rpa-academico-pucp.git</w:t>
      </w:r>
    </w:p>
    <w:p>
      <w:pPr>
        <w:spacing w:after="200"/>
      </w:pPr>
      <w:r>
        <w:rPr>
          <w:rFonts w:ascii="Arial" w:cs="Arial" w:eastAsia="Arial" w:hAnsi="Arial"/>
          <w:sz w:val="22"/>
          <w:szCs w:val="22"/>
        </w:rPr>
        <w:t xml:space="preserve">El repositorio contiene dos proyectos independientes en las carpetas backend/ y frontend/, los cuales se configuran y ejecutan por separado según se detalla en las siguientes secciones.</w:t>
      </w:r>
    </w:p>
    <w:p>
      <w:pPr>
        <w:pStyle w:val="Heading1"/>
      </w:pPr>
      <w:r>
        <w:t xml:space="preserve">4. Configuración del entorno (backend)</w:t>
      </w:r>
    </w:p>
    <w:p>
      <w:pPr>
        <w:pStyle w:val="Heading2"/>
      </w:pPr>
      <w:r>
        <w:t xml:space="preserve">4.1 Variables de entorno (.env)</w:t>
      </w:r>
    </w:p>
    <w:p>
      <w:pPr>
        <w:spacing w:after="200"/>
      </w:pPr>
      <w:r>
        <w:rPr>
          <w:rFonts w:ascii="Arial" w:cs="Arial" w:eastAsia="Arial" w:hAnsi="Arial"/>
          <w:sz w:val="22"/>
          <w:szCs w:val="22"/>
        </w:rPr>
        <w:t xml:space="preserve">El sistema no debe almacenar credenciales de base de datos directamente en el código fuente. Dentro de la carpeta backend/, crear un archivo llamado .env (a partir de la plantilla .env.example incluida en el repositorio) con el siguiente contenido, completando los valores reales de la instalación:</w:t>
      </w:r>
    </w:p>
    <w:p>
      <w:pPr>
        <w:pBdr>
          <w:top w:val="single" w:color="999999" w:sz="4" w:space="4"/>
          <w:left w:val="single" w:color="999999" w:sz="4" w:space="4"/>
          <w:bottom w:val="single" w:color="999999" w:sz="4" w:space="4"/>
          <w:right w:val="single" w:color="999999" w:sz="4" w:space="4"/>
        </w:pBdr>
        <w:shd w:fill="F2F2F2" w:val="clear"/>
        <w:spacing w:after="200" w:before="80"/>
      </w:pPr>
      <w:r>
        <w:rPr>
          <w:rFonts w:ascii="Consolas" w:cs="Consolas" w:eastAsia="Consolas" w:hAnsi="Consolas"/>
          <w:sz w:val="20"/>
          <w:szCs w:val="20"/>
        </w:rPr>
        <w:t xml:space="preserve">DB_USER=root</w:t>
        <w:br/>
        <w:t xml:space="preserve">DB_PASSWORD=&lt;contraseña real de MySQL&gt;</w:t>
        <w:br/>
        <w:t xml:space="preserve">DB_HOST=localhost</w:t>
        <w:br/>
        <w:t xml:space="preserve">DB_PORT=3306</w:t>
        <w:br/>
        <w:t xml:space="preserve">DB_NAME=rpa_academico_pucp</w:t>
      </w:r>
    </w:p>
    <w:p>
      <w:pPr>
        <w:spacing w:after="200"/>
      </w:pPr>
      <w:r>
        <w:rPr>
          <w:rFonts w:ascii="Arial" w:cs="Arial" w:eastAsia="Arial" w:hAnsi="Arial"/>
          <w:sz w:val="22"/>
          <w:szCs w:val="22"/>
        </w:rPr>
        <w:t xml:space="preserve">Este archivo .env no debe subirse al repositorio bajo ninguna circunstancia; el archivo .gitignore del proyecto ya está configurado para excluirlo automáticamente del control de versiones.</w:t>
      </w:r>
    </w:p>
    <w:p>
      <w:pPr>
        <w:pStyle w:val="Heading2"/>
      </w:pPr>
      <w:r>
        <w:t xml:space="preserve">4.2 Credenciales de Google Calendar (OAuth 2.0)</w:t>
      </w:r>
    </w:p>
    <w:p>
      <w:pPr>
        <w:spacing w:after="200"/>
      </w:pPr>
      <w:r>
        <w:rPr>
          <w:rFonts w:ascii="Arial" w:cs="Arial" w:eastAsia="Arial" w:hAnsi="Arial"/>
          <w:sz w:val="22"/>
          <w:szCs w:val="22"/>
        </w:rPr>
        <w:t xml:space="preserve">El sistema requiere un archivo credentials.json con las credenciales de un proyecto de Google Cloud habilitado para la API de Google Calendar. Los pasos para obtenerlo son los siguientes:</w:t>
      </w:r>
    </w:p>
    <w:p>
      <w:pPr>
        <w:pStyle w:val="ListParagraph"/>
        <w:numPr>
          <w:ilvl w:val="0"/>
          <w:numId w:val="2"/>
        </w:numPr>
        <w:spacing w:after="160"/>
      </w:pPr>
      <w:r>
        <w:rPr>
          <w:rFonts w:ascii="Arial" w:cs="Arial" w:eastAsia="Arial" w:hAnsi="Arial"/>
          <w:sz w:val="22"/>
          <w:szCs w:val="22"/>
        </w:rPr>
        <w:t xml:space="preserve">Ingresar a Google Cloud Console (console.cloud.google.com) y crear un proyecto nuevo o seleccionar uno existente.</w:t>
      </w:r>
    </w:p>
    <w:p>
      <w:pPr>
        <w:pStyle w:val="ListParagraph"/>
        <w:numPr>
          <w:ilvl w:val="0"/>
          <w:numId w:val="2"/>
        </w:numPr>
        <w:spacing w:after="160"/>
      </w:pPr>
      <w:r>
        <w:rPr>
          <w:rFonts w:ascii="Arial" w:cs="Arial" w:eastAsia="Arial" w:hAnsi="Arial"/>
          <w:sz w:val="22"/>
          <w:szCs w:val="22"/>
        </w:rPr>
        <w:t xml:space="preserve">Habilitar la “Google Calendar API” desde la sección de APIs y servicios.</w:t>
      </w:r>
    </w:p>
    <w:p>
      <w:pPr>
        <w:pStyle w:val="ListParagraph"/>
        <w:numPr>
          <w:ilvl w:val="0"/>
          <w:numId w:val="2"/>
        </w:numPr>
        <w:spacing w:after="160"/>
      </w:pPr>
      <w:r>
        <w:rPr>
          <w:rFonts w:ascii="Arial" w:cs="Arial" w:eastAsia="Arial" w:hAnsi="Arial"/>
          <w:sz w:val="22"/>
          <w:szCs w:val="22"/>
        </w:rPr>
        <w:t xml:space="preserve">Crear credenciales de tipo “OAuth client ID”, seleccionando “Aplicación de escritorio” como tipo de aplicación.</w:t>
      </w:r>
    </w:p>
    <w:p>
      <w:pPr>
        <w:pStyle w:val="ListParagraph"/>
        <w:numPr>
          <w:ilvl w:val="0"/>
          <w:numId w:val="2"/>
        </w:numPr>
        <w:spacing w:after="160"/>
      </w:pPr>
      <w:r>
        <w:rPr>
          <w:rFonts w:ascii="Arial" w:cs="Arial" w:eastAsia="Arial" w:hAnsi="Arial"/>
          <w:sz w:val="22"/>
          <w:szCs w:val="22"/>
        </w:rPr>
        <w:t xml:space="preserve">Descargar el archivo JSON generado y guardarlo en la carpeta backend/ con el nombre exacto credentials.json.</w:t>
      </w:r>
    </w:p>
    <w:p>
      <w:pPr>
        <w:spacing w:after="200"/>
      </w:pPr>
      <w:r>
        <w:rPr>
          <w:rFonts w:ascii="Arial" w:cs="Arial" w:eastAsia="Arial" w:hAnsi="Arial"/>
          <w:sz w:val="22"/>
          <w:szCs w:val="22"/>
        </w:rPr>
        <w:t xml:space="preserve">La primera vez que el sistema intente sincronizar con Google Calendar, se abrirá automáticamente una ventana del navegador solicitando al usuario autorizar el acceso a su cuenta de Google. Tras la autorización, el sistema generará automáticamente un archivo token.json que permitirá reutilizar la sesión en ejecuciones posteriores sin solicitar autorización nuevamente, hasta que el token expire.</w:t>
      </w:r>
    </w:p>
    <w:p>
      <w:pPr>
        <w:spacing w:after="200"/>
      </w:pPr>
      <w:r>
        <w:rPr>
          <w:rFonts w:ascii="Arial" w:cs="Arial" w:eastAsia="Arial" w:hAnsi="Arial"/>
          <w:sz w:val="22"/>
          <w:szCs w:val="22"/>
        </w:rPr>
        <w:t xml:space="preserve">Tanto credentials.json como token.json contienen información sensible y se encuentran excluidos del control de versiones mediante el archivo .gitignore del proyecto; bajo ninguna circunstancia deben subirse a un repositorio público.</w:t>
      </w:r>
    </w:p>
    <w:p>
      <w:pPr>
        <w:pStyle w:val="Heading1"/>
      </w:pPr>
      <w:r>
        <w:t xml:space="preserve">5. Instalación de dependencias</w:t>
      </w:r>
    </w:p>
    <w:p>
      <w:pPr>
        <w:pStyle w:val="Heading2"/>
      </w:pPr>
      <w:r>
        <w:t xml:space="preserve">5.1 Backend (Python)</w:t>
      </w:r>
    </w:p>
    <w:p>
      <w:pPr>
        <w:spacing w:after="200"/>
      </w:pPr>
      <w:r>
        <w:rPr>
          <w:rFonts w:ascii="Arial" w:cs="Arial" w:eastAsia="Arial" w:hAnsi="Arial"/>
          <w:sz w:val="22"/>
          <w:szCs w:val="22"/>
        </w:rPr>
        <w:t xml:space="preserve">Desde la carpeta backend/, se recomienda crear un entorno virtual de Python antes de instalar las dependencias, para aislar las librerías del proyecto del resto del sistema:</w:t>
      </w:r>
    </w:p>
    <w:p>
      <w:pPr>
        <w:pBdr>
          <w:top w:val="single" w:color="999999" w:sz="4" w:space="4"/>
          <w:left w:val="single" w:color="999999" w:sz="4" w:space="4"/>
          <w:bottom w:val="single" w:color="999999" w:sz="4" w:space="4"/>
          <w:right w:val="single" w:color="999999" w:sz="4" w:space="4"/>
        </w:pBdr>
        <w:shd w:fill="F2F2F2" w:val="clear"/>
        <w:spacing w:after="200" w:before="80"/>
      </w:pPr>
      <w:r>
        <w:rPr>
          <w:rFonts w:ascii="Consolas" w:cs="Consolas" w:eastAsia="Consolas" w:hAnsi="Consolas"/>
          <w:sz w:val="20"/>
          <w:szCs w:val="20"/>
        </w:rPr>
        <w:t xml:space="preserve">python -m venv venv</w:t>
        <w:br/>
        <w:t xml:space="preserve">venv\Scripts\activate</w:t>
        <w:br/>
        <w:t xml:space="preserve">pip install -r requirements.txt</w:t>
      </w:r>
    </w:p>
    <w:p>
      <w:pPr>
        <w:spacing w:after="200"/>
      </w:pPr>
      <w:r>
        <w:rPr>
          <w:rFonts w:ascii="Arial" w:cs="Arial" w:eastAsia="Arial" w:hAnsi="Arial"/>
          <w:sz w:val="22"/>
          <w:szCs w:val="22"/>
        </w:rPr>
        <w:t xml:space="preserve">El archivo requirements.txt incluye, entre otras, las siguientes dependencias principales: fastapi, uvicorn, selenium, webdriver-manager, sqlalchemy, pymysql, google-api-python-client, google-auth-oauthlib, python-dotenv e icalendar.</w:t>
      </w:r>
    </w:p>
    <w:p>
      <w:pPr>
        <w:pStyle w:val="Heading2"/>
      </w:pPr>
      <w:r>
        <w:t xml:space="preserve">5.2 Frontend (Node.js)</w:t>
      </w:r>
    </w:p>
    <w:p>
      <w:pPr>
        <w:spacing w:after="200"/>
      </w:pPr>
      <w:r>
        <w:rPr>
          <w:rFonts w:ascii="Arial" w:cs="Arial" w:eastAsia="Arial" w:hAnsi="Arial"/>
          <w:sz w:val="22"/>
          <w:szCs w:val="22"/>
        </w:rPr>
        <w:t xml:space="preserve">Desde la carpeta frontend/, instalar las dependencias del proyecto Next.js:</w:t>
      </w:r>
    </w:p>
    <w:p>
      <w:pPr>
        <w:pBdr>
          <w:top w:val="single" w:color="999999" w:sz="4" w:space="4"/>
          <w:left w:val="single" w:color="999999" w:sz="4" w:space="4"/>
          <w:bottom w:val="single" w:color="999999" w:sz="4" w:space="4"/>
          <w:right w:val="single" w:color="999999" w:sz="4" w:space="4"/>
        </w:pBdr>
        <w:shd w:fill="F2F2F2" w:val="clear"/>
        <w:spacing w:after="200" w:before="80"/>
      </w:pPr>
      <w:r>
        <w:rPr>
          <w:rFonts w:ascii="Consolas" w:cs="Consolas" w:eastAsia="Consolas" w:hAnsi="Consolas"/>
          <w:sz w:val="20"/>
          <w:szCs w:val="20"/>
        </w:rPr>
        <w:t xml:space="preserve">npm install</w:t>
      </w:r>
    </w:p>
    <w:p>
      <w:pPr>
        <w:spacing w:after="200"/>
      </w:pPr>
      <w:r>
        <w:rPr>
          <w:rFonts w:ascii="Arial" w:cs="Arial" w:eastAsia="Arial" w:hAnsi="Arial"/>
          <w:sz w:val="22"/>
          <w:szCs w:val="22"/>
        </w:rPr>
        <w:t xml:space="preserve">El proyecto utiliza Next.js 16 con App Router, React 19, TypeScript y Tailwind CSS 4, junto con componentes de la librería shadcn/ui.</w:t>
      </w:r>
    </w:p>
    <w:p>
      <w:pPr>
        <w:pStyle w:val="Heading1"/>
      </w:pPr>
      <w:r>
        <w:t xml:space="preserve">6. Configuración y creación de la base de datos</w:t>
      </w:r>
    </w:p>
    <w:p>
      <w:pPr>
        <w:spacing w:after="200"/>
      </w:pPr>
      <w:r>
        <w:rPr>
          <w:rFonts w:ascii="Arial" w:cs="Arial" w:eastAsia="Arial" w:hAnsi="Arial"/>
          <w:sz w:val="22"/>
          <w:szCs w:val="22"/>
        </w:rPr>
        <w:t xml:space="preserve">Antes de iniciar el backend por primera vez, debe existir una base de datos vacía en el servidor MySQL local con el nombre configurado en la variable DB_NAME del archivo .env (por defecto, rpa_academico_pucp). Esto puede realizarse mediante un cliente como MySQL Workbench, DBeaver o la línea de comandos de MySQL:</w:t>
      </w:r>
    </w:p>
    <w:p>
      <w:pPr>
        <w:pBdr>
          <w:top w:val="single" w:color="999999" w:sz="4" w:space="4"/>
          <w:left w:val="single" w:color="999999" w:sz="4" w:space="4"/>
          <w:bottom w:val="single" w:color="999999" w:sz="4" w:space="4"/>
          <w:right w:val="single" w:color="999999" w:sz="4" w:space="4"/>
        </w:pBdr>
        <w:shd w:fill="F2F2F2" w:val="clear"/>
        <w:spacing w:after="200" w:before="80"/>
      </w:pPr>
      <w:r>
        <w:rPr>
          <w:rFonts w:ascii="Consolas" w:cs="Consolas" w:eastAsia="Consolas" w:hAnsi="Consolas"/>
          <w:sz w:val="20"/>
          <w:szCs w:val="20"/>
        </w:rPr>
        <w:t xml:space="preserve">CREATE DATABASE rpa_academico_pucp CHARACTER SET utf8mb4;</w:t>
      </w:r>
    </w:p>
    <w:p>
      <w:pPr>
        <w:spacing w:after="200"/>
      </w:pPr>
      <w:r>
        <w:rPr>
          <w:rFonts w:ascii="Arial" w:cs="Arial" w:eastAsia="Arial" w:hAnsi="Arial"/>
          <w:sz w:val="22"/>
          <w:szCs w:val="22"/>
        </w:rPr>
        <w:t xml:space="preserve">Las 8 tablas del esquema relacional (semestre, curso, estudiante, profesor, actividad_academica, notificacion, curso_estudiante, curso_profesor), definidas en el Anexo K (Modelo de Base de Datos, R2.2a), se crean automáticamente la primera vez que se ejecuta el backend, mediante la instrucción Base.metadata.create_all() presente en backend/app.py. No es necesario ejecutar scripts SQL manuales para la creación inicial del esquema.</w:t>
      </w:r>
    </w:p>
    <w:p>
      <w:pPr>
        <w:pStyle w:val="Heading1"/>
      </w:pPr>
      <w:r>
        <w:t xml:space="preserve">7. Ejecución del sistema</w:t>
      </w:r>
    </w:p>
    <w:p>
      <w:pPr>
        <w:spacing w:after="200"/>
      </w:pPr>
      <w:r>
        <w:rPr>
          <w:rFonts w:ascii="Arial" w:cs="Arial" w:eastAsia="Arial" w:hAnsi="Arial"/>
          <w:sz w:val="22"/>
          <w:szCs w:val="22"/>
        </w:rPr>
        <w:t xml:space="preserve">El backend y el frontend se ejecutan como dos procesos independientes, cada uno en su propia terminal.</w:t>
      </w:r>
    </w:p>
    <w:p>
      <w:pPr>
        <w:pStyle w:val="Heading2"/>
      </w:pPr>
      <w:r>
        <w:t xml:space="preserve">7.1 Iniciar el backend</w:t>
      </w:r>
    </w:p>
    <w:p>
      <w:pPr>
        <w:pBdr>
          <w:top w:val="single" w:color="999999" w:sz="4" w:space="4"/>
          <w:left w:val="single" w:color="999999" w:sz="4" w:space="4"/>
          <w:bottom w:val="single" w:color="999999" w:sz="4" w:space="4"/>
          <w:right w:val="single" w:color="999999" w:sz="4" w:space="4"/>
        </w:pBdr>
        <w:shd w:fill="F2F2F2" w:val="clear"/>
        <w:spacing w:after="200" w:before="80"/>
      </w:pPr>
      <w:r>
        <w:rPr>
          <w:rFonts w:ascii="Consolas" w:cs="Consolas" w:eastAsia="Consolas" w:hAnsi="Consolas"/>
          <w:sz w:val="20"/>
          <w:szCs w:val="20"/>
        </w:rPr>
        <w:t xml:space="preserve">cd backend</w:t>
        <w:br/>
        <w:t xml:space="preserve">venv\Scripts\activate</w:t>
        <w:br/>
        <w:t xml:space="preserve">uvicorn app:app --reload --port 8000</w:t>
      </w:r>
    </w:p>
    <w:p>
      <w:pPr>
        <w:spacing w:after="200"/>
      </w:pPr>
      <w:r>
        <w:rPr>
          <w:rFonts w:ascii="Arial" w:cs="Arial" w:eastAsia="Arial" w:hAnsi="Arial"/>
          <w:sz w:val="22"/>
          <w:szCs w:val="22"/>
        </w:rPr>
        <w:t xml:space="preserve">El backend quedará disponible en http://localhost:8000. Puede verificarse que está funcionando correctamente accediendo a http://localhost:8000/health desde el navegador, lo cual debe responder con {"estado": "ok"}.</w:t>
      </w:r>
    </w:p>
    <w:p>
      <w:pPr>
        <w:pStyle w:val="Heading2"/>
      </w:pPr>
      <w:r>
        <w:t xml:space="preserve">7.2 Iniciar el frontend</w:t>
      </w:r>
    </w:p>
    <w:p>
      <w:pPr>
        <w:pBdr>
          <w:top w:val="single" w:color="999999" w:sz="4" w:space="4"/>
          <w:left w:val="single" w:color="999999" w:sz="4" w:space="4"/>
          <w:bottom w:val="single" w:color="999999" w:sz="4" w:space="4"/>
          <w:right w:val="single" w:color="999999" w:sz="4" w:space="4"/>
        </w:pBdr>
        <w:shd w:fill="F2F2F2" w:val="clear"/>
        <w:spacing w:after="200" w:before="80"/>
      </w:pPr>
      <w:r>
        <w:rPr>
          <w:rFonts w:ascii="Consolas" w:cs="Consolas" w:eastAsia="Consolas" w:hAnsi="Consolas"/>
          <w:sz w:val="20"/>
          <w:szCs w:val="20"/>
        </w:rPr>
        <w:t xml:space="preserve">cd frontend</w:t>
        <w:br/>
        <w:t xml:space="preserve">npm run dev</w:t>
      </w:r>
    </w:p>
    <w:p>
      <w:pPr>
        <w:spacing w:after="200"/>
      </w:pPr>
      <w:r>
        <w:rPr>
          <w:rFonts w:ascii="Arial" w:cs="Arial" w:eastAsia="Arial" w:hAnsi="Arial"/>
          <w:sz w:val="22"/>
          <w:szCs w:val="22"/>
        </w:rPr>
        <w:t xml:space="preserve">El frontend quedará disponible en http://localhost:3000. Al abrir esta dirección en el navegador, debe visualizarse la pantalla de inicio (P1) del sistema.</w:t>
      </w:r>
    </w:p>
    <w:p>
      <w:pPr>
        <w:pStyle w:val="Heading2"/>
      </w:pPr>
      <w:r>
        <w:t xml:space="preserve">7.3 Exposición temporal mediante ngrok (opcional, para demostración)</w:t>
      </w:r>
    </w:p>
    <w:p>
      <w:pPr>
        <w:spacing w:after="200"/>
      </w:pPr>
      <w:r>
        <w:rPr>
          <w:rFonts w:ascii="Arial" w:cs="Arial" w:eastAsia="Arial" w:hAnsi="Arial"/>
          <w:sz w:val="22"/>
          <w:szCs w:val="22"/>
        </w:rPr>
        <w:t xml:space="preserve">Para que el sistema sea accesible desde fuera de la máquina local —por ejemplo, durante la sustentación ante el jurado— puede utilizarse ngrok, una herramienta que crea un túnel temporal entre la máquina local y una URL pública en internet, sin requerir el despliegue del sistema en un servidor real. Los pasos son los siguientes:</w:t>
      </w:r>
    </w:p>
    <w:p>
      <w:pPr>
        <w:pStyle w:val="ListParagraph"/>
        <w:numPr>
          <w:ilvl w:val="0"/>
          <w:numId w:val="3"/>
        </w:numPr>
        <w:spacing w:after="160"/>
      </w:pPr>
      <w:r>
        <w:rPr>
          <w:rFonts w:ascii="Arial" w:cs="Arial" w:eastAsia="Arial" w:hAnsi="Arial"/>
          <w:sz w:val="22"/>
          <w:szCs w:val="22"/>
        </w:rPr>
        <w:t xml:space="preserve">Crear una cuenta gratuita en ngrok.com y descargar el ejecutable correspondiente al sistema operativo.</w:t>
      </w:r>
    </w:p>
    <w:p>
      <w:pPr>
        <w:pStyle w:val="ListParagraph"/>
        <w:numPr>
          <w:ilvl w:val="0"/>
          <w:numId w:val="3"/>
        </w:numPr>
        <w:spacing w:after="160"/>
      </w:pPr>
      <w:r>
        <w:rPr>
          <w:rFonts w:ascii="Arial" w:cs="Arial" w:eastAsia="Arial" w:hAnsi="Arial"/>
          <w:sz w:val="22"/>
          <w:szCs w:val="22"/>
        </w:rPr>
        <w:t xml:space="preserve">Con el frontend ya ejecutándose en el puerto 3000 (sección 7.2), abrir una nueva terminal y ejecutar:</w:t>
      </w:r>
    </w:p>
    <w:p>
      <w:pPr>
        <w:pBdr>
          <w:top w:val="single" w:color="999999" w:sz="4" w:space="4"/>
          <w:left w:val="single" w:color="999999" w:sz="4" w:space="4"/>
          <w:bottom w:val="single" w:color="999999" w:sz="4" w:space="4"/>
          <w:right w:val="single" w:color="999999" w:sz="4" w:space="4"/>
        </w:pBdr>
        <w:shd w:fill="F2F2F2" w:val="clear"/>
        <w:spacing w:after="200" w:before="80"/>
      </w:pPr>
      <w:r>
        <w:rPr>
          <w:rFonts w:ascii="Consolas" w:cs="Consolas" w:eastAsia="Consolas" w:hAnsi="Consolas"/>
          <w:sz w:val="20"/>
          <w:szCs w:val="20"/>
        </w:rPr>
        <w:t xml:space="preserve">ngrok http 3000</w:t>
      </w:r>
    </w:p>
    <w:p>
      <w:pPr>
        <w:pStyle w:val="ListParagraph"/>
        <w:numPr>
          <w:ilvl w:val="0"/>
          <w:numId w:val="3"/>
        </w:numPr>
        <w:spacing w:after="160"/>
      </w:pPr>
      <w:r>
        <w:rPr>
          <w:rFonts w:ascii="Arial" w:cs="Arial" w:eastAsia="Arial" w:hAnsi="Arial"/>
          <w:sz w:val="22"/>
          <w:szCs w:val="22"/>
        </w:rPr>
        <w:t xml:space="preserve">ngrok mostrará en la terminal una URL pública (por ejemplo, https://xxxxx.ngrok-free.app) que redirige el tráfico hacia el puerto 3000 de la máquina local.</w:t>
      </w:r>
    </w:p>
    <w:p>
      <w:pPr>
        <w:spacing w:after="200"/>
      </w:pPr>
      <w:r>
        <w:rPr>
          <w:rFonts w:ascii="Arial" w:cs="Arial" w:eastAsia="Arial" w:hAnsi="Arial"/>
          <w:sz w:val="22"/>
          <w:szCs w:val="22"/>
        </w:rPr>
        <w:t xml:space="preserve">Esta URL es temporal y deja de funcionar al cerrar el proceso de ngrok o apagar la máquina local; no constituye un despliegue persistente del sistema. El uso de ngrok para este proyecto se adopta como la alternativa más simple frente a otras opciones evaluadas y descartadas (contenedor Docker con Chrome headless en Railway, VPS dedicado), conforme a la justificación documentada en el Anexo N, sección 6.</w:t>
      </w:r>
    </w:p>
    <w:p>
      <w:pPr>
        <w:pStyle w:val="Heading1"/>
      </w:pPr>
      <w:r>
        <w:t xml:space="preserve">8. Verificación de la instalación</w:t>
      </w:r>
    </w:p>
    <w:p>
      <w:pPr>
        <w:spacing w:after="200"/>
      </w:pPr>
      <w:r>
        <w:rPr>
          <w:rFonts w:ascii="Arial" w:cs="Arial" w:eastAsia="Arial" w:hAnsi="Arial"/>
          <w:sz w:val="22"/>
          <w:szCs w:val="22"/>
        </w:rPr>
        <w:t xml:space="preserve">Para confirmar que la instalación fue exitosa, se recomienda seguir la siguiente secuencia de verificación:</w:t>
      </w:r>
    </w:p>
    <w:p>
      <w:pPr>
        <w:pStyle w:val="ListParagraph"/>
        <w:numPr>
          <w:ilvl w:val="0"/>
          <w:numId w:val="4"/>
        </w:numPr>
        <w:spacing w:after="160"/>
      </w:pPr>
      <w:r>
        <w:rPr>
          <w:rFonts w:ascii="Arial" w:cs="Arial" w:eastAsia="Arial" w:hAnsi="Arial"/>
          <w:sz w:val="22"/>
          <w:szCs w:val="22"/>
        </w:rPr>
        <w:t xml:space="preserve">Verificar que http://localhost:8000/health responde correctamente desde el navegador.</w:t>
      </w:r>
    </w:p>
    <w:p>
      <w:pPr>
        <w:pStyle w:val="ListParagraph"/>
        <w:numPr>
          <w:ilvl w:val="0"/>
          <w:numId w:val="4"/>
        </w:numPr>
        <w:spacing w:after="160"/>
      </w:pPr>
      <w:r>
        <w:rPr>
          <w:rFonts w:ascii="Arial" w:cs="Arial" w:eastAsia="Arial" w:hAnsi="Arial"/>
          <w:sz w:val="22"/>
          <w:szCs w:val="22"/>
        </w:rPr>
        <w:t xml:space="preserve">Verificar que http://localhost:3000 carga la pantalla de inicio del sistema (P1) sin errores en la consola del navegador.</w:t>
      </w:r>
    </w:p>
    <w:p>
      <w:pPr>
        <w:pStyle w:val="ListParagraph"/>
        <w:numPr>
          <w:ilvl w:val="0"/>
          <w:numId w:val="4"/>
        </w:numPr>
        <w:spacing w:after="160"/>
      </w:pPr>
      <w:r>
        <w:rPr>
          <w:rFonts w:ascii="Arial" w:cs="Arial" w:eastAsia="Arial" w:hAnsi="Arial"/>
          <w:sz w:val="22"/>
          <w:szCs w:val="22"/>
        </w:rPr>
        <w:t xml:space="preserve">Desde la pantalla de inicio, configurar una sincronización de prueba (P2) seleccionando un ciclo académico y año, e iniciar el proceso.</w:t>
      </w:r>
    </w:p>
    <w:p>
      <w:pPr>
        <w:pStyle w:val="ListParagraph"/>
        <w:numPr>
          <w:ilvl w:val="0"/>
          <w:numId w:val="4"/>
        </w:numPr>
        <w:spacing w:after="160"/>
      </w:pPr>
      <w:r>
        <w:rPr>
          <w:rFonts w:ascii="Arial" w:cs="Arial" w:eastAsia="Arial" w:hAnsi="Arial"/>
          <w:sz w:val="22"/>
          <w:szCs w:val="22"/>
        </w:rPr>
        <w:t xml:space="preserve">Verificar que el navegador Chrome automatizado se abre correctamente y permite el inicio de sesión manual en Campus Virtual y/o PAIDEIA.</w:t>
      </w:r>
    </w:p>
    <w:p>
      <w:pPr>
        <w:pStyle w:val="ListParagraph"/>
        <w:numPr>
          <w:ilvl w:val="0"/>
          <w:numId w:val="4"/>
        </w:numPr>
        <w:spacing w:after="160"/>
      </w:pPr>
      <w:r>
        <w:rPr>
          <w:rFonts w:ascii="Arial" w:cs="Arial" w:eastAsia="Arial" w:hAnsi="Arial"/>
          <w:sz w:val="22"/>
          <w:szCs w:val="22"/>
        </w:rPr>
        <w:t xml:space="preserve">Verificar que, al finalizar el proceso, los eventos extraídos aparecen reflejados en un nuevo calendario dentro de la cuenta de Google Calendar autorizada.</w:t>
      </w:r>
    </w:p>
    <w:p>
      <w:pPr>
        <w:pStyle w:val="ListParagraph"/>
        <w:numPr>
          <w:ilvl w:val="0"/>
          <w:numId w:val="4"/>
        </w:numPr>
        <w:spacing w:after="160"/>
      </w:pPr>
      <w:r>
        <w:rPr>
          <w:rFonts w:ascii="Arial" w:cs="Arial" w:eastAsia="Arial" w:hAnsi="Arial"/>
          <w:sz w:val="22"/>
          <w:szCs w:val="22"/>
        </w:rPr>
        <w:t xml:space="preserve">Verificar, mediante un cliente como DBeaver, que las tablas semestre y actividad_academica contienen los registros correspondientes a la sincronización de prueba.</w:t>
      </w:r>
    </w:p>
    <w:p>
      <w:pPr>
        <w:pStyle w:val="Heading1"/>
      </w:pPr>
      <w:r>
        <w:t xml:space="preserve">9. Limitaciones conocidas de la instalación actual</w:t>
      </w:r>
    </w:p>
    <w:p>
      <w:pPr>
        <w:spacing w:after="200"/>
      </w:pPr>
      <w:r>
        <w:rPr>
          <w:rFonts w:ascii="Arial" w:cs="Arial" w:eastAsia="Arial" w:hAnsi="Arial"/>
          <w:sz w:val="22"/>
          <w:szCs w:val="22"/>
        </w:rPr>
        <w:t xml:space="preserve">Se documentan de forma transparente las siguientes limitaciones, consistentes con las descritas en el Anexo Q (Construcción del Software):</w:t>
      </w:r>
    </w:p>
    <w:p>
      <w:pPr>
        <w:pStyle w:val="ListParagraph"/>
        <w:numPr>
          <w:ilvl w:val="0"/>
          <w:numId w:val="5"/>
        </w:numPr>
        <w:spacing w:after="120"/>
      </w:pPr>
      <w:r>
        <w:rPr>
          <w:rFonts w:ascii="Arial" w:cs="Arial" w:eastAsia="Arial" w:hAnsi="Arial"/>
          <w:sz w:val="22"/>
          <w:szCs w:val="22"/>
        </w:rPr>
        <w:t xml:space="preserve">El sistema está diseñado para ejecutarse en un único equipo, sin soporte para múltiples usuarios concurrentes en esta versión.</w:t>
      </w:r>
    </w:p>
    <w:p>
      <w:pPr>
        <w:pStyle w:val="ListParagraph"/>
        <w:numPr>
          <w:ilvl w:val="0"/>
          <w:numId w:val="5"/>
        </w:numPr>
        <w:spacing w:after="120"/>
      </w:pPr>
      <w:r>
        <w:rPr>
          <w:rFonts w:ascii="Arial" w:cs="Arial" w:eastAsia="Arial" w:hAnsi="Arial"/>
          <w:sz w:val="22"/>
          <w:szCs w:val="22"/>
        </w:rPr>
        <w:t xml:space="preserve">La restricción de integridad referencial de la base de datos se relaja temporalmente durante el guardado de actividades académicas, mientras se completa la asociación real entre actividad, curso y estudiante extraídos de las plataformas institucionales.</w:t>
      </w:r>
    </w:p>
    <w:p>
      <w:pPr>
        <w:pStyle w:val="ListParagraph"/>
        <w:numPr>
          <w:ilvl w:val="0"/>
          <w:numId w:val="5"/>
        </w:numPr>
        <w:spacing w:after="120"/>
      </w:pPr>
      <w:r>
        <w:rPr>
          <w:rFonts w:ascii="Arial" w:cs="Arial" w:eastAsia="Arial" w:hAnsi="Arial"/>
          <w:sz w:val="22"/>
          <w:szCs w:val="22"/>
        </w:rPr>
        <w:t xml:space="preserve">El despliegue mediante ngrok (sección 7.3) es adecuado únicamente para fines de demostración; no debe utilizarse como mecanismo de acceso permanente al sistema.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Página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de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80" w:before="2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2026-06-25T01:02:16.776Z</dcterms:created>
  <dcterms:modified xsi:type="dcterms:W3CDTF">2026-06-25T01:02:16.776Z</dcterms:modified>
</cp:coreProperties>
</file>

<file path=docProps/custom.xml><?xml version="1.0" encoding="utf-8"?>
<Properties xmlns="http://schemas.openxmlformats.org/officeDocument/2006/custom-properties" xmlns:vt="http://schemas.openxmlformats.org/officeDocument/2006/docPropsVTypes"/>
</file>