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Rule="auto"/>
        <w:jc w:val="center"/>
        <w:rPr/>
      </w:pPr>
      <w:r w:rsidDel="00000000" w:rsidR="00000000" w:rsidRPr="00000000">
        <w:rPr>
          <w:rFonts w:ascii="Arial" w:cs="Arial" w:eastAsia="Arial" w:hAnsi="Arial"/>
          <w:b w:val="1"/>
          <w:bCs w:val="1"/>
          <w:color w:val="111827"/>
          <w:sz w:val="24"/>
          <w:szCs w:val="24"/>
          <w:rtl w:val="0"/>
        </w:rPr>
        <w:t xml:space="preserve">PONTIFICIA UNIVERSIDAD CATÓLICA DEL PERÚ</w:t>
      </w:r>
      <w:r w:rsidDel="00000000" w:rsidR="00000000" w:rsidRPr="00000000">
        <w:rPr>
          <w:rtl w:val="0"/>
        </w:rPr>
      </w:r>
    </w:p>
    <w:p w:rsidR="00000000" w:rsidDel="00000000" w:rsidP="00000000" w:rsidRDefault="00000000" w:rsidRPr="00000000" w14:paraId="00000002">
      <w:pPr>
        <w:spacing w:after="480" w:before="0" w:lineRule="auto"/>
        <w:jc w:val="center"/>
        <w:rPr/>
      </w:pPr>
      <w:r w:rsidDel="00000000" w:rsidR="00000000" w:rsidRPr="00000000">
        <w:rPr>
          <w:rFonts w:ascii="Arial" w:cs="Arial" w:eastAsia="Arial" w:hAnsi="Arial"/>
          <w:color w:val="6b7280"/>
          <w:sz w:val="21"/>
          <w:szCs w:val="21"/>
          <w:rtl w:val="0"/>
        </w:rPr>
        <w:t xml:space="preserve">Facultad de Ciencias e Ingeniería — Ingeniería Informática</w:t>
      </w:r>
      <w:r w:rsidDel="00000000" w:rsidR="00000000" w:rsidRPr="00000000">
        <w:rPr>
          <w:rtl w:val="0"/>
        </w:rPr>
      </w:r>
    </w:p>
    <w:p w:rsidR="00000000" w:rsidDel="00000000" w:rsidP="00000000" w:rsidRDefault="00000000" w:rsidRPr="00000000" w14:paraId="00000003">
      <w:pPr>
        <w:spacing w:after="120" w:before="800" w:lineRule="auto"/>
        <w:jc w:val="center"/>
        <w:rPr/>
      </w:pPr>
      <w:r w:rsidDel="00000000" w:rsidR="00000000" w:rsidRPr="00000000">
        <w:rPr>
          <w:rFonts w:ascii="Arial" w:cs="Arial" w:eastAsia="Arial" w:hAnsi="Arial"/>
          <w:b w:val="1"/>
          <w:bCs w:val="1"/>
          <w:color w:val="2563eb"/>
          <w:sz w:val="22"/>
          <w:szCs w:val="22"/>
          <w:rtl w:val="0"/>
        </w:rPr>
        <w:t xml:space="preserve">ANEXO</w:t>
      </w:r>
      <w:r w:rsidDel="00000000" w:rsidR="00000000" w:rsidRPr="00000000">
        <w:rPr>
          <w:rtl w:val="0"/>
        </w:rPr>
      </w:r>
    </w:p>
    <w:p w:rsidR="00000000" w:rsidDel="00000000" w:rsidP="00000000" w:rsidRDefault="00000000" w:rsidRPr="00000000" w14:paraId="00000004">
      <w:pPr>
        <w:spacing w:after="320" w:before="0" w:lineRule="auto"/>
        <w:jc w:val="center"/>
        <w:rPr/>
      </w:pPr>
      <w:r w:rsidDel="00000000" w:rsidR="00000000" w:rsidRPr="00000000">
        <w:rPr>
          <w:rFonts w:ascii="Arial" w:cs="Arial" w:eastAsia="Arial" w:hAnsi="Arial"/>
          <w:b w:val="1"/>
          <w:bCs w:val="1"/>
          <w:color w:val="111827"/>
          <w:sz w:val="36"/>
          <w:szCs w:val="36"/>
          <w:rtl w:val="0"/>
        </w:rPr>
        <w:t xml:space="preserve">Sustento Tecnológico</w:t>
      </w:r>
      <w:r w:rsidDel="00000000" w:rsidR="00000000" w:rsidRPr="00000000">
        <w:rPr>
          <w:rtl w:val="0"/>
        </w:rPr>
      </w:r>
    </w:p>
    <w:p w:rsidR="00000000" w:rsidDel="00000000" w:rsidP="00000000" w:rsidRDefault="00000000" w:rsidRPr="00000000" w14:paraId="00000005">
      <w:pPr>
        <w:spacing w:after="600" w:before="0" w:lineRule="auto"/>
        <w:jc w:val="center"/>
        <w:rPr/>
      </w:pPr>
      <w:r w:rsidDel="00000000" w:rsidR="00000000" w:rsidRPr="00000000">
        <w:rPr>
          <w:rFonts w:ascii="Arial" w:cs="Arial" w:eastAsia="Arial" w:hAnsi="Arial"/>
          <w:color w:val="374151"/>
          <w:sz w:val="23"/>
          <w:szCs w:val="23"/>
          <w:rtl w:val="0"/>
        </w:rPr>
        <w:t xml:space="preserve">Justificación de las decisiones de tecnología del Sistema RPA Académico PUCP</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Propósito de este anexo</w:t>
      </w:r>
    </w:p>
    <w:p w:rsidR="00000000" w:rsidDel="00000000" w:rsidP="00000000" w:rsidRDefault="00000000" w:rsidRPr="00000000" w14:paraId="00000007">
      <w:pPr>
        <w:spacing w:after="80" w:before="80" w:lineRule="auto"/>
        <w:jc w:val="both"/>
        <w:rPr/>
      </w:pPr>
      <w:r w:rsidDel="00000000" w:rsidR="00000000" w:rsidRPr="00000000">
        <w:rPr>
          <w:rFonts w:ascii="Arial" w:cs="Arial" w:eastAsia="Arial" w:hAnsi="Arial"/>
          <w:sz w:val="22"/>
          <w:szCs w:val="22"/>
          <w:rtl w:val="0"/>
        </w:rPr>
        <w:t xml:space="preserve">Este documento complementa el R2.2c (Documento de Arquitectura de Software) explicando, para cada decisión tecnológica relevante del proyecto, las alternativas consideradas y los criterios que motivaron la elección final. El objetivo es dejar evidencia de que cada herramienta no fue elegida por familiaridad o casualidad, sino evaluando su adecuación al problema específico que resuelve el sistema.</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2. Backend: Python + FastAPI</w:t>
      </w:r>
    </w:p>
    <w:p w:rsidR="00000000" w:rsidDel="00000000" w:rsidP="00000000" w:rsidRDefault="00000000" w:rsidRPr="00000000" w14:paraId="00000009">
      <w:pPr>
        <w:spacing w:after="80" w:before="80" w:lineRule="auto"/>
        <w:jc w:val="both"/>
        <w:rPr/>
      </w:pPr>
      <w:r w:rsidDel="00000000" w:rsidR="00000000" w:rsidRPr="00000000">
        <w:rPr>
          <w:rFonts w:ascii="Arial" w:cs="Arial" w:eastAsia="Arial" w:hAnsi="Arial"/>
          <w:sz w:val="22"/>
          <w:szCs w:val="22"/>
          <w:rtl w:val="0"/>
        </w:rPr>
        <w:t xml:space="preserve">Se evaluaron tres alternativas de framework backend: Flask, Django y FastAPI, todas sobre el lenguaje Python, elegido previamente por la necesidad de automatización web mediante Selenium.</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sz w:val="20"/>
                <w:szCs w:val="20"/>
                <w:rtl w:val="0"/>
              </w:rPr>
              <w:t xml:space="preserve">Criterio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0"/>
                <w:szCs w:val="20"/>
                <w:rtl w:val="0"/>
              </w:rPr>
              <w:t xml:space="preserve">Flask / Django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0"/>
                <w:szCs w:val="20"/>
                <w:rtl w:val="0"/>
              </w:rPr>
              <w:t xml:space="preserve">FastAPI (elegido)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0"/>
                <w:bCs w:val="0"/>
                <w:sz w:val="20"/>
                <w:szCs w:val="20"/>
                <w:rtl w:val="0"/>
              </w:rPr>
              <w:t xml:space="preserve">Validación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sz w:val="20"/>
                <w:szCs w:val="20"/>
                <w:rtl w:val="0"/>
              </w:rPr>
              <w:t xml:space="preserve">Requiere librerías adicionales (Flask) o serializers extensos (Django REST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sz w:val="20"/>
                <w:szCs w:val="20"/>
                <w:rtl w:val="0"/>
              </w:rPr>
              <w:t xml:space="preserve">Validación automática integrada mediante modelos Pydantic, con mensajes de error estructurados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sz w:val="20"/>
                <w:szCs w:val="20"/>
                <w:rtl w:val="0"/>
              </w:rPr>
              <w:t xml:space="preserve">Rendimiento concurrente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sz w:val="20"/>
                <w:szCs w:val="20"/>
                <w:rtl w:val="0"/>
              </w:rPr>
              <w:t xml:space="preserve">Síncrono por defecto (Flask); Django con soporte async limitado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sz w:val="20"/>
                <w:szCs w:val="20"/>
                <w:rtl w:val="0"/>
              </w:rPr>
              <w:t xml:space="preserve">Soporte nativo de async/await sobre Starlette, comparable a Node.js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sz w:val="20"/>
                <w:szCs w:val="20"/>
                <w:rtl w:val="0"/>
              </w:rPr>
              <w:t xml:space="preserve">Tamaño del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sz w:val="20"/>
                <w:szCs w:val="20"/>
                <w:rtl w:val="0"/>
              </w:rPr>
              <w:t xml:space="preserve">Django incluye ORM propio, panel admin y sistema de plantillas no utilizados en este 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sz w:val="20"/>
                <w:szCs w:val="20"/>
                <w:rtl w:val="0"/>
              </w:rPr>
              <w:t xml:space="preserve">Minimalista; expone únicamente lo necesario para una API 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sz w:val="20"/>
                <w:szCs w:val="20"/>
                <w:rtl w:val="0"/>
              </w:rPr>
              <w:t xml:space="preserve">Documentación de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sz w:val="20"/>
                <w:szCs w:val="20"/>
                <w:rtl w:val="0"/>
              </w:rPr>
              <w:t xml:space="preserve">Requiere configuración manual (Swagger/Flasgger)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sz w:val="20"/>
                <w:szCs w:val="20"/>
                <w:rtl w:val="0"/>
              </w:rPr>
              <w:t xml:space="preserve">Generación automática de documentación interactiva sin configuración adicional</w:t>
            </w:r>
            <w:r w:rsidDel="00000000" w:rsidR="00000000" w:rsidRPr="00000000">
              <w:rPr>
                <w:rtl w:val="0"/>
              </w:rPr>
            </w:r>
          </w:p>
        </w:tc>
      </w:tr>
    </w:tbl>
    <w:p w:rsidR="00000000" w:rsidDel="00000000" w:rsidP="00000000" w:rsidRDefault="00000000" w:rsidRPr="00000000" w14:paraId="00000019">
      <w:pPr>
        <w:spacing w:after="40" w:before="40" w:lineRule="auto"/>
        <w:rPr/>
      </w:pPr>
      <w:r w:rsidDel="00000000" w:rsidR="00000000" w:rsidRPr="00000000">
        <w:rPr>
          <w:rtl w:val="0"/>
        </w:rPr>
      </w:r>
    </w:p>
    <w:p w:rsidR="00000000" w:rsidDel="00000000" w:rsidP="00000000" w:rsidRDefault="00000000" w:rsidRPr="00000000" w14:paraId="0000001A">
      <w:pPr>
        <w:spacing w:after="80" w:before="80" w:lineRule="auto"/>
        <w:jc w:val="both"/>
        <w:rPr/>
      </w:pPr>
      <w:r w:rsidDel="00000000" w:rsidR="00000000" w:rsidRPr="00000000">
        <w:rPr>
          <w:rFonts w:ascii="Arial" w:cs="Arial" w:eastAsia="Arial" w:hAnsi="Arial"/>
          <w:sz w:val="22"/>
          <w:szCs w:val="22"/>
          <w:rtl w:val="0"/>
        </w:rPr>
        <w:t xml:space="preserve">Se descartó Django por ser un framework de mayor peso del que el proyecto requería — el sistema no necesita panel de administración, sistema de plantillas HTML del lado del servidor ni un ORM propio, ya que SQLAlchemy cubre esa necesidad de forma independiente. Se descartó Flask por carecer de validación de tipos integrada, lo cual habría requerido añadir librerías de terceros (como Marshmallow) para alcanzar el mismo nivel de seguridad de tipos que FastAPI ofrece de manera nativa mediante Pydantic.</w:t>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3. Automatización web: Selenium WebDriver</w:t>
      </w:r>
    </w:p>
    <w:p w:rsidR="00000000" w:rsidDel="00000000" w:rsidP="00000000" w:rsidRDefault="00000000" w:rsidRPr="00000000" w14:paraId="0000001C">
      <w:pPr>
        <w:spacing w:after="80" w:before="80" w:lineRule="auto"/>
        <w:jc w:val="both"/>
        <w:rPr/>
      </w:pPr>
      <w:r w:rsidDel="00000000" w:rsidR="00000000" w:rsidRPr="00000000">
        <w:rPr>
          <w:rFonts w:ascii="Arial" w:cs="Arial" w:eastAsia="Arial" w:hAnsi="Arial"/>
          <w:sz w:val="22"/>
          <w:szCs w:val="22"/>
          <w:rtl w:val="0"/>
        </w:rPr>
        <w:t xml:space="preserve">Se evaluó Selenium frente a Playwright, las dos alternativas dominantes para automatización de navegador en el ecosistema Python actual.</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sz w:val="20"/>
                <w:szCs w:val="20"/>
                <w:rtl w:val="0"/>
              </w:rPr>
              <w:t xml:space="preserve">Criterio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sz w:val="20"/>
                <w:szCs w:val="20"/>
                <w:rtl w:val="0"/>
              </w:rPr>
              <w:t xml:space="preserve">Playwright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sz w:val="20"/>
                <w:szCs w:val="20"/>
                <w:rtl w:val="0"/>
              </w:rPr>
              <w:t xml:space="preserve">Selenium (elegido)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sz w:val="20"/>
                <w:szCs w:val="20"/>
                <w:rtl w:val="0"/>
              </w:rPr>
              <w:t xml:space="preserve">Madurez y documentación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sz w:val="20"/>
                <w:szCs w:val="20"/>
                <w:rtl w:val="0"/>
              </w:rPr>
              <w:t xml:space="preserve">Más reciente; comunidad en crecimiento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sz w:val="20"/>
                <w:szCs w:val="20"/>
                <w:rtl w:val="0"/>
              </w:rPr>
              <w:t xml:space="preserve">Más de 15 años de desarrollo; documentación extensa en múltiples idiomas, incluyendo español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sz w:val="20"/>
                <w:szCs w:val="20"/>
                <w:rtl w:val="0"/>
              </w:rPr>
              <w:t xml:space="preserve">Experiencia previa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sz w:val="20"/>
                <w:szCs w:val="20"/>
                <w:rtl w:val="0"/>
              </w:rPr>
              <w:t xml:space="preserve">Sin experiencia previa del equipo de desarrollo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sz w:val="20"/>
                <w:szCs w:val="20"/>
                <w:rtl w:val="0"/>
              </w:rPr>
              <w:t xml:space="preserve">Experiencia previa documentada antes del inicio del proyecto, reduciendo la curva de aprendizaje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sz w:val="20"/>
                <w:szCs w:val="20"/>
                <w:rtl w:val="0"/>
              </w:rPr>
              <w:t xml:space="preserve">Compatibilidad con SSO institucional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sz w:val="20"/>
                <w:szCs w:val="20"/>
                <w:rtl w:val="0"/>
              </w:rPr>
              <w:t xml:space="preserve">Soporta navegación estándar; sin ventaja diferencial documentada para este caso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sz w:val="20"/>
                <w:szCs w:val="20"/>
                <w:rtl w:val="0"/>
              </w:rPr>
              <w:t xml:space="preserve">Verificado en la práctica: maneja correctamente el flujo SAML/Shibboleth utilizado por el inicio de sesión único de PUCP</w:t>
            </w:r>
            <w:r w:rsidDel="00000000" w:rsidR="00000000" w:rsidRPr="00000000">
              <w:rPr>
                <w:rtl w:val="0"/>
              </w:rPr>
            </w:r>
          </w:p>
        </w:tc>
      </w:tr>
    </w:tbl>
    <w:p w:rsidR="00000000" w:rsidDel="00000000" w:rsidP="00000000" w:rsidRDefault="00000000" w:rsidRPr="00000000" w14:paraId="00000029">
      <w:pPr>
        <w:spacing w:after="40" w:before="40" w:lineRule="auto"/>
        <w:rPr/>
      </w:pPr>
      <w:r w:rsidDel="00000000" w:rsidR="00000000" w:rsidRPr="00000000">
        <w:rPr>
          <w:rtl w:val="0"/>
        </w:rPr>
      </w:r>
    </w:p>
    <w:p w:rsidR="00000000" w:rsidDel="00000000" w:rsidP="00000000" w:rsidRDefault="00000000" w:rsidRPr="00000000" w14:paraId="0000002A">
      <w:pPr>
        <w:spacing w:after="80" w:before="80" w:lineRule="auto"/>
        <w:jc w:val="both"/>
        <w:rPr/>
      </w:pPr>
      <w:r w:rsidDel="00000000" w:rsidR="00000000" w:rsidRPr="00000000">
        <w:rPr>
          <w:rFonts w:ascii="Arial" w:cs="Arial" w:eastAsia="Arial" w:hAnsi="Arial"/>
          <w:sz w:val="22"/>
          <w:szCs w:val="22"/>
          <w:rtl w:val="0"/>
        </w:rPr>
        <w:t xml:space="preserve">Ambas herramientas son técnicamente viables para este caso de uso. La decisión se inclinó por Selenium principalmente por la experiencia previa existente con la herramienta, lo cual permitió dedicar más tiempo de desarrollo a la lógica de extracción específica de cada plataforma en lugar de a aprender una nueva API de automatización.</w:t>
      </w: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4. Frontend: Next.js + TypeScript + Tailwind CSS</w:t>
      </w:r>
    </w:p>
    <w:p w:rsidR="00000000" w:rsidDel="00000000" w:rsidP="00000000" w:rsidRDefault="00000000" w:rsidRPr="00000000" w14:paraId="0000002C">
      <w:pPr>
        <w:pStyle w:val="Heading2"/>
        <w:rPr/>
      </w:pPr>
      <w:r w:rsidDel="00000000" w:rsidR="00000000" w:rsidRPr="00000000">
        <w:rPr>
          <w:rtl w:val="0"/>
        </w:rPr>
        <w:t xml:space="preserve">4.1 Next.js frente a React puro (Create React App / Vite)</w:t>
      </w:r>
    </w:p>
    <w:p w:rsidR="00000000" w:rsidDel="00000000" w:rsidP="00000000" w:rsidRDefault="00000000" w:rsidRPr="00000000" w14:paraId="0000002D">
      <w:pPr>
        <w:spacing w:after="80" w:before="80" w:lineRule="auto"/>
        <w:jc w:val="both"/>
        <w:rPr/>
      </w:pPr>
      <w:r w:rsidDel="00000000" w:rsidR="00000000" w:rsidRPr="00000000">
        <w:rPr>
          <w:rFonts w:ascii="Arial" w:cs="Arial" w:eastAsia="Arial" w:hAnsi="Arial"/>
          <w:sz w:val="22"/>
          <w:szCs w:val="22"/>
          <w:rtl w:val="0"/>
        </w:rPr>
        <w:t xml:space="preserve">Se eligió Next.js, en su versión 16 con App Router, en lugar de una configuración de React puro, principalmente por el sistema de enrutamiento basado en convención de carpetas. Dado que el sistema tiene 10 pantallas con navegación secuencial (P1 a P10), Next.js permite que cada pantalla sea simplemente una carpeta con un archivo page.tsx, sin necesidad de configurar manualmente una librería de enrutamiento como React Router.</w:t>
      </w: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t xml:space="preserve">4.2 TypeScript frente a JavaScript</w:t>
      </w:r>
    </w:p>
    <w:p w:rsidR="00000000" w:rsidDel="00000000" w:rsidP="00000000" w:rsidRDefault="00000000" w:rsidRPr="00000000" w14:paraId="0000002F">
      <w:pPr>
        <w:spacing w:after="80" w:before="80" w:lineRule="auto"/>
        <w:jc w:val="both"/>
        <w:rPr/>
      </w:pPr>
      <w:r w:rsidDel="00000000" w:rsidR="00000000" w:rsidRPr="00000000">
        <w:rPr>
          <w:rFonts w:ascii="Arial" w:cs="Arial" w:eastAsia="Arial" w:hAnsi="Arial"/>
          <w:sz w:val="22"/>
          <w:szCs w:val="22"/>
          <w:rtl w:val="0"/>
        </w:rPr>
        <w:t xml:space="preserve">TypeScript se eligió para reducir errores de integración entre frontend y backend. Al definir interfaces como EstadoSesion que describen exactamente la forma de los datos que retorna cada endpoint, el compilador detecta en tiempo de desarrollo si el código intenta acceder a un campo que no existe o que cambió de nombre, un riesgo real dado que el contrato de la API evolucionó varias veces durante el desarrollo (por ejemplo, al añadir los campos cursos_paideia y total_entregas_paideia para la pantalla P6).</w: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4.3 Tailwind CSS frente a CSS Modules / styled-components</w:t>
      </w:r>
    </w:p>
    <w:p w:rsidR="00000000" w:rsidDel="00000000" w:rsidP="00000000" w:rsidRDefault="00000000" w:rsidRPr="00000000" w14:paraId="00000031">
      <w:pPr>
        <w:spacing w:after="80" w:before="80" w:lineRule="auto"/>
        <w:jc w:val="both"/>
        <w:rPr/>
      </w:pPr>
      <w:r w:rsidDel="00000000" w:rsidR="00000000" w:rsidRPr="00000000">
        <w:rPr>
          <w:rFonts w:ascii="Arial" w:cs="Arial" w:eastAsia="Arial" w:hAnsi="Arial"/>
          <w:sz w:val="22"/>
          <w:szCs w:val="22"/>
          <w:rtl w:val="0"/>
        </w:rPr>
        <w:t xml:space="preserve">Tailwind CSS se eligió por velocidad de desarrollo: al definir los estilos directamente como clases utilitarias dentro del JSX de cada componente, no fue necesario mantener archivos .css separados y sincronizados para cada una de las 10 pantallas, reduciendo el riesgo de estilos huérfanos o inconsistentes entre pantallas similares (por ejemplo, las pantallas de progreso P5 y P6, que comparten una estructura visual similar).</w:t>
      </w: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5. Base de datos: MySQL + SQLAlchemy</w:t>
      </w:r>
    </w:p>
    <w:p w:rsidR="00000000" w:rsidDel="00000000" w:rsidP="00000000" w:rsidRDefault="00000000" w:rsidRPr="00000000" w14:paraId="00000033">
      <w:pPr>
        <w:pStyle w:val="Heading2"/>
        <w:rPr/>
      </w:pPr>
      <w:r w:rsidDel="00000000" w:rsidR="00000000" w:rsidRPr="00000000">
        <w:rPr>
          <w:rtl w:val="0"/>
        </w:rPr>
        <w:t xml:space="preserve">5.1 MySQL frente a PostgreSQL</w:t>
      </w:r>
    </w:p>
    <w:p w:rsidR="00000000" w:rsidDel="00000000" w:rsidP="00000000" w:rsidRDefault="00000000" w:rsidRPr="00000000" w14:paraId="00000034">
      <w:pPr>
        <w:spacing w:after="80" w:before="80" w:lineRule="auto"/>
        <w:jc w:val="both"/>
        <w:rPr/>
      </w:pPr>
      <w:r w:rsidDel="00000000" w:rsidR="00000000" w:rsidRPr="00000000">
        <w:rPr>
          <w:rFonts w:ascii="Arial" w:cs="Arial" w:eastAsia="Arial" w:hAnsi="Arial"/>
          <w:sz w:val="22"/>
          <w:szCs w:val="22"/>
          <w:rtl w:val="0"/>
        </w:rPr>
        <w:t xml:space="preserve">Ambos son motores relacionales de código abierto ampliamente adoptados. Se eligió MySQL por ser la opción con la que el tesista contaba con experiencia previa de modelado (incluyendo el diseño del esquema en DBeaver), y por su amplia compatibilidad con servicios de hosting económicos para un eventual despliegue futuro, como AWS RDS.</w:t>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5.2 SQLAlchemy (ORM) frente a SQL embebido</w:t>
      </w:r>
    </w:p>
    <w:p w:rsidR="00000000" w:rsidDel="00000000" w:rsidP="00000000" w:rsidRDefault="00000000" w:rsidRPr="00000000" w14:paraId="00000036">
      <w:pPr>
        <w:spacing w:after="80" w:before="80" w:lineRule="auto"/>
        <w:jc w:val="both"/>
        <w:rPr/>
      </w:pPr>
      <w:r w:rsidDel="00000000" w:rsidR="00000000" w:rsidRPr="00000000">
        <w:rPr>
          <w:rFonts w:ascii="Arial" w:cs="Arial" w:eastAsia="Arial" w:hAnsi="Arial"/>
          <w:sz w:val="22"/>
          <w:szCs w:val="22"/>
          <w:rtl w:val="0"/>
        </w:rPr>
        <w:t xml:space="preserve">Se utilizó SQLAlchemy como Object-Relational Mapper en lugar de escribir consultas SQL directamente en el código Python (mediante PyMySQL puro). Esta decisión se sustenta en tres beneficios concretos observados durante el desarrollo:</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Definición declarativa: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tabla del esquema se representa como una clase de Python (por ejemplo, la clase ActividadAcademica), lo que hace el modelo de datos legible directamente desde el código sin necesidad de consultar el script SQL por separado.</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Prevención de inyección SQL: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SQLAlchemy parametriza automáticamente las consultas, eliminando el riesgo de construir SQL mediante concatenación de strings.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Portabilidad: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en el futuro se decidiera migrar de MySQL a PostgreSQL, la mayoría del código de acceso a datos no necesitaría modificarse, dado que SQLAlchemy abstrae las diferencias de sintaxis entre motores.</w:t>
      </w:r>
    </w:p>
    <w:p w:rsidR="00000000" w:rsidDel="00000000" w:rsidP="00000000" w:rsidRDefault="00000000" w:rsidRPr="00000000" w14:paraId="0000003A">
      <w:pPr>
        <w:pStyle w:val="Heading1"/>
        <w:rPr/>
      </w:pPr>
      <w:r w:rsidDel="00000000" w:rsidR="00000000" w:rsidRPr="00000000">
        <w:rPr>
          <w:rtl w:val="0"/>
        </w:rPr>
        <w:t xml:space="preserve">6. Integración con Google Calendar: API oficial + OAuth 2.0</w:t>
      </w:r>
    </w:p>
    <w:p w:rsidR="00000000" w:rsidDel="00000000" w:rsidP="00000000" w:rsidRDefault="00000000" w:rsidRPr="00000000" w14:paraId="0000003B">
      <w:pPr>
        <w:spacing w:after="80" w:before="80" w:lineRule="auto"/>
        <w:jc w:val="both"/>
        <w:rPr/>
      </w:pPr>
      <w:r w:rsidDel="00000000" w:rsidR="00000000" w:rsidRPr="00000000">
        <w:rPr>
          <w:rFonts w:ascii="Arial" w:cs="Arial" w:eastAsia="Arial" w:hAnsi="Arial"/>
          <w:sz w:val="22"/>
          <w:szCs w:val="22"/>
          <w:rtl w:val="0"/>
        </w:rPr>
        <w:t xml:space="preserve">Se evaluó la alternativa de generar archivos .ics (formato estándar de calendario) para que el usuario los importe manualmente a cualquier servicio de calendario, frente a la integración directa mediante la API de Google Calendar.</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sz w:val="20"/>
                <w:szCs w:val="20"/>
                <w:rtl w:val="0"/>
              </w:rPr>
              <w:t xml:space="preserve">Criterio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sz w:val="20"/>
                <w:szCs w:val="20"/>
                <w:rtl w:val="0"/>
              </w:rPr>
              <w:t xml:space="preserve">Exportar archivo .ics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sz w:val="20"/>
                <w:szCs w:val="20"/>
                <w:rtl w:val="0"/>
              </w:rPr>
              <w:t xml:space="preserve">API de Google Calendar (elegido)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sz w:val="20"/>
                <w:szCs w:val="20"/>
                <w:rtl w:val="0"/>
              </w:rPr>
              <w:t xml:space="preserve">Automatización completa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sz w:val="20"/>
                <w:szCs w:val="20"/>
                <w:rtl w:val="0"/>
              </w:rPr>
              <w:t xml:space="preserve">Requiere que el usuario importe el archivo manualmente cada vez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sz w:val="20"/>
                <w:szCs w:val="20"/>
                <w:rtl w:val="0"/>
              </w:rPr>
              <w:t xml:space="preserve">Inserción automática de eventos sin intervención manual del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sz w:val="20"/>
                <w:szCs w:val="20"/>
                <w:rtl w:val="0"/>
              </w:rPr>
              <w:t xml:space="preserve">Actualización ante resincronización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sz w:val="20"/>
                <w:szCs w:val="20"/>
                <w:rtl w:val="0"/>
              </w:rPr>
              <w:t xml:space="preserve">El usuario debe eliminar eventos antiguos manualmente antes de re-importar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sz w:val="20"/>
                <w:szCs w:val="20"/>
                <w:rtl w:val="0"/>
              </w:rPr>
              <w:t xml:space="preserve">El sistema elimina automáticamente el calendario anterior con el mismo nombre antes de crear uno nuevo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sz w:val="20"/>
                <w:szCs w:val="20"/>
                <w:rtl w:val="0"/>
              </w:rPr>
              <w:t xml:space="preserve">Seguridad de credenciales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sz w:val="20"/>
                <w:szCs w:val="20"/>
                <w:rtl w:val="0"/>
              </w:rPr>
              <w:t xml:space="preserve">No aplica autenticación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sz w:val="20"/>
                <w:szCs w:val="20"/>
                <w:rtl w:val="0"/>
              </w:rPr>
              <w:t xml:space="preserve">OAuth 2.0: el sistema nunca accede a la contraseña de Google del usuario, solo a un token de acceso limitado al alcance del calendario</w:t>
            </w:r>
            <w:r w:rsidDel="00000000" w:rsidR="00000000" w:rsidRPr="00000000">
              <w:rPr>
                <w:rtl w:val="0"/>
              </w:rPr>
            </w:r>
          </w:p>
        </w:tc>
      </w:tr>
    </w:tbl>
    <w:p w:rsidR="00000000" w:rsidDel="00000000" w:rsidP="00000000" w:rsidRDefault="00000000" w:rsidRPr="00000000" w14:paraId="00000048">
      <w:pPr>
        <w:spacing w:after="40" w:before="40" w:lineRule="auto"/>
        <w:rPr/>
      </w:pPr>
      <w:r w:rsidDel="00000000" w:rsidR="00000000" w:rsidRPr="00000000">
        <w:rPr>
          <w:rtl w:val="0"/>
        </w:rPr>
      </w:r>
    </w:p>
    <w:p w:rsidR="00000000" w:rsidDel="00000000" w:rsidP="00000000" w:rsidRDefault="00000000" w:rsidRPr="00000000" w14:paraId="00000049">
      <w:pPr>
        <w:spacing w:after="80" w:before="80" w:lineRule="auto"/>
        <w:jc w:val="both"/>
        <w:rPr/>
      </w:pPr>
      <w:r w:rsidDel="00000000" w:rsidR="00000000" w:rsidRPr="00000000">
        <w:rPr>
          <w:rFonts w:ascii="Arial" w:cs="Arial" w:eastAsia="Arial" w:hAnsi="Arial"/>
          <w:sz w:val="22"/>
          <w:szCs w:val="22"/>
          <w:rtl w:val="0"/>
        </w:rPr>
        <w:t xml:space="preserve">Se eligió la integración directa porque el objetivo central de la tesis es eliminar la fricción manual de centralizar el calendario académico; un flujo que requiera importar archivos manualmente reintroduciría parte del esfuerzo manual que el sistema busca eliminar. El uso de OAuth 2.0, en lugar de solicitar las credenciales de Google del usuario, sigue el estándar de la industria para autorización delegada sin exposición de contraseñas.</w:t>
      </w: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t xml:space="preserve">7. Resumen de decisiones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sz w:val="20"/>
                <w:szCs w:val="20"/>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Tecnología elegida y criterio dominante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sz w:val="20"/>
                <w:szCs w:val="20"/>
                <w:rtl w:val="0"/>
              </w:rPr>
              <w:t xml:space="preserve">Backend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FastAPI — tipado con Pydantic, rendimiento async, minimalismo frente a Django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sz w:val="20"/>
                <w:szCs w:val="20"/>
                <w:rtl w:val="0"/>
              </w:rPr>
              <w:t xml:space="preserve">Automatización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Selenium — madurez, documentación, experiencia previa del equipo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Next.js + TypeScript — enrutamiento por carpetas, seguridad de tipos en la integración con la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sz w:val="20"/>
                <w:szCs w:val="20"/>
                <w:rtl w:val="0"/>
              </w:rPr>
              <w:t xml:space="preserve">Estilos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Tailwind CSS — velocidad de desarrollo para 10 pantallas sin archivos CSS separados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sz w:val="20"/>
                <w:szCs w:val="20"/>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MySQL + SQLAlchemy — experiencia previa de modelado, prevención de inyección SQL, portabilidad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sz w:val="20"/>
                <w:szCs w:val="20"/>
                <w:rtl w:val="0"/>
              </w:rPr>
              <w:t xml:space="preserve">Calendario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Google Calendar API + OAuth 2.0 — automatización completa sin exponer credenciales del usuario</w:t>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jc w:val="center"/>
      <w:rPr/>
    </w:pPr>
    <w:r w:rsidDel="00000000" w:rsidR="00000000" w:rsidRPr="00000000">
      <w:rPr>
        <w:rFonts w:ascii="Arial" w:cs="Arial" w:eastAsia="Arial" w:hAnsi="Arial"/>
        <w:color w:val="6b7280"/>
        <w:sz w:val="18"/>
        <w:szCs w:val="18"/>
        <w:rtl w:val="0"/>
      </w:rPr>
      <w:t xml:space="preserve">Página </w:t>
    </w:r>
    <w:r w:rsidDel="00000000" w:rsidR="00000000" w:rsidRPr="00000000">
      <w:rPr>
        <w:rFonts w:ascii="Arial" w:cs="Arial" w:eastAsia="Arial" w:hAnsi="Arial"/>
        <w:color w:val="6b7280"/>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6b7280"/>
        <w:sz w:val="18"/>
        <w:szCs w:val="18"/>
        <w:rtl w:val="0"/>
      </w:rPr>
      <w:t xml:space="preserve"> de </w:t>
    </w:r>
    <w:r w:rsidDel="00000000" w:rsidR="00000000" w:rsidRPr="00000000">
      <w:rPr>
        <w:rFonts w:ascii="Arial" w:cs="Arial" w:eastAsia="Arial" w:hAnsi="Arial"/>
        <w:color w:val="6b7280"/>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40" w:line="240" w:lineRule="auto"/>
      <w:ind w:left="0" w:right="0" w:firstLine="0"/>
      <w:jc w:val="left"/>
    </w:pPr>
    <w:rPr>
      <w:rFonts w:ascii="Arial" w:cs="Arial" w:eastAsia="Arial" w:hAnsi="Arial"/>
      <w:b w:val="1"/>
      <w:bCs w:val="1"/>
      <w:i w:val="0"/>
      <w:iCs w:val="0"/>
      <w:smallCaps w:val="0"/>
      <w:strike w:val="0"/>
      <w:color w:val="11182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e3a8a"/>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SDep9CIb3keULx/yMxX+ZjGLCQ==">CgMxLjA4AHIhMTl0ZWhfTWtyaHpUMFo5MXNBS2NqVDlwelhvZkhtVXpV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