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Rule="auto"/>
        <w:jc w:val="center"/>
        <w:rPr/>
      </w:pPr>
      <w:r w:rsidDel="00000000" w:rsidR="00000000" w:rsidRPr="00000000">
        <w:rPr>
          <w:rFonts w:ascii="Arial" w:cs="Arial" w:eastAsia="Arial" w:hAnsi="Arial"/>
          <w:b w:val="1"/>
          <w:bCs w:val="1"/>
          <w:color w:val="111827"/>
          <w:sz w:val="24"/>
          <w:szCs w:val="24"/>
          <w:rtl w:val="0"/>
        </w:rPr>
        <w:t xml:space="preserve">PONTIFICIA UNIVERSIDAD CATÓLICA DEL PERÚ</w:t>
      </w:r>
      <w:r w:rsidDel="00000000" w:rsidR="00000000" w:rsidRPr="00000000">
        <w:rPr>
          <w:rtl w:val="0"/>
        </w:rPr>
      </w:r>
    </w:p>
    <w:p w:rsidR="00000000" w:rsidDel="00000000" w:rsidP="00000000" w:rsidRDefault="00000000" w:rsidRPr="00000000" w14:paraId="00000002">
      <w:pPr>
        <w:spacing w:after="480" w:before="0" w:lineRule="auto"/>
        <w:jc w:val="center"/>
        <w:rPr/>
      </w:pPr>
      <w:r w:rsidDel="00000000" w:rsidR="00000000" w:rsidRPr="00000000">
        <w:rPr>
          <w:rFonts w:ascii="Arial" w:cs="Arial" w:eastAsia="Arial" w:hAnsi="Arial"/>
          <w:color w:val="6b7280"/>
          <w:sz w:val="21"/>
          <w:szCs w:val="21"/>
          <w:rtl w:val="0"/>
        </w:rPr>
        <w:t xml:space="preserve">Facultad de Ciencias e Ingeniería — Ingeniería Informática</w:t>
      </w:r>
      <w:r w:rsidDel="00000000" w:rsidR="00000000" w:rsidRPr="00000000">
        <w:rPr>
          <w:rtl w:val="0"/>
        </w:rPr>
      </w:r>
    </w:p>
    <w:p w:rsidR="00000000" w:rsidDel="00000000" w:rsidP="00000000" w:rsidRDefault="00000000" w:rsidRPr="00000000" w14:paraId="00000003">
      <w:pPr>
        <w:spacing w:after="120" w:before="800" w:lineRule="auto"/>
        <w:jc w:val="center"/>
        <w:rPr/>
      </w:pPr>
      <w:r w:rsidDel="00000000" w:rsidR="00000000" w:rsidRPr="00000000">
        <w:rPr>
          <w:rFonts w:ascii="Arial" w:cs="Arial" w:eastAsia="Arial" w:hAnsi="Arial"/>
          <w:b w:val="1"/>
          <w:bCs w:val="1"/>
          <w:color w:val="2563eb"/>
          <w:sz w:val="22"/>
          <w:szCs w:val="22"/>
          <w:rtl w:val="0"/>
        </w:rPr>
        <w:t xml:space="preserve">ANEXO</w:t>
      </w:r>
      <w:r w:rsidDel="00000000" w:rsidR="00000000" w:rsidRPr="00000000">
        <w:rPr>
          <w:rtl w:val="0"/>
        </w:rPr>
      </w:r>
    </w:p>
    <w:p w:rsidR="00000000" w:rsidDel="00000000" w:rsidP="00000000" w:rsidRDefault="00000000" w:rsidRPr="00000000" w14:paraId="00000004">
      <w:pPr>
        <w:spacing w:after="320" w:before="0" w:lineRule="auto"/>
        <w:jc w:val="center"/>
        <w:rPr/>
      </w:pPr>
      <w:r w:rsidDel="00000000" w:rsidR="00000000" w:rsidRPr="00000000">
        <w:rPr>
          <w:rFonts w:ascii="Arial" w:cs="Arial" w:eastAsia="Arial" w:hAnsi="Arial"/>
          <w:b w:val="1"/>
          <w:bCs w:val="1"/>
          <w:color w:val="111827"/>
          <w:sz w:val="34"/>
          <w:szCs w:val="34"/>
          <w:rtl w:val="0"/>
        </w:rPr>
        <w:t xml:space="preserve">Documentación sobre el Uso de Inteligencia Artificial Generativa</w:t>
      </w:r>
      <w:r w:rsidDel="00000000" w:rsidR="00000000" w:rsidRPr="00000000">
        <w:rPr>
          <w:rtl w:val="0"/>
        </w:rPr>
      </w:r>
    </w:p>
    <w:p w:rsidR="00000000" w:rsidDel="00000000" w:rsidP="00000000" w:rsidRDefault="00000000" w:rsidRPr="00000000" w14:paraId="00000005">
      <w:pPr>
        <w:spacing w:after="600" w:before="0" w:lineRule="auto"/>
        <w:jc w:val="center"/>
        <w:rPr/>
      </w:pPr>
      <w:r w:rsidDel="00000000" w:rsidR="00000000" w:rsidRPr="00000000">
        <w:rPr>
          <w:rFonts w:ascii="Arial" w:cs="Arial" w:eastAsia="Arial" w:hAnsi="Arial"/>
          <w:color w:val="374151"/>
          <w:sz w:val="23"/>
          <w:szCs w:val="23"/>
          <w:rtl w:val="0"/>
        </w:rPr>
        <w:t xml:space="preserve">En el desarrollo del Sistema RPA Académico PUCP</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Contexto y motivo del documento</w:t>
      </w:r>
    </w:p>
    <w:p w:rsidR="00000000" w:rsidDel="00000000" w:rsidP="00000000" w:rsidRDefault="00000000" w:rsidRPr="00000000" w14:paraId="00000007">
      <w:pPr>
        <w:spacing w:after="80" w:before="80" w:lineRule="auto"/>
        <w:jc w:val="both"/>
        <w:rPr/>
      </w:pPr>
      <w:r w:rsidDel="00000000" w:rsidR="00000000" w:rsidRPr="00000000">
        <w:rPr>
          <w:rFonts w:ascii="Arial" w:cs="Arial" w:eastAsia="Arial" w:hAnsi="Arial"/>
          <w:sz w:val="22"/>
          <w:szCs w:val="22"/>
          <w:rtl w:val="0"/>
        </w:rPr>
        <w:t xml:space="preserve">Durante la revisión del proyecto realizada el 9 de junio de 2026, el jurado Mg. Eric Huiza Pereyra observó el uso de herramientas de inteligencia artificial generativa durante el desarrollo del sistema. En su comunicación formal del 16 de junio de 2026, el jurado precisó que dicho uso es "totalmente válido y necesario en el contexto actual", y solicitó como condición de aceptación la presentación de documentación de soporte que detalle el plan de trabajo, las instrucciones técnicas seguidas, y las políticas y límites adoptados para dicho uso.</w:t>
      </w:r>
      <w:r w:rsidDel="00000000" w:rsidR="00000000" w:rsidRPr="00000000">
        <w:rPr>
          <w:rtl w:val="0"/>
        </w:rPr>
      </w:r>
    </w:p>
    <w:p w:rsidR="00000000" w:rsidDel="00000000" w:rsidP="00000000" w:rsidRDefault="00000000" w:rsidRPr="00000000" w14:paraId="00000008">
      <w:pPr>
        <w:spacing w:after="80" w:before="80" w:lineRule="auto"/>
        <w:jc w:val="both"/>
        <w:rPr/>
      </w:pPr>
      <w:r w:rsidDel="00000000" w:rsidR="00000000" w:rsidRPr="00000000">
        <w:rPr>
          <w:rFonts w:ascii="Arial" w:cs="Arial" w:eastAsia="Arial" w:hAnsi="Arial"/>
          <w:sz w:val="22"/>
          <w:szCs w:val="22"/>
          <w:rtl w:val="0"/>
        </w:rPr>
        <w:t xml:space="preserve">Este documento responde a esa solicitud, presentando de manera narrativa el proceso seguido. La documentación técnica detallada se mantiene adicionalmente en el repositorio del proyecto, en los archivos Plan.md, code-instructions.md y Agents.md, siguiendo una convención cada vez más extendida en proyectos de software que incorporan asistencia de IA generativa.</w:t>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2. Herramienta utilizada y modalidad de uso</w:t>
      </w:r>
    </w:p>
    <w:p w:rsidR="00000000" w:rsidDel="00000000" w:rsidP="00000000" w:rsidRDefault="00000000" w:rsidRPr="00000000" w14:paraId="0000000A">
      <w:pPr>
        <w:spacing w:after="80" w:before="80" w:lineRule="auto"/>
        <w:jc w:val="both"/>
        <w:rPr/>
      </w:pPr>
      <w:r w:rsidDel="00000000" w:rsidR="00000000" w:rsidRPr="00000000">
        <w:rPr>
          <w:rFonts w:ascii="Arial" w:cs="Arial" w:eastAsia="Arial" w:hAnsi="Arial"/>
          <w:sz w:val="22"/>
          <w:szCs w:val="22"/>
          <w:rtl w:val="0"/>
        </w:rPr>
        <w:t xml:space="preserve">La herramienta de IA generativa utilizada fue Claude, desarrollada por Anthropic, accedida mediante su interfaz de chat conversacional. La modalidad de uso fue de asistencia activa y supervisada: el tesista planteaba una tarea específica (por ejemplo, "modulariza el archivo app.py separando la lógica del RPA de los endpoints"), la IA proponía una implementación, y el tesista ejecutaba dicha implementación en su propio entorno de desarrollo local antes de aceptarla como válida.</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eff6ff" w:val="clear"/>
            <w:tcMar>
              <w:top w:w="150.0" w:type="dxa"/>
              <w:left w:w="200.0" w:type="dxa"/>
              <w:bottom w:w="150.0" w:type="dxa"/>
              <w:right w:w="200.0" w:type="dxa"/>
            </w:tcMar>
          </w:tcPr>
          <w:p w:rsidR="00000000" w:rsidDel="00000000" w:rsidP="00000000" w:rsidRDefault="00000000" w:rsidRPr="00000000" w14:paraId="0000000B">
            <w:pPr>
              <w:rPr/>
            </w:pPr>
            <w:r w:rsidDel="00000000" w:rsidR="00000000" w:rsidRPr="00000000">
              <w:rPr>
                <w:rFonts w:ascii="Arial" w:cs="Arial" w:eastAsia="Arial" w:hAnsi="Arial"/>
                <w:color w:val="1e3a8a"/>
                <w:sz w:val="22"/>
                <w:szCs w:val="22"/>
                <w:rtl w:val="0"/>
              </w:rPr>
              <w:t xml:space="preserve">Es importante distinguir esta modalidad de uso de lo que coloquialmente se conoce como "vibe coding" — aceptar código generado por IA sin ejecutarlo, probarlo ni comprenderlo. El patrón seguido en este proyecto exigió, en cada iteración, que el tesista ejecutara el código real, reportara el comportamiento observado (incluyendo mensajes de error específicos) y validara el resultado antes de continuar.</w:t>
            </w:r>
            <w:r w:rsidDel="00000000" w:rsidR="00000000" w:rsidRPr="00000000">
              <w:rPr>
                <w:rtl w:val="0"/>
              </w:rPr>
            </w:r>
          </w:p>
        </w:tc>
      </w:tr>
    </w:tbl>
    <w:p w:rsidR="00000000" w:rsidDel="00000000" w:rsidP="00000000" w:rsidRDefault="00000000" w:rsidRPr="00000000" w14:paraId="0000000C">
      <w:pPr>
        <w:pStyle w:val="Heading1"/>
        <w:rPr/>
      </w:pPr>
      <w:r w:rsidDel="00000000" w:rsidR="00000000" w:rsidRPr="00000000">
        <w:rPr>
          <w:rtl w:val="0"/>
        </w:rPr>
        <w:t xml:space="preserve">3. Evidencia del proceso iterativo de validación</w:t>
      </w:r>
    </w:p>
    <w:p w:rsidR="00000000" w:rsidDel="00000000" w:rsidP="00000000" w:rsidRDefault="00000000" w:rsidRPr="00000000" w14:paraId="0000000D">
      <w:pPr>
        <w:spacing w:after="80" w:before="80" w:lineRule="auto"/>
        <w:jc w:val="both"/>
        <w:rPr/>
      </w:pPr>
      <w:r w:rsidDel="00000000" w:rsidR="00000000" w:rsidRPr="00000000">
        <w:rPr>
          <w:rFonts w:ascii="Arial" w:cs="Arial" w:eastAsia="Arial" w:hAnsi="Arial"/>
          <w:sz w:val="22"/>
          <w:szCs w:val="22"/>
          <w:rtl w:val="0"/>
        </w:rPr>
        <w:t xml:space="preserve">El historial de control de versiones del proyecto (repositorio Git, disponible públicamente en github.com/misahor67/rpa-academico-pucp) constituye evidencia objetiva de que el desarrollo fue incremental y validado en cada paso, no generado de una sola vez sin supervisión.</w:t>
      </w:r>
      <w:r w:rsidDel="00000000" w:rsidR="00000000" w:rsidRPr="00000000">
        <w:rPr>
          <w:rtl w:val="0"/>
        </w:rPr>
      </w:r>
    </w:p>
    <w:p w:rsidR="00000000" w:rsidDel="00000000" w:rsidP="00000000" w:rsidRDefault="00000000" w:rsidRPr="00000000" w14:paraId="0000000E">
      <w:pPr>
        <w:spacing w:after="80" w:before="80" w:lineRule="auto"/>
        <w:jc w:val="both"/>
        <w:rPr/>
      </w:pPr>
      <w:r w:rsidDel="00000000" w:rsidR="00000000" w:rsidRPr="00000000">
        <w:rPr>
          <w:rFonts w:ascii="Arial" w:cs="Arial" w:eastAsia="Arial" w:hAnsi="Arial"/>
          <w:sz w:val="22"/>
          <w:szCs w:val="22"/>
          <w:rtl w:val="0"/>
        </w:rPr>
        <w:t xml:space="preserve">Como ejemplo concreto de este proceso, durante la integración de la base de datos MySQL al backend, se presentaron y resolvieron de forma iterativa los siguientes errores reales, cada uno reportado por el tesista tras ejecutar el sistema en su propia máquina:</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de longitud de columna (Data too long for column 'nombre') — corregido ajustando el tamaño del campo en el modelo ORM y en el esquema de base de datos.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de truncamiento de valores ENUM (Data truncated for column 'estado') — corregido al identificar que SQLAlchemy enviaba el valor interno de un enumerado de Python en lugar del string literal esperado por MySQL.</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de restricción de llave foránea al intentar insertar actividades académicas sin un curso y estudiante previamente registrados — resuelto mediante una solución temporal documentada explícitamente como deuda técnica pendiente.</w:t>
      </w:r>
    </w:p>
    <w:p w:rsidR="00000000" w:rsidDel="00000000" w:rsidP="00000000" w:rsidRDefault="00000000" w:rsidRPr="00000000" w14:paraId="00000012">
      <w:pPr>
        <w:spacing w:after="80" w:before="80" w:lineRule="auto"/>
        <w:jc w:val="both"/>
        <w:rPr/>
      </w:pPr>
      <w:r w:rsidDel="00000000" w:rsidR="00000000" w:rsidRPr="00000000">
        <w:rPr>
          <w:rFonts w:ascii="Arial" w:cs="Arial" w:eastAsia="Arial" w:hAnsi="Arial"/>
          <w:sz w:val="22"/>
          <w:szCs w:val="22"/>
          <w:rtl w:val="0"/>
        </w:rPr>
        <w:t xml:space="preserve">Ninguno de estos errores podría haberse identificado ni resuelto sin la ejecución real del sistema por parte del tesista; la corrección de cada uno dependió directamente de la información de diagnóstico (tracebacks, mensajes de MySQL) que solo se obtiene ejecutando el código, evidenciando que el tesista mantuvo control y comprensión activa sobre el comportamiento del sistema en cada etapa.</w:t>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4. Límites establecidos para el uso de IA</w:t>
      </w:r>
    </w:p>
    <w:p w:rsidR="00000000" w:rsidDel="00000000" w:rsidP="00000000" w:rsidRDefault="00000000" w:rsidRPr="00000000" w14:paraId="00000014">
      <w:pPr>
        <w:spacing w:after="80" w:before="80" w:lineRule="auto"/>
        <w:jc w:val="both"/>
        <w:rPr/>
      </w:pPr>
      <w:r w:rsidDel="00000000" w:rsidR="00000000" w:rsidRPr="00000000">
        <w:rPr>
          <w:rFonts w:ascii="Arial" w:cs="Arial" w:eastAsia="Arial" w:hAnsi="Arial"/>
          <w:sz w:val="22"/>
          <w:szCs w:val="22"/>
          <w:rtl w:val="0"/>
        </w:rPr>
        <w:t xml:space="preserve">Se establecieron los siguientes límites explícitos, documentados con mayor detalle técnico en el archivo Agents.md del repositorio:</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 acceso a plataformas institucionales: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ningún componente de IA generativa interactúa directamente con Campus Virtual o PAIDEIA; dicha interacción ocurre exclusivamente mediante Selenium, ejecutado en el entorno local del tesista.</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 acceso a credenciales: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credenciales institucionales del usuario nunca fueron compartidas con la IA ni con ningún componente del sistema desarrollado.</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 autonomía en decisiones de diseño: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decisión arquitectónica relevante fue presentada como recomendación justificada, sujeta a aprobación explícita del tesista antes de su implementación.</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 autovalidación: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validación funcional del sistema fue realizada exclusivamente por el tesista mediante ejecución directa, nunca delegada a la propia herramienta de IA.</w:t>
      </w:r>
    </w:p>
    <w:p w:rsidR="00000000" w:rsidDel="00000000" w:rsidP="00000000" w:rsidRDefault="00000000" w:rsidRPr="00000000" w14:paraId="00000019">
      <w:pPr>
        <w:pStyle w:val="Heading1"/>
        <w:rPr/>
      </w:pPr>
      <w:r w:rsidDel="00000000" w:rsidR="00000000" w:rsidRPr="00000000">
        <w:rPr>
          <w:rtl w:val="0"/>
        </w:rPr>
        <w:t xml:space="preserve">5. Comprensión técnica del tesista</w:t>
      </w:r>
    </w:p>
    <w:p w:rsidR="00000000" w:rsidDel="00000000" w:rsidP="00000000" w:rsidRDefault="00000000" w:rsidRPr="00000000" w14:paraId="0000001A">
      <w:pPr>
        <w:spacing w:after="80" w:before="80" w:lineRule="auto"/>
        <w:jc w:val="both"/>
        <w:rPr/>
      </w:pPr>
      <w:r w:rsidDel="00000000" w:rsidR="00000000" w:rsidRPr="00000000">
        <w:rPr>
          <w:rFonts w:ascii="Arial" w:cs="Arial" w:eastAsia="Arial" w:hAnsi="Arial"/>
          <w:sz w:val="22"/>
          <w:szCs w:val="22"/>
          <w:rtl w:val="0"/>
        </w:rPr>
        <w:t xml:space="preserve">En atención directa a la segunda observación del jurado —referida a la necesidad de que el tesista pueda explicar la arquitectura, tecnologías y decisiones de diseño de su propio proyecto— se elaboró, de forma adicional y previa a este documento, material de estudio personal en lenguaje no técnico, con el objetivo expreso de que el tesista pudiera apropiarse del contenido técnico del sistema antes de su sustentación oral. Este material no constituye un entregable formal de tesis, pero documenta el esfuerzo deliberado de comprensión técnica más allá de la generación de código.</w:t>
      </w:r>
      <w:r w:rsidDel="00000000" w:rsidR="00000000" w:rsidRPr="00000000">
        <w:rPr>
          <w:rtl w:val="0"/>
        </w:rPr>
      </w:r>
    </w:p>
    <w:p w:rsidR="00000000" w:rsidDel="00000000" w:rsidP="00000000" w:rsidRDefault="00000000" w:rsidRPr="00000000" w14:paraId="0000001B">
      <w:pPr>
        <w:spacing w:after="80" w:before="80" w:lineRule="auto"/>
        <w:jc w:val="both"/>
        <w:rPr/>
      </w:pPr>
      <w:r w:rsidDel="00000000" w:rsidR="00000000" w:rsidRPr="00000000">
        <w:rPr>
          <w:rFonts w:ascii="Arial" w:cs="Arial" w:eastAsia="Arial" w:hAnsi="Arial"/>
          <w:sz w:val="22"/>
          <w:szCs w:val="22"/>
          <w:rtl w:val="0"/>
        </w:rPr>
        <w:t xml:space="preserve">El presente documento, junto con el R2.2c (Documento de Arquitectura de Software) y su anexo de Sustento Tecnológico, reflejan ese mismo nivel de comprensión aplicado a la documentación formal del proyecto.</w:t>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6. Documentos técnicos complementarios</w:t>
      </w:r>
    </w:p>
    <w:p w:rsidR="00000000" w:rsidDel="00000000" w:rsidP="00000000" w:rsidRDefault="00000000" w:rsidRPr="00000000" w14:paraId="0000001D">
      <w:pPr>
        <w:spacing w:after="80" w:before="80" w:lineRule="auto"/>
        <w:jc w:val="both"/>
        <w:rPr/>
      </w:pPr>
      <w:r w:rsidDel="00000000" w:rsidR="00000000" w:rsidRPr="00000000">
        <w:rPr>
          <w:rFonts w:ascii="Arial" w:cs="Arial" w:eastAsia="Arial" w:hAnsi="Arial"/>
          <w:sz w:val="22"/>
          <w:szCs w:val="22"/>
          <w:rtl w:val="0"/>
        </w:rPr>
        <w:t xml:space="preserve">Los siguientes archivos se mantienen en la raíz del repositorio del proyecto como evidencia técnica complementaria a este documento narrativo:</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sz w:val="20"/>
                <w:szCs w:val="20"/>
                <w:rtl w:val="0"/>
              </w:rPr>
              <w:t xml:space="preserve">Archivo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Contenido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sz w:val="20"/>
                <w:szCs w:val="20"/>
                <w:rtl w:val="0"/>
              </w:rPr>
              <w:t xml:space="preserve">Plan.md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Fases del proyecto y alcance específico del uso de IA en cada una.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sz w:val="20"/>
                <w:szCs w:val="20"/>
                <w:rtl w:val="0"/>
              </w:rPr>
              <w:t xml:space="preserve">code-instructions.md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Convenciones técnicas y de estilo seguidas durante la generación de código.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sz w:val="20"/>
                <w:szCs w:val="20"/>
                <w:rtl w:val="0"/>
              </w:rPr>
              <w:t xml:space="preserve">Agents.md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Límites, políticas y recomendaciones adoptadas para el uso responsable de IA generativa.</w:t>
            </w: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jc w:val="center"/>
      <w:rPr/>
    </w:pPr>
    <w:r w:rsidDel="00000000" w:rsidR="00000000" w:rsidRPr="00000000">
      <w:rPr>
        <w:rFonts w:ascii="Arial" w:cs="Arial" w:eastAsia="Arial" w:hAnsi="Arial"/>
        <w:color w:val="6b7280"/>
        <w:sz w:val="18"/>
        <w:szCs w:val="18"/>
        <w:rtl w:val="0"/>
      </w:rPr>
      <w:t xml:space="preserve">Página </w:t>
    </w:r>
    <w:r w:rsidDel="00000000" w:rsidR="00000000" w:rsidRPr="00000000">
      <w:rPr>
        <w:rFonts w:ascii="Arial" w:cs="Arial" w:eastAsia="Arial" w:hAnsi="Arial"/>
        <w:color w:val="6b7280"/>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6b7280"/>
        <w:sz w:val="18"/>
        <w:szCs w:val="18"/>
        <w:rtl w:val="0"/>
      </w:rPr>
      <w:t xml:space="preserve"> de </w:t>
    </w:r>
    <w:r w:rsidDel="00000000" w:rsidR="00000000" w:rsidRPr="00000000">
      <w:rPr>
        <w:rFonts w:ascii="Arial" w:cs="Arial" w:eastAsia="Arial" w:hAnsi="Arial"/>
        <w:color w:val="6b7280"/>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40" w:line="240" w:lineRule="auto"/>
      <w:ind w:left="0" w:right="0" w:firstLine="0"/>
      <w:jc w:val="left"/>
    </w:pPr>
    <w:rPr>
      <w:rFonts w:ascii="Arial" w:cs="Arial" w:eastAsia="Arial" w:hAnsi="Arial"/>
      <w:b w:val="1"/>
      <w:bCs w:val="1"/>
      <w:i w:val="0"/>
      <w:iCs w:val="0"/>
      <w:smallCaps w:val="0"/>
      <w:strike w:val="0"/>
      <w:color w:val="11182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e3a8a"/>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W+cWWixGk9ZrbScTJkAKAKMPhw==">CgMxLjA4AHIhMTFrcDk3bndDWUNYejNYX2VqTW5qM2xxU091N1h5NTl5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