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Fonts w:ascii="Arial" w:cs="Arial" w:eastAsia="Arial" w:hAnsi="Arial"/>
          <w:b w:val="1"/>
          <w:bCs w:val="1"/>
          <w:color w:val="111827"/>
          <w:sz w:val="24"/>
          <w:szCs w:val="24"/>
          <w:rtl w:val="0"/>
        </w:rPr>
        <w:t xml:space="preserve">PONTIFICIA UNIVERSIDAD CATÓLICA DEL PERÚ</w:t>
      </w:r>
      <w:r w:rsidDel="00000000" w:rsidR="00000000" w:rsidRPr="00000000">
        <w:rPr>
          <w:rtl w:val="0"/>
        </w:rPr>
      </w:r>
    </w:p>
    <w:p w:rsidR="00000000" w:rsidDel="00000000" w:rsidP="00000000" w:rsidRDefault="00000000" w:rsidRPr="00000000" w14:paraId="00000002">
      <w:pPr>
        <w:spacing w:after="480" w:before="0" w:lineRule="auto"/>
        <w:jc w:val="center"/>
        <w:rPr/>
      </w:pPr>
      <w:r w:rsidDel="00000000" w:rsidR="00000000" w:rsidRPr="00000000">
        <w:rPr>
          <w:rFonts w:ascii="Arial" w:cs="Arial" w:eastAsia="Arial" w:hAnsi="Arial"/>
          <w:color w:val="6b7280"/>
          <w:sz w:val="21"/>
          <w:szCs w:val="21"/>
          <w:rtl w:val="0"/>
        </w:rPr>
        <w:t xml:space="preserve">Facultad de Ciencias e Ingeniería — Ingeniería Informática</w:t>
      </w:r>
      <w:r w:rsidDel="00000000" w:rsidR="00000000" w:rsidRPr="00000000">
        <w:rPr>
          <w:rtl w:val="0"/>
        </w:rPr>
      </w:r>
    </w:p>
    <w:p w:rsidR="00000000" w:rsidDel="00000000" w:rsidP="00000000" w:rsidRDefault="00000000" w:rsidRPr="00000000" w14:paraId="00000003">
      <w:pPr>
        <w:spacing w:after="120" w:before="800" w:lineRule="auto"/>
        <w:jc w:val="center"/>
        <w:rPr/>
      </w:pPr>
      <w:r w:rsidDel="00000000" w:rsidR="00000000" w:rsidRPr="00000000">
        <w:rPr>
          <w:rFonts w:ascii="Arial" w:cs="Arial" w:eastAsia="Arial" w:hAnsi="Arial"/>
          <w:b w:val="1"/>
          <w:bCs w:val="1"/>
          <w:color w:val="2563eb"/>
          <w:sz w:val="22"/>
          <w:szCs w:val="22"/>
          <w:rtl w:val="0"/>
        </w:rPr>
        <w:t xml:space="preserve">R2.2c</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Arial" w:cs="Arial" w:eastAsia="Arial" w:hAnsi="Arial"/>
          <w:b w:val="1"/>
          <w:bCs w:val="1"/>
          <w:color w:val="111827"/>
          <w:sz w:val="36"/>
          <w:szCs w:val="36"/>
          <w:rtl w:val="0"/>
        </w:rPr>
        <w:t xml:space="preserve">Documento de Arquitectura de Software</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color w:val="374151"/>
          <w:sz w:val="23"/>
          <w:szCs w:val="23"/>
          <w:rtl w:val="0"/>
        </w:rPr>
        <w:t xml:space="preserve">Sistema RPA para la centralización de actividades académicas de la comunidad universitaria PUCP en un único calendario</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Introducción</w:t>
      </w:r>
    </w:p>
    <w:p w:rsidR="00000000" w:rsidDel="00000000" w:rsidP="00000000" w:rsidRDefault="00000000" w:rsidRPr="00000000" w14:paraId="00000007">
      <w:pPr>
        <w:spacing w:after="80" w:before="80" w:lineRule="auto"/>
        <w:jc w:val="both"/>
        <w:rPr/>
      </w:pPr>
      <w:r w:rsidDel="00000000" w:rsidR="00000000" w:rsidRPr="00000000">
        <w:rPr>
          <w:rFonts w:ascii="Arial" w:cs="Arial" w:eastAsia="Arial" w:hAnsi="Arial"/>
          <w:sz w:val="22"/>
          <w:szCs w:val="22"/>
          <w:rtl w:val="0"/>
        </w:rPr>
        <w:t xml:space="preserve">Este documento describe la arquitectura de software del sistema RPA Académico PUCP, desarrollado como parte del Proyecto de Fin de Carrera titulado "Desarrollo de un RPA para centralizar las actividades académicas de la comunidad universitaria PUCP en un único calendario". El objetivo del documento es presentar de manera estructurada las decisiones arquitectónicas adoptadas, siguiendo el modelo de vistas múltiples (vista funcional, vista de desarrollo y vista física), de modo que cualquier evaluador pueda comprender cómo está organizado el sistema, cómo se comunican sus componentes y por qué se eligió esta organización.</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Arial" w:cs="Arial" w:eastAsia="Arial" w:hAnsi="Arial"/>
          <w:sz w:val="22"/>
          <w:szCs w:val="22"/>
          <w:rtl w:val="0"/>
        </w:rPr>
        <w:t xml:space="preserve">El sistema automatiza la extracción de actividades académicas (clases, exámenes, prácticas, entregas) desde las plataformas institucionales Campus Virtual y PAIDEIA, y las centraliza en un calendario de Google Calendar creado específicamente para el usuario, eliminando la necesidad de revisar manualmente múltiples plataformas para conocer su cronograma académico.</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1.1 Alcance del documento</w:t>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sz w:val="22"/>
          <w:szCs w:val="22"/>
          <w:rtl w:val="0"/>
        </w:rPr>
        <w:t xml:space="preserve">Este documento cubre la arquitectura del sistema en su estado actual de desarrollo (MVP funcional, pantallas P1 a P10), e incluye los tres subsistemas principales: el backend de orquestación y extracción (RPA), el frontend de interacción con el usuario, y la capa de persistencia de datos. No cubre el despliegue en infraestructura de producción (servidor en la nube), el cual se documenta como trabajo futuro en la sección 6.</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Vista funcional</w:t>
      </w:r>
    </w:p>
    <w:p w:rsidR="00000000" w:rsidDel="00000000" w:rsidP="00000000" w:rsidRDefault="00000000" w:rsidRPr="00000000" w14:paraId="0000000C">
      <w:pPr>
        <w:spacing w:after="80" w:before="80" w:lineRule="auto"/>
        <w:jc w:val="both"/>
        <w:rPr/>
      </w:pPr>
      <w:r w:rsidDel="00000000" w:rsidR="00000000" w:rsidRPr="00000000">
        <w:rPr>
          <w:rFonts w:ascii="Arial" w:cs="Arial" w:eastAsia="Arial" w:hAnsi="Arial"/>
          <w:sz w:val="22"/>
          <w:szCs w:val="22"/>
          <w:rtl w:val="0"/>
        </w:rPr>
        <w:t xml:space="preserve">La vista funcional describe las capacidades del sistema desde la perspectiva del usuario final, sin considerar los detalles de implementación. Responde a la pregunta: ¿qué puede hacer el sistema?</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2.1 Casos de uso principales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sincronización: el usuario selecciona el ciclo académico (Verano, Regular 1, Regular 2), el año, y las fuentes de extracción (Campus Virtual, PAIDEIA, o ambas).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Autenticarse en las plataformas institucionales: el usuario ingresa sus credenciales PUCP directamente en una ventana de navegador controlada por el sistema, sin que el sistema almacene o procese dichas credenciales.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Extraer actividades académicas: el sistema navega automáticamente por Campus Virtual y/o PAIDEIA, identificando clases, exámenes, prácticas, laboratorios y entregas dentro del ciclo seleccionado.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progreso en tiempo real: el usuario observa, pantalla por pantalla, el avance de la extracción (meses procesados, cursos recorridos, entregas detectadas).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y nombrar el calendario destino: antes de sincronizar, el usuario revisa un resumen de los eventos extraídos y puede editar el nombre del calendario que se creará en Google Calendar.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Sincronizar con Google Calendar: el sistema crea un calendario dedicado (eliminando uno anterior con el mismo nombre si existe) e inserta todos los eventos extraídos.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historial de sincronizaciones: el usuario puede ver, desde la pantalla principal, un resumen de sincronizaciones anteriores almacenadas en la base de datos.</w:t>
      </w:r>
    </w:p>
    <w:p w:rsidR="00000000" w:rsidDel="00000000" w:rsidP="00000000" w:rsidRDefault="00000000" w:rsidRPr="00000000" w14:paraId="00000015">
      <w:pPr>
        <w:pStyle w:val="Heading2"/>
        <w:rPr/>
      </w:pPr>
      <w:r w:rsidDel="00000000" w:rsidR="00000000" w:rsidRPr="00000000">
        <w:rPr>
          <w:rtl w:val="0"/>
        </w:rPr>
        <w:t xml:space="preserve">2.2 Flujo funcional general</w:t>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sz w:val="22"/>
          <w:szCs w:val="22"/>
          <w:rtl w:val="0"/>
        </w:rPr>
        <w:t xml:space="preserve">El siguiente diagrama de flujo resume la secuencia de pantallas (P1 a P10) y las decisiones de navegación entre ellas, según la fuente de extracción elegida por el usuario.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360"/>
        <w:tblGridChange w:id="0">
          <w:tblGrid>
            <w:gridCol w:w="1500"/>
            <w:gridCol w:w="3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0"/>
                <w:szCs w:val="20"/>
                <w:rtl w:val="0"/>
              </w:rPr>
              <w:t xml:space="preserve">Pantalla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Función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sz w:val="20"/>
                <w:szCs w:val="20"/>
                <w:rtl w:val="0"/>
              </w:rPr>
              <w:t xml:space="preserve">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Punto de entrada; muestra estado del backend e historial de sincronizaciones previas.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Configuración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Selección de ciclo, año y fuentes de extracción.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Login Campus Virtual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Espera el inicio de sesión manual del usuario en Campus Virtual.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Login PAIDEIA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z w:val="20"/>
                <w:szCs w:val="20"/>
                <w:rtl w:val="0"/>
              </w:rPr>
              <w:t xml:space="preserve">Espera el inicio de sesión manual del usuario en PAIDEIA (si no hay sesión previa de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20"/>
                <w:szCs w:val="20"/>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z w:val="20"/>
                <w:szCs w:val="20"/>
                <w:rtl w:val="0"/>
              </w:rPr>
              <w:t xml:space="preserve">Progreso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z w:val="20"/>
                <w:szCs w:val="20"/>
                <w:rtl w:val="0"/>
              </w:rPr>
              <w:t xml:space="preserve">Muestra el avance de descarga mes por mes, con conteo real de eventos.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z w:val="20"/>
                <w:szCs w:val="20"/>
                <w:rtl w:val="0"/>
              </w:rPr>
              <w:t xml:space="preserve">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0"/>
                <w:szCs w:val="20"/>
                <w:rtl w:val="0"/>
              </w:rPr>
              <w:t xml:space="preserve">Progreso PAIDEIA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z w:val="20"/>
                <w:szCs w:val="20"/>
                <w:rtl w:val="0"/>
              </w:rPr>
              <w:t xml:space="preserve">Muestra el avance curso por curso, con conteo real de entregas y PDFs detectados.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20"/>
                <w:szCs w:val="20"/>
                <w:rtl w:val="0"/>
              </w:rPr>
              <w:t xml:space="preserve">P7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z w:val="20"/>
                <w:szCs w:val="20"/>
                <w:rtl w:val="0"/>
              </w:rPr>
              <w:t xml:space="preserve">Estado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z w:val="20"/>
                <w:szCs w:val="20"/>
                <w:rtl w:val="0"/>
              </w:rPr>
              <w:t xml:space="preserve">Lista los cronogramas PDF detectados durante la extracción de PAIDEIA.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Confirmación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z w:val="20"/>
                <w:szCs w:val="20"/>
                <w:rtl w:val="0"/>
              </w:rPr>
              <w:t xml:space="preserve">Resumen de métricas extraídas; el usuario edita el nombre del calendario destino.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P9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Progreso de sincronización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Muestra la inserción de eventos en Google Calendar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Resumen final: total de eventos, fuente, ciclo sincronizado.</w:t>
            </w:r>
            <w:r w:rsidDel="00000000" w:rsidR="00000000" w:rsidRPr="00000000">
              <w:rPr>
                <w:rtl w:val="0"/>
              </w:rPr>
            </w:r>
          </w:p>
        </w:tc>
      </w:tr>
    </w:tbl>
    <w:p w:rsidR="00000000" w:rsidDel="00000000" w:rsidP="00000000" w:rsidRDefault="00000000" w:rsidRPr="00000000" w14:paraId="00000038">
      <w:pPr>
        <w:spacing w:after="40" w:before="40" w:lineRule="auto"/>
        <w:rPr/>
      </w:pPr>
      <w:r w:rsidDel="00000000" w:rsidR="00000000" w:rsidRPr="00000000">
        <w:rPr>
          <w:rtl w:val="0"/>
        </w:rPr>
      </w:r>
    </w:p>
    <w:p w:rsidR="00000000" w:rsidDel="00000000" w:rsidP="00000000" w:rsidRDefault="00000000" w:rsidRPr="00000000" w14:paraId="00000039">
      <w:pPr>
        <w:spacing w:after="80" w:before="80" w:lineRule="auto"/>
        <w:jc w:val="both"/>
        <w:rPr/>
      </w:pPr>
      <w:r w:rsidDel="00000000" w:rsidR="00000000" w:rsidRPr="00000000">
        <w:rPr>
          <w:rFonts w:ascii="Arial" w:cs="Arial" w:eastAsia="Arial" w:hAnsi="Arial"/>
          <w:sz w:val="22"/>
          <w:szCs w:val="22"/>
          <w:rtl w:val="0"/>
        </w:rPr>
        <w:t xml:space="preserve">La navegación entre P3/P4 y P5/P6 varía según la combinación de fuentes seleccionada en P2: si el usuario elige únicamente Campus Virtual, el flujo omite P4 y P6; si elige únicamente PAIDEIA, omite P3 y P5; si elige ambas, el sistema reutiliza la sesión de navegador autenticada en Campus Virtual para acceder a PAIDEIA sin solicitar un segundo inicio de sesión, dado que ambas plataformas comparten el mismo proveedor de identidad institucional (SSO de PUCP).</w:t>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3. Vista de desarrollo</w:t>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sz w:val="22"/>
          <w:szCs w:val="22"/>
          <w:rtl w:val="0"/>
        </w:rPr>
        <w:t xml:space="preserve">La vista de desarrollo describe cómo está organizado el código fuente en módulos, paquetes y capas, y qué responsabilidad tiene cada uno. Esta vista es la más relevante para cualquier persona que deba mantener, extender o auditar el sistema.</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3.1 Organización general del repositorio</w:t>
      </w:r>
    </w:p>
    <w:p w:rsidR="00000000" w:rsidDel="00000000" w:rsidP="00000000" w:rsidRDefault="00000000" w:rsidRPr="00000000" w14:paraId="0000003D">
      <w:pPr>
        <w:spacing w:after="80" w:before="80" w:lineRule="auto"/>
        <w:jc w:val="both"/>
        <w:rPr/>
      </w:pPr>
      <w:r w:rsidDel="00000000" w:rsidR="00000000" w:rsidRPr="00000000">
        <w:rPr>
          <w:rFonts w:ascii="Arial" w:cs="Arial" w:eastAsia="Arial" w:hAnsi="Arial"/>
          <w:sz w:val="22"/>
          <w:szCs w:val="22"/>
          <w:rtl w:val="0"/>
        </w:rPr>
        <w:t xml:space="preserve">El repositorio se divide en dos proyectos independientes que se comunican mediante una API HTTP: backend/ (Python) y frontend/ (TypeScript). Esta separación permite que cada proyecto evolucione y se despliegue de forma independiente.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Carpeta / Archivo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Responsabilidad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backend/app.py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Define la aplicación FastAPI, sus endpoints REST y la configuración de CORS. No contiene lógica de negocio.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backend/sesiones.py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Almacén en memoria del estado de cada sincronización en curso, junto con funciones auxiliares de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backend/rpa/ejecutar.py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sdt>
              <w:sdtPr>
                <w:id w:val="-2011289687"/>
                <w:tag w:val="goog_rdk_0"/>
              </w:sdtPr>
              <w:sdtContent>
                <w:r w:rsidDel="00000000" w:rsidR="00000000" w:rsidRPr="00000000">
                  <w:rPr>
                    <w:rFonts w:ascii="Arial Unicode MS" w:cs="Arial Unicode MS" w:eastAsia="Arial Unicode MS" w:hAnsi="Arial Unicode MS"/>
                    <w:sz w:val="20"/>
                    <w:szCs w:val="20"/>
                    <w:rtl w:val="0"/>
                  </w:rPr>
                  <w:t xml:space="preserve">Orquestador principal: coordina la secuencia Campus → PAIDEIA → confirmación de usuario → Google Calendar → persistencia en BD.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20"/>
                <w:szCs w:val="20"/>
                <w:rtl w:val="0"/>
              </w:rPr>
              <w:t xml:space="preserve">backend/rpa/campus_rpa.py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Capa de coordinación entre el orquestador y el extractor de Campus Virtual; actualiza el estado de sesión durante la extracción.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z w:val="20"/>
                <w:szCs w:val="20"/>
                <w:rtl w:val="0"/>
              </w:rPr>
              <w:t xml:space="preserve">backend/rpa/paideia_rpa.py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Capa de coordinación entre el orquestador y el extractor de PAIDEIA; gestiona el callback de progreso por curso.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backend/rpa/calendar_rpa.py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Lógica de creación de calendario e inserción de eventos en Google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backend/campus/campus_extractor.py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Lógica específica de scraping de Campus Virtual: descarga y parseo de archivos .ics por 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backend/paideia/paideia_extractor.py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Lógica específica de scraping de PAIDEIA: búsqueda de cursos por ciclo, recorrido de secciones, extracción de entregas tipo assign y descarga de cronogramas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backend/google_calendar/auth.py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Manejo del flujo de autenticación OAuth 2.0 con la API de Google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backend/google_calendar/calendar_inserter.py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Construcción del payload de evento en el formato esperado por la API de Google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backend/google_calendar/conflict_resolver.py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Detección de solapamientos de horario entre eventos de distintas fuentes.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backend/database.py / 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Configuración de conexión SQLAlchemy y definición de los modelos ORM correspondientes a las 8 tablas del esquema relacional.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backend/create_driver.py / config.py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Configuración del WebDriver de Selenium y constantes globales del sistema (ciclos académicos, rutas de almacenamiento).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20"/>
                <w:szCs w:val="20"/>
                <w:rtl w:val="0"/>
              </w:rPr>
              <w:t xml:space="preserve">frontend/app/*/page.tsx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Componentes de página de Next.js, uno por cada pantalla del flujo (P1–P10), siguiendo el sistema de rutas basado en carpetas (App Router).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frontend/lib/api.ts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Capa de comunicación HTTP entre el frontend y el backend; centraliza las llamadas fetch y sus tipos TypeScript asociados.</w:t>
            </w:r>
            <w:r w:rsidDel="00000000" w:rsidR="00000000" w:rsidRPr="00000000">
              <w:rPr>
                <w:rtl w:val="0"/>
              </w:rPr>
            </w:r>
          </w:p>
        </w:tc>
      </w:tr>
    </w:tbl>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3.2 Principios de diseño aplicados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Responsabilidad única (Single Responsibility Principle):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módulo del backend tiene una única razón para cambiar. La extracción de PAIDEIA, por ejemplo, está separada en una capa de scraping puro (paideia_extractor.py) y una capa de coordinación con el resto del sistema (paideia_rpa.py).</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Separación de capas (Separation of Concerns):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distingue tres capas: presentación (endpoints en app.py), orquestación (rpa/), y acceso a datos (database.py, models.py).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Inversión de dependencias mediante callbacks: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extractores (campus_extractor.py, paideia_extractor.py) no conocen la existencia del sistema de sesiones ni del frontend; en su lugar, reciben una función callback que se invoca tras procesar cada unidad de trabajo (mes o curso), permitiendo que la capa superior decida qué hacer con ese progreso sin acoplar el extractor a una tecnología de comunicación específica.</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Patrón Repository implícito (vía 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acceso a la base de datos se realiza exclusivamente a través de los modelos SQLAlchemy definidos en models.py, evitando SQL embebido disperso en el código de negocio.</w:t>
      </w:r>
    </w:p>
    <w:p w:rsidR="00000000" w:rsidDel="00000000" w:rsidP="00000000" w:rsidRDefault="00000000" w:rsidRPr="00000000" w14:paraId="00000064">
      <w:pPr>
        <w:pStyle w:val="Heading2"/>
        <w:rPr/>
      </w:pPr>
      <w:r w:rsidDel="00000000" w:rsidR="00000000" w:rsidRPr="00000000">
        <w:rPr>
          <w:rtl w:val="0"/>
        </w:rPr>
        <w:t xml:space="preserve">3.3 Historial de refactorización</w:t>
      </w:r>
    </w:p>
    <w:p w:rsidR="00000000" w:rsidDel="00000000" w:rsidP="00000000" w:rsidRDefault="00000000" w:rsidRPr="00000000" w14:paraId="00000065">
      <w:pPr>
        <w:spacing w:after="80" w:before="80" w:lineRule="auto"/>
        <w:jc w:val="both"/>
        <w:rPr/>
      </w:pPr>
      <w:r w:rsidDel="00000000" w:rsidR="00000000" w:rsidRPr="00000000">
        <w:rPr>
          <w:rFonts w:ascii="Arial" w:cs="Arial" w:eastAsia="Arial" w:hAnsi="Arial"/>
          <w:sz w:val="22"/>
          <w:szCs w:val="22"/>
          <w:rtl w:val="0"/>
        </w:rPr>
        <w:t xml:space="preserve">Es relevante documentar que la organización modular descrita en 3.1 no fue la estructura inicial del proyecto. En una primera versión, toda la lógica de orquestación residía en un único archivo app.py de más de 200 líneas, que mezclaba la definición de endpoints HTTP con la lógica completa de extracción de Campus Virtual, PAIDEIA y Google Calendar. Esta estructura dificultaba el mantenimiento y la trazabilidad de errores. Se realizó una refactorización dirigida a aplicar el principio de responsabilidad única, resultando en la división actual en el paquete rpa/ con cuatro módulos especializados, reduciendo app.py a aproximadamente 60 líneas dedicadas exclusivamente a la definición de la API.</w:t>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4. Vista física</w:t>
      </w:r>
    </w:p>
    <w:p w:rsidR="00000000" w:rsidDel="00000000" w:rsidP="00000000" w:rsidRDefault="00000000" w:rsidRPr="00000000" w14:paraId="00000067">
      <w:pPr>
        <w:spacing w:after="80" w:before="80" w:lineRule="auto"/>
        <w:jc w:val="both"/>
        <w:rPr/>
      </w:pPr>
      <w:r w:rsidDel="00000000" w:rsidR="00000000" w:rsidRPr="00000000">
        <w:rPr>
          <w:rFonts w:ascii="Arial" w:cs="Arial" w:eastAsia="Arial" w:hAnsi="Arial"/>
          <w:sz w:val="22"/>
          <w:szCs w:val="22"/>
          <w:rtl w:val="0"/>
        </w:rPr>
        <w:t xml:space="preserve">La vista física describe la distribución del sistema en nodos de ejecución, procesos y servicios externos, así como los protocolos de comunicación entre ellos.</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4.1 Nodos y procesos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80"/>
        <w:gridCol w:w="3880"/>
        <w:tblGridChange w:id="0">
          <w:tblGrid>
            <w:gridCol w:w="2600"/>
            <w:gridCol w:w="28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Nodo /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z w:val="20"/>
                <w:szCs w:val="20"/>
                <w:rtl w:val="0"/>
              </w:rPr>
              <w:t xml:space="preserve">Rol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Servidor de aplicación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Python 3 + FastAPI + Uvicorn (puerto 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Expone la API REST, orquesta el RPA en hilos separados (threading) y gestiona la persistencia.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Servidor de aplicación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Next.js 16 (puerto 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Sirve la interfaz de usuario y consume la API del backend mediante peticiones HTTP/fetch.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Navegador automatizado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Google Chrome + Selenium WebDriver 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Proceso controlado programáticamente por el backend; ejecuta el login real del usuario y la navegación de scraping.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z w:val="20"/>
                <w:szCs w:val="20"/>
                <w:rtl w:val="0"/>
              </w:rPr>
              <w:t xml:space="preserve">Sistema gestor de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z w:val="20"/>
                <w:szCs w:val="20"/>
                <w:rtl w:val="0"/>
              </w:rPr>
              <w:t xml:space="preserve">MySQL 8.0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20"/>
                <w:szCs w:val="20"/>
                <w:rtl w:val="0"/>
              </w:rPr>
              <w:t xml:space="preserve">Persiste el historial de sincronizaciones y las actividades académicas extraídas.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z w:val="20"/>
                <w:szCs w:val="20"/>
                <w:rtl w:val="0"/>
              </w:rPr>
              <w:t xml:space="preserve">Plataformas institucionales PUCP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20"/>
                <w:szCs w:val="20"/>
                <w:rtl w:val="0"/>
              </w:rPr>
              <w:t xml:space="preserve">Campus Virtual, PAIDEIA (Moodle)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20"/>
                <w:szCs w:val="20"/>
                <w:rtl w:val="0"/>
              </w:rPr>
              <w:t xml:space="preserve">Sistemas externos fuera del control del proyecto; se accede a ellos mediante navegación HTTP/HTTPS estándar autenticada por 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20"/>
                <w:szCs w:val="20"/>
                <w:rtl w:val="0"/>
              </w:rPr>
              <w:t xml:space="preserve">Servicios de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20"/>
                <w:szCs w:val="20"/>
                <w:rtl w:val="0"/>
              </w:rPr>
              <w:t xml:space="preserve">Google Calendar API v3 + OAuth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20"/>
                <w:szCs w:val="20"/>
                <w:rtl w:val="0"/>
              </w:rPr>
              <w:t xml:space="preserve">Servicio en la nube al que el backend se conecta para crear calendarios e insertar eventos, autorizado mediante token OAuth.</w:t>
            </w:r>
            <w:r w:rsidDel="00000000" w:rsidR="00000000" w:rsidRPr="00000000">
              <w:rPr>
                <w:rtl w:val="0"/>
              </w:rPr>
            </w:r>
          </w:p>
        </w:tc>
      </w:tr>
    </w:tbl>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4.2 Topología de despliegue actual</w:t>
      </w:r>
    </w:p>
    <w:p w:rsidR="00000000" w:rsidDel="00000000" w:rsidP="00000000" w:rsidRDefault="00000000" w:rsidRPr="00000000" w14:paraId="00000080">
      <w:pPr>
        <w:spacing w:after="80" w:before="80" w:lineRule="auto"/>
        <w:jc w:val="both"/>
        <w:rPr/>
      </w:pPr>
      <w:r w:rsidDel="00000000" w:rsidR="00000000" w:rsidRPr="00000000">
        <w:rPr>
          <w:rFonts w:ascii="Arial" w:cs="Arial" w:eastAsia="Arial" w:hAnsi="Arial"/>
          <w:sz w:val="22"/>
          <w:szCs w:val="22"/>
          <w:rtl w:val="0"/>
        </w:rPr>
        <w:t xml:space="preserve">En la etapa actual de desarrollo, tanto el backend como el frontend se ejecutan en la misma máquina física (la computadora del tesista), comunicándose mediante peticiones HTTP sobre localhost. La Tabla 4.2 resume los puertos y protocolos utilizados.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20"/>
                <w:szCs w:val="20"/>
                <w:rtl w:val="0"/>
              </w:rPr>
              <w:t xml:space="preserve">Dirección / Puerto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sz w:val="20"/>
                <w:szCs w:val="20"/>
                <w:rtl w:val="0"/>
              </w:rPr>
              <w:t xml:space="preserve">Protocolo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20"/>
                <w:szCs w:val="20"/>
                <w:rtl w:val="0"/>
              </w:rPr>
              <w:t xml:space="preserve">Backend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20"/>
                <w:szCs w:val="20"/>
                <w:rtl w:val="0"/>
              </w:rPr>
              <w:t xml:space="preserve">http://localhost:8000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z w:val="20"/>
                <w:szCs w:val="20"/>
                <w:rtl w:val="0"/>
              </w:rPr>
              <w:t xml:space="preserve">HTTP/REST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Frontend (Next.js)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z w:val="20"/>
                <w:szCs w:val="20"/>
                <w:rtl w:val="0"/>
              </w:rPr>
              <w:t xml:space="preserve">http://localhost:3000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sdt>
              <w:sdtPr>
                <w:id w:val="-1071759799"/>
                <w:tag w:val="goog_rdk_1"/>
              </w:sdtPr>
              <w:sdtContent>
                <w:r w:rsidDel="00000000" w:rsidR="00000000" w:rsidRPr="00000000">
                  <w:rPr>
                    <w:rFonts w:ascii="Arial Unicode MS" w:cs="Arial Unicode MS" w:eastAsia="Arial Unicode MS" w:hAnsi="Arial Unicode MS"/>
                    <w:b w:val="0"/>
                    <w:bCs w:val="0"/>
                    <w:sz w:val="20"/>
                    <w:szCs w:val="20"/>
                    <w:rtl w:val="0"/>
                  </w:rPr>
                  <w:t xml:space="preserve">Comunicación Frontend → Backend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z w:val="20"/>
                <w:szCs w:val="20"/>
                <w:rtl w:val="0"/>
              </w:rPr>
              <w:t xml:space="preserve">Polling cada 1.5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z w:val="20"/>
                <w:szCs w:val="20"/>
                <w:rtl w:val="0"/>
              </w:rPr>
              <w:t xml:space="preserve">HTTP GET/POST (fetch)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sdt>
              <w:sdtPr>
                <w:id w:val="1349656195"/>
                <w:tag w:val="goog_rdk_2"/>
              </w:sdtPr>
              <w:sdtContent>
                <w:r w:rsidDel="00000000" w:rsidR="00000000" w:rsidRPr="00000000">
                  <w:rPr>
                    <w:rFonts w:ascii="Arial Unicode MS" w:cs="Arial Unicode MS" w:eastAsia="Arial Unicode MS" w:hAnsi="Arial Unicode MS"/>
                    <w:b w:val="0"/>
                    <w:bCs w:val="0"/>
                    <w:sz w:val="20"/>
                    <w:szCs w:val="20"/>
                    <w:rtl w:val="0"/>
                  </w:rPr>
                  <w:t xml:space="preserve">Backend → Google Calendar API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sz w:val="20"/>
                <w:szCs w:val="20"/>
                <w:rtl w:val="0"/>
              </w:rPr>
              <w:t xml:space="preserve">www.googleapis.com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HTTPS + OAuth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sdt>
              <w:sdtPr>
                <w:id w:val="319361343"/>
                <w:tag w:val="goog_rdk_3"/>
              </w:sdtPr>
              <w:sdtContent>
                <w:r w:rsidDel="00000000" w:rsidR="00000000" w:rsidRPr="00000000">
                  <w:rPr>
                    <w:rFonts w:ascii="Arial Unicode MS" w:cs="Arial Unicode MS" w:eastAsia="Arial Unicode MS" w:hAnsi="Arial Unicode MS"/>
                    <w:b w:val="0"/>
                    <w:bCs w:val="0"/>
                    <w:sz w:val="20"/>
                    <w:szCs w:val="20"/>
                    <w:rtl w:val="0"/>
                  </w:rPr>
                  <w:t xml:space="preserve">Backend → MySQL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z w:val="20"/>
                <w:szCs w:val="20"/>
                <w:rtl w:val="0"/>
              </w:rPr>
              <w:t xml:space="preserve">localhost:3306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z w:val="20"/>
                <w:szCs w:val="20"/>
                <w:rtl w:val="0"/>
              </w:rPr>
              <w:t xml:space="preserve">Protocolo MySQL (PyMySQL)</w:t>
            </w:r>
            <w:r w:rsidDel="00000000" w:rsidR="00000000" w:rsidRPr="00000000">
              <w:rPr>
                <w:rtl w:val="0"/>
              </w:rPr>
            </w:r>
          </w:p>
        </w:tc>
      </w:tr>
    </w:tbl>
    <w:p w:rsidR="00000000" w:rsidDel="00000000" w:rsidP="00000000" w:rsidRDefault="00000000" w:rsidRPr="00000000" w14:paraId="00000093">
      <w:pPr>
        <w:spacing w:after="40" w:before="40" w:lineRule="auto"/>
        <w:rPr/>
      </w:pPr>
      <w:r w:rsidDel="00000000" w:rsidR="00000000" w:rsidRPr="00000000">
        <w:rPr>
          <w:rtl w:val="0"/>
        </w:rPr>
      </w:r>
    </w:p>
    <w:p w:rsidR="00000000" w:rsidDel="00000000" w:rsidP="00000000" w:rsidRDefault="00000000" w:rsidRPr="00000000" w14:paraId="00000094">
      <w:pPr>
        <w:spacing w:after="80" w:before="80" w:lineRule="auto"/>
        <w:jc w:val="both"/>
        <w:rPr/>
      </w:pPr>
      <w:r w:rsidDel="00000000" w:rsidR="00000000" w:rsidRPr="00000000">
        <w:rPr>
          <w:rFonts w:ascii="Arial" w:cs="Arial" w:eastAsia="Arial" w:hAnsi="Arial"/>
          <w:sz w:val="22"/>
          <w:szCs w:val="22"/>
          <w:rtl w:val="0"/>
        </w:rPr>
        <w:t xml:space="preserve">Esta topología es adecuada para el alcance académico del proyecto y para la validación funcional ante el asesor y jurado. El despliegue en un servidor accesible públicamente queda fuera del alcance actual y se documenta como trabajo futuro (sección 6), dado que Selenium requiere un entorno con soporte para ejecutar un navegador real, lo cual impone restricciones particulares en plataformas de hosting convencionales.</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4.3 Patrón de comunicación: long-running task con polling</w:t>
      </w:r>
    </w:p>
    <w:p w:rsidR="00000000" w:rsidDel="00000000" w:rsidP="00000000" w:rsidRDefault="00000000" w:rsidRPr="00000000" w14:paraId="00000096">
      <w:pPr>
        <w:spacing w:after="80" w:before="80" w:lineRule="auto"/>
        <w:jc w:val="both"/>
        <w:rPr/>
      </w:pPr>
      <w:r w:rsidDel="00000000" w:rsidR="00000000" w:rsidRPr="00000000">
        <w:rPr>
          <w:rFonts w:ascii="Arial" w:cs="Arial" w:eastAsia="Arial" w:hAnsi="Arial"/>
          <w:sz w:val="22"/>
          <w:szCs w:val="22"/>
          <w:rtl w:val="0"/>
        </w:rPr>
        <w:t xml:space="preserve">Dado que el proceso de extracción y sincronización puede tardar varios minutos (depende de la cantidad de cursos y meses a procesar), el backend no puede responder de forma síncrona a la petición que inicia la sincronización. Por ello, se adoptó el siguiente patrón: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endpoint POST /sincronizacion/iniciar crea una sesión con un identificador único (UUID) y lanza un hilo (threading.Thread) que ejecuta el proceso completo en segundo plano, retornando inmediatamente el identificador de sesión.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consulta periódicamente (cada 1.5 segundos) el endpoint GET /sincronizacion/{id}/estado, el cual retorna el estado actual de la sesión almacenado en memoria.</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el backend avanza en la extracción, actualiza el diccionario de sesión mediante callbacks, lo cual queda inmediatamente disponible para la siguiente consulta del frontend.</w:t>
      </w:r>
    </w:p>
    <w:p w:rsidR="00000000" w:rsidDel="00000000" w:rsidP="00000000" w:rsidRDefault="00000000" w:rsidRPr="00000000" w14:paraId="0000009A">
      <w:pPr>
        <w:spacing w:after="80" w:before="80" w:lineRule="auto"/>
        <w:jc w:val="both"/>
        <w:rPr/>
      </w:pPr>
      <w:r w:rsidDel="00000000" w:rsidR="00000000" w:rsidRPr="00000000">
        <w:rPr>
          <w:rFonts w:ascii="Arial" w:cs="Arial" w:eastAsia="Arial" w:hAnsi="Arial"/>
          <w:sz w:val="22"/>
          <w:szCs w:val="22"/>
          <w:rtl w:val="0"/>
        </w:rPr>
        <w:t xml:space="preserve">Este patrón, conocido como polling, se eligió como alternativa simple y suficiente frente a tecnologías de mayor complejidad como WebSockets o Server-Sent Events, dado que la frecuencia de actualización requerida (cada 1 a 2 segundos) no demanda comunicación en tiempo real estricto.</w:t>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5. Diagrama de componentes</w:t>
      </w:r>
    </w:p>
    <w:p w:rsidR="00000000" w:rsidDel="00000000" w:rsidP="00000000" w:rsidRDefault="00000000" w:rsidRPr="00000000" w14:paraId="0000009C">
      <w:pPr>
        <w:spacing w:after="80" w:before="80" w:lineRule="auto"/>
        <w:jc w:val="both"/>
        <w:rPr/>
      </w:pPr>
      <w:r w:rsidDel="00000000" w:rsidR="00000000" w:rsidRPr="00000000">
        <w:rPr>
          <w:rFonts w:ascii="Arial" w:cs="Arial" w:eastAsia="Arial" w:hAnsi="Arial"/>
          <w:sz w:val="22"/>
          <w:szCs w:val="22"/>
          <w:rtl w:val="0"/>
        </w:rPr>
        <w:t xml:space="preserve">La figura 5.1 (representada textualmente a continuación, dado que el diagrama gráfico se incluye como anexo en formato Lucidchart) resume las relaciones de dependencia entre los componentes principales del sistema.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0"/>
                <w:szCs w:val="20"/>
                <w:rtl w:val="0"/>
              </w:rPr>
              <w:t xml:space="preserve">Componente 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Depende de / se comunica 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20"/>
                <w:szCs w:val="20"/>
                <w:rtl w:val="0"/>
              </w:rPr>
              <w:t xml:space="preserve">Frontend (Next.js)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API REST del Backend (FastAPI) vía HTTP/fetch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20"/>
                <w:szCs w:val="20"/>
                <w:rtl w:val="0"/>
              </w:rPr>
              <w:t xml:space="preserve">app.py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sesiones.py, rpa/ejecutar.py, database.py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20"/>
                <w:szCs w:val="20"/>
                <w:rtl w:val="0"/>
              </w:rPr>
              <w:t xml:space="preserve">rpa/ejecutar.py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create_driver.py, rpa/campus_rpa.py, rpa/paideia_rpa.py, rpa/calendar_rpa.py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20"/>
                <w:szCs w:val="20"/>
                <w:rtl w:val="0"/>
              </w:rPr>
              <w:t xml:space="preserve">rpa/campus_rpa.py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campus/campus_extractor.py, sesiones.py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20"/>
                <w:szCs w:val="20"/>
                <w:rtl w:val="0"/>
              </w:rPr>
              <w:t xml:space="preserve">rpa/paideia_rpa.py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paideia/paideia_extractor.py, sesiones.py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20"/>
                <w:szCs w:val="20"/>
                <w:rtl w:val="0"/>
              </w:rPr>
              <w:t xml:space="preserve">rpa/calendar_rpa.py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google_calendar/auth.py, google_calendar/calendar_inserter.py, google_calendar/conflict_resolver.py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z w:val="20"/>
                <w:szCs w:val="20"/>
                <w:rtl w:val="0"/>
              </w:rPr>
              <w:t xml:space="preserve">campus_extractor.py / paideia_extractor.py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Selenium WebDriver (proceso de navegador Chrome)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z w:val="20"/>
                <w:szCs w:val="20"/>
                <w:rtl w:val="0"/>
              </w:rPr>
              <w:t xml:space="preserve">google_calendar/auth.py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Google OAuth 2.0 / Google Calendar API 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20"/>
                <w:szCs w:val="20"/>
                <w:rtl w:val="0"/>
              </w:rPr>
              <w:t xml:space="preserve">database.py / 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MySQL 8.0 (vía SQLAlchemy + PyMySQL)</w:t>
            </w:r>
            <w:r w:rsidDel="00000000" w:rsidR="00000000" w:rsidRPr="00000000">
              <w:rPr>
                <w:rtl w:val="0"/>
              </w:rPr>
            </w:r>
          </w:p>
        </w:tc>
      </w:tr>
    </w:tbl>
    <w:p w:rsidR="00000000" w:rsidDel="00000000" w:rsidP="00000000" w:rsidRDefault="00000000" w:rsidRPr="00000000" w14:paraId="000000B1">
      <w:pPr>
        <w:spacing w:after="200" w:before="60" w:lineRule="auto"/>
        <w:jc w:val="center"/>
        <w:rPr/>
      </w:pPr>
      <w:r w:rsidDel="00000000" w:rsidR="00000000" w:rsidRPr="00000000">
        <w:rPr>
          <w:rFonts w:ascii="Arial" w:cs="Arial" w:eastAsia="Arial" w:hAnsi="Arial"/>
          <w:i w:val="1"/>
          <w:iCs w:val="1"/>
          <w:color w:val="6b7280"/>
          <w:sz w:val="20"/>
          <w:szCs w:val="20"/>
          <w:rtl w:val="0"/>
        </w:rPr>
        <w:t xml:space="preserve">Figura 5.1. Relaciones de dependencia entre componentes del backend.</w:t>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6. Trabajo futuro</w:t>
      </w:r>
    </w:p>
    <w:p w:rsidR="00000000" w:rsidDel="00000000" w:rsidP="00000000" w:rsidRDefault="00000000" w:rsidRPr="00000000" w14:paraId="000000B3">
      <w:pPr>
        <w:spacing w:after="80" w:before="80" w:lineRule="auto"/>
        <w:jc w:val="both"/>
        <w:rPr/>
      </w:pPr>
      <w:r w:rsidDel="00000000" w:rsidR="00000000" w:rsidRPr="00000000">
        <w:rPr>
          <w:rFonts w:ascii="Arial" w:cs="Arial" w:eastAsia="Arial" w:hAnsi="Arial"/>
          <w:sz w:val="22"/>
          <w:szCs w:val="22"/>
          <w:rtl w:val="0"/>
        </w:rPr>
        <w:t xml:space="preserve">Las siguientes mejoras arquitectónicas han sido identificadas pero quedan fuera del alcance del MVP actual: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Extracción real de cursos, horarios y profesores: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actualmente las actividades académicas se asocian a un curso y estudiante mediante valores temporales (placeholders), con la restricción de integridad referencial (foreign keys) deshabilitada temporalmente para permitir el guardado. Se planea implementar la extracción real de esta información desde Campus Virtual para reemplazar estos valores temporales.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Despliegue en servidor: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evaluaron tres opciones — contenedor Docker en Railway con Chrome headless, VPS dedicado (DigitalOcean/Linode), y túnel local mediante ngrok para demostraciones — optándose por la tercera opción como suficiente para la sustentación de tesis.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Comunicación en tiempo real: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la migración del patrón de polling actual a WebSockets si el sistema escalara a múltiples usuarios concurrentes.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Funcionalidad de grupos de estudio: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fue sugerido por el asesor, una posible extensión futura del alcance del sistema sería permitir que grupos de estudiantes compartan sus horarios entre sí para identificar bloques de tiempo libre en común.</w:t>
      </w:r>
    </w:p>
    <w:p w:rsidR="00000000" w:rsidDel="00000000" w:rsidP="00000000" w:rsidRDefault="00000000" w:rsidRPr="00000000" w14:paraId="000000B8">
      <w:pPr>
        <w:pStyle w:val="Heading1"/>
        <w:rPr/>
      </w:pPr>
      <w:r w:rsidDel="00000000" w:rsidR="00000000" w:rsidRPr="00000000">
        <w:rPr>
          <w:rtl w:val="0"/>
        </w:rPr>
        <w:t xml:space="preserve">7. Anexo: versiones exactas de tecnologías utilizadas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z w:val="20"/>
                <w:szCs w:val="20"/>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20"/>
                <w:szCs w:val="20"/>
                <w:rtl w:val="0"/>
              </w:rPr>
              <w:t xml:space="preserve">0.136.3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20"/>
                <w:szCs w:val="20"/>
                <w:rtl w:val="0"/>
              </w:rPr>
              <w:t xml:space="preserve">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20"/>
                <w:szCs w:val="20"/>
                <w:rtl w:val="0"/>
              </w:rPr>
              <w:t xml:space="preserve">16.2.6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z w:val="20"/>
                <w:szCs w:val="20"/>
                <w:rtl w:val="0"/>
              </w:rPr>
              <w:t xml:space="preserve">Selenium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20"/>
                <w:szCs w:val="20"/>
                <w:rtl w:val="0"/>
              </w:rPr>
              <w:t xml:space="preserve">4.44.0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20"/>
                <w:szCs w:val="20"/>
                <w:rtl w:val="0"/>
              </w:rPr>
              <w:t xml:space="preserv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20"/>
                <w:szCs w:val="20"/>
                <w:rtl w:val="0"/>
              </w:rPr>
              <w:t xml:space="preserve">19.x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20"/>
                <w:szCs w:val="20"/>
                <w:rtl w:val="0"/>
              </w:rPr>
              <w:t xml:space="preserve">Pydantic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20"/>
                <w:szCs w:val="20"/>
                <w:rtl w:val="0"/>
              </w:rPr>
              <w:t xml:space="preserve">2.13.4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20"/>
                <w:szCs w:val="20"/>
                <w:rtl w:val="0"/>
              </w:rPr>
              <w:t xml:space="preserve">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20"/>
                <w:szCs w:val="20"/>
                <w:rtl w:val="0"/>
              </w:rPr>
              <w:t xml:space="preserve">5.7.3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20"/>
                <w:szCs w:val="20"/>
                <w:rtl w:val="0"/>
              </w:rPr>
              <w:t xml:space="preserve">Uvicorn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20"/>
                <w:szCs w:val="20"/>
                <w:rtl w:val="0"/>
              </w:rPr>
              <w:t xml:space="preserve">0.49.0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20"/>
                <w:szCs w:val="20"/>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z w:val="20"/>
                <w:szCs w:val="20"/>
                <w:rtl w:val="0"/>
              </w:rPr>
              <w:t xml:space="preserve">4.2.0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20"/>
                <w:szCs w:val="20"/>
                <w:rtl w:val="0"/>
              </w:rPr>
              <w:t xml:space="preserve">google-api-python-client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z w:val="20"/>
                <w:szCs w:val="20"/>
                <w:rtl w:val="0"/>
              </w:rPr>
              <w:t xml:space="preserve">2.197.0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z w:val="20"/>
                <w:szCs w:val="20"/>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z w:val="20"/>
                <w:szCs w:val="20"/>
                <w:rtl w:val="0"/>
              </w:rPr>
              <w:t xml:space="preserve">8.0</w:t>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center"/>
      <w:rPr/>
    </w:pPr>
    <w:r w:rsidDel="00000000" w:rsidR="00000000" w:rsidRPr="00000000">
      <w:rPr>
        <w:rFonts w:ascii="Arial" w:cs="Arial" w:eastAsia="Arial" w:hAnsi="Arial"/>
        <w:color w:val="6b7280"/>
        <w:sz w:val="18"/>
        <w:szCs w:val="18"/>
        <w:rtl w:val="0"/>
      </w:rPr>
      <w:t xml:space="preserve">Página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b7280"/>
        <w:sz w:val="18"/>
        <w:szCs w:val="18"/>
        <w:rtl w:val="0"/>
      </w:rPr>
      <w:t xml:space="preserve"> de </w:t>
    </w:r>
    <w:r w:rsidDel="00000000" w:rsidR="00000000" w:rsidRPr="00000000">
      <w:rPr>
        <w:rFonts w:ascii="Arial" w:cs="Arial" w:eastAsia="Arial" w:hAnsi="Arial"/>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40" w:line="240" w:lineRule="auto"/>
      <w:ind w:left="0" w:right="0" w:firstLine="0"/>
      <w:jc w:val="left"/>
    </w:pPr>
    <w:rPr>
      <w:rFonts w:ascii="Arial" w:cs="Arial" w:eastAsia="Arial" w:hAnsi="Arial"/>
      <w:b w:val="1"/>
      <w:bCs w:val="1"/>
      <w:i w:val="0"/>
      <w:iCs w:val="0"/>
      <w:smallCaps w:val="0"/>
      <w:strike w:val="0"/>
      <w:color w:val="11182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e3a8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563eb"/>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f1hItTncxzxCgK0pcpCC1/JVng==">CgMxLjAaJAoBMBIfCh0IB0IZCgVBcmlhbBIQQXJpYWwgVW5pY29kZSBNUxokCgExEh8KHQgHQhkKBUFyaWFsEhBBcmlhbCBVbmljb2RlIE1TGiQKATISHwodCAdCGQoFQXJpYWwSEEFyaWFsIFVuaWNvZGUgTVMaJAoBMxIfCh0IB0IZCgVBcmlhbBIQQXJpYWwgVW5pY29kZSBNUzgAciExOFhKSzNMYUZ1UnVqWVZGZ29LdUVBeU5wODNBOFA2TjM=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