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4"/>
          <w:szCs w:val="24"/>
        </w:rPr>
        <w:t xml:space="preserve">PONTIFICIA UNIVERSIDAD CATÓLICA DEL PERÚ</w:t>
      </w:r>
    </w:p>
    <w:p>
      <w:pPr>
        <w:spacing w:after="320"/>
        <w:jc w:val="center"/>
      </w:pPr>
      <w:r>
        <w:rPr>
          <w:rFonts w:ascii="Arial" w:cs="Arial" w:eastAsia="Arial" w:hAnsi="Arial"/>
          <w:sz w:val="20"/>
          <w:szCs w:val="20"/>
        </w:rPr>
        <w:t xml:space="preserve">Facultad de Ciencias e Ingeniería — Ingeniería Informática</w:t>
      </w:r>
    </w:p>
    <w:p>
      <w:pPr>
        <w:spacing w:after="80"/>
        <w:jc w:val="center"/>
      </w:pPr>
      <w:r>
        <w:rPr>
          <w:rFonts w:ascii="Arial" w:cs="Arial" w:eastAsia="Arial" w:hAnsi="Arial"/>
          <w:b/>
          <w:bCs/>
          <w:color w:val="1F4E79"/>
          <w:sz w:val="28"/>
          <w:szCs w:val="28"/>
        </w:rPr>
        <w:t xml:space="preserve">ANEXO U</w:t>
      </w:r>
    </w:p>
    <w:p>
      <w:pPr>
        <w:spacing w:after="80"/>
        <w:jc w:val="center"/>
      </w:pPr>
      <w:r>
        <w:rPr>
          <w:rFonts w:ascii="Arial" w:cs="Arial" w:eastAsia="Arial" w:hAnsi="Arial"/>
          <w:b/>
          <w:bCs/>
          <w:sz w:val="26"/>
          <w:szCs w:val="26"/>
        </w:rPr>
        <w:t xml:space="preserve">Proceso de Diseño del Módulo de Extracción de Actividades desde Cronogramas y Sílabos en PDF</w:t>
      </w:r>
    </w:p>
    <w:p>
      <w:pPr>
        <w:spacing w:after="400"/>
        <w:jc w:val="center"/>
      </w:pPr>
      <w:r>
        <w:rPr>
          <w:rFonts w:ascii="Arial" w:cs="Arial" w:eastAsia="Arial" w:hAnsi="Arial"/>
          <w:i/>
          <w:iCs/>
          <w:sz w:val="20"/>
          <w:szCs w:val="20"/>
        </w:rPr>
        <w:t xml:space="preserve">Sistema RPA Académico PUCP</w:t>
      </w:r>
    </w:p>
    <w:p>
      <w:pPr>
        <w:pStyle w:val="Heading1"/>
      </w:pPr>
      <w:r>
        <w:t xml:space="preserve">1. Propósito del documento</w:t>
      </w:r>
    </w:p>
    <w:p>
      <w:pPr>
        <w:spacing w:after="200"/>
      </w:pPr>
      <w:r>
        <w:rPr>
          <w:rFonts w:ascii="Arial" w:cs="Arial" w:eastAsia="Arial" w:hAnsi="Arial"/>
          <w:sz w:val="22"/>
          <w:szCs w:val="22"/>
        </w:rPr>
        <w:t xml:space="preserve">Este documento describe el proceso de diseño, prueba y validación del módulo de procesamiento automatizado de cronogramas y sílabos en formato PDF, correspondiente al Objetivo General del proyecto de tesis. A diferencia de los demás anexos de construcción, que documentan el resultado final, este anexo documenta también el PROCESO iterativo seguido para llegar a él, incluyendo los obstáculos reales encontrados al procesar documentos institucionales auténticos y las decisiones de diseño adoptadas para resolverlos. Se incluye esta evidencia de proceso porque la extracción de información desde documentos PDF con formato heterogéneo —a diferencia del HTML estructurado de Campus Virtual y PAIDEIA— no admite una solución de una sola pasada: requirió diseño, prueba contra casos reales, identificación de fallas y corrección iterativa.</w:t>
      </w:r>
    </w:p>
    <w:p>
      <w:pPr>
        <w:pStyle w:val="Heading1"/>
      </w:pPr>
      <w:r>
        <w:t xml:space="preserve">2. Decisión de diseño: librerías locales en lugar de un modelo de lenguaje</w:t>
      </w:r>
    </w:p>
    <w:p>
      <w:pPr>
        <w:spacing w:after="200"/>
      </w:pPr>
      <w:r>
        <w:rPr>
          <w:rFonts w:ascii="Arial" w:cs="Arial" w:eastAsia="Arial" w:hAnsi="Arial"/>
          <w:sz w:val="22"/>
          <w:szCs w:val="22"/>
        </w:rPr>
        <w:t xml:space="preserve">Antes de iniciar la implementación, se evaluó la alternativa de utilizar un modelo de lenguaje (LLM), como los de Anthropic u OpenAI, para interpretar el contenido de cada cronograma y extraer directamente las fechas y actividades, dada la heterogeneidad de formatos observada entre los sílabos de distintas facultades. Se decidió no adoptar esta alternativa para la versión actual del sistema, por dos razones:</w:t>
      </w:r>
    </w:p>
    <w:p>
      <w:pPr>
        <w:pStyle w:val="ListParagraph"/>
        <w:numPr>
          <w:ilvl w:val="0"/>
          <w:numId w:val="2"/>
        </w:numPr>
        <w:spacing w:after="120"/>
      </w:pPr>
      <w:r>
        <w:rPr>
          <w:rFonts w:ascii="Arial" w:cs="Arial" w:eastAsia="Arial" w:hAnsi="Arial"/>
          <w:sz w:val="22"/>
          <w:szCs w:val="22"/>
        </w:rPr>
        <w:t xml:space="preserve">Costo y dependencia externa: el uso de un LLM requeriría una clave de acceso (API key) de un proveedor comercial, lo cual introduce una dependencia de pago y de disponibilidad de un servicio externo no controlado por el proyecto, inconsistente con el resto de la arquitectura del sistema, que no depende de ningún servicio de pago.</w:t>
      </w:r>
    </w:p>
    <w:p>
      <w:pPr>
        <w:pStyle w:val="ListParagraph"/>
        <w:numPr>
          <w:ilvl w:val="0"/>
          <w:numId w:val="2"/>
        </w:numPr>
        <w:spacing w:after="120"/>
      </w:pPr>
      <w:r>
        <w:rPr>
          <w:rFonts w:ascii="Arial" w:cs="Arial" w:eastAsia="Arial" w:hAnsi="Arial"/>
          <w:sz w:val="22"/>
          <w:szCs w:val="22"/>
        </w:rPr>
        <w:t xml:space="preserve">Reproducibilidad académica: un sistema RPA construido enteramente sobre librerías locales y gratuitas (Selenium, pdfplumber) es más fácil de auditar, reproducir y mantener sin costos recurrentes, lo cual se consideró más apropiado para el alcance de un proyecto de tesis.</w:t>
      </w:r>
    </w:p>
    <w:p>
      <w:pPr>
        <w:spacing w:after="200"/>
      </w:pPr>
      <w:r>
        <w:rPr>
          <w:rFonts w:ascii="Arial" w:cs="Arial" w:eastAsia="Arial" w:hAnsi="Arial"/>
          <w:sz w:val="22"/>
          <w:szCs w:val="22"/>
        </w:rPr>
        <w:t xml:space="preserve">En consecuencia, el módulo se construyó íntegramente con pdfplumber (extracción de texto y tablas estructuradas desde PDF) y expresiones regulares de Python, sin ninguna dependencia de pago. Esta decisión se mantiene documentada como un trabajo futuro evaluable: si la heterogeneidad de formatos demostrara ser inabordable con reglas fijas a futuro, la arquitectura del módulo permite incorporar un LLM como mecanismo de respaldo sin rediseñar el resto del sistema.</w:t>
      </w:r>
    </w:p>
    <w:p>
      <w:pPr>
        <w:pStyle w:val="Heading1"/>
      </w:pPr>
      <w:r>
        <w:t xml:space="preserve">3. Corpus de prueba utilizado</w:t>
      </w:r>
    </w:p>
    <w:p>
      <w:pPr>
        <w:spacing w:after="200"/>
      </w:pPr>
      <w:r>
        <w:rPr>
          <w:rFonts w:ascii="Arial" w:cs="Arial" w:eastAsia="Arial" w:hAnsi="Arial"/>
          <w:sz w:val="22"/>
          <w:szCs w:val="22"/>
        </w:rPr>
        <w:t xml:space="preserve">Para diseñar y validar el módulo, se utilizó un corpus de 6 documentos PDF reales, descargados directamente por el sistema desde PAIDEIA durante sincronizaciones de prueba, correspondientes a 6 cursos distintos de ciclos y facultades diferentes. La Tabla U.1 detalla el corpus utilizado.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Documento</w:t>
            </w:r>
          </w:p>
        </w:tc>
        <w:tc>
          <w:tcPr>
            <w:tcW w:type="dxa" w:w="3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Tipo real</w:t>
            </w:r>
          </w:p>
        </w:tc>
        <w:tc>
          <w:tcPr>
            <w:tcW w:type="dxa" w:w="25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Curso</w:t>
            </w:r>
          </w:p>
        </w:tc>
      </w:tr>
      <w:tr>
        <w:tc>
          <w:tcPr>
            <w:tcW w:type="dxa" w:w="3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2026-1_1INF46_Cronograma.pdf</w:t>
            </w:r>
          </w:p>
        </w:tc>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Cronograma independiente (sin sílabo adjunto)</w:t>
            </w:r>
          </w:p>
        </w:tc>
        <w:tc>
          <w:tcPr>
            <w:tcW w:type="dxa" w:w="25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Proyecto de Fin de Carrera 2 (Ingeniería Informática)</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2026-1_Silabo_del_curso.pdf</w:t>
            </w:r>
          </w:p>
        </w:tc>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con cronograma incrustado</w:t>
            </w:r>
          </w:p>
        </w:tc>
        <w:tc>
          <w:tcPr>
            <w:tcW w:type="dxa" w:w="25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Comportamiento Organizacional (Gestión)</w:t>
            </w:r>
          </w:p>
        </w:tc>
      </w:tr>
      <w:tr>
        <w:tc>
          <w:tcPr>
            <w:tcW w:type="dxa" w:w="3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y cronograma GES209...</w:t>
            </w:r>
          </w:p>
        </w:tc>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con cronograma incrustado</w:t>
            </w:r>
          </w:p>
        </w:tc>
        <w:tc>
          <w:tcPr>
            <w:tcW w:type="dxa" w:w="25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Contabilidad de Gestión (Gestión)</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y cronograma 1GES06...</w:t>
            </w:r>
          </w:p>
        </w:tc>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con cronograma incrustado</w:t>
            </w:r>
          </w:p>
        </w:tc>
        <w:tc>
          <w:tcPr>
            <w:tcW w:type="dxa" w:w="25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Economía Aplicada a la Gestión 1 (Gestión)</w:t>
            </w:r>
          </w:p>
        </w:tc>
      </w:tr>
      <w:tr>
        <w:tc>
          <w:tcPr>
            <w:tcW w:type="dxa" w:w="32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GES2180704-2026-1-SILABO.PDF</w:t>
            </w:r>
          </w:p>
        </w:tc>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con cronograma incrustado</w:t>
            </w:r>
          </w:p>
        </w:tc>
        <w:tc>
          <w:tcPr>
            <w:tcW w:type="dxa" w:w="25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Gestión Social (Gestión)</w:t>
            </w:r>
          </w:p>
        </w:tc>
      </w:tr>
      <w:tr>
        <w:tc>
          <w:tcPr>
            <w:tcW w:type="dxa" w:w="32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Sílabo.PDF</w:t>
            </w:r>
          </w:p>
        </w:tc>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con cronograma incrustado</w:t>
            </w:r>
          </w:p>
        </w:tc>
        <w:tc>
          <w:tcPr>
            <w:tcW w:type="dxa" w:w="25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Métodos de Investigación Cualitativa (Gestión)</w:t>
            </w:r>
          </w:p>
        </w:tc>
      </w:tr>
    </w:tbl>
    <w:p>
      <w:pPr>
        <w:spacing w:after="240" w:before="80"/>
      </w:pPr>
      <w:r>
        <w:rPr>
          <w:rFonts w:ascii="Arial" w:cs="Arial" w:eastAsia="Arial" w:hAnsi="Arial"/>
          <w:i/>
          <w:iCs/>
          <w:sz w:val="18"/>
          <w:szCs w:val="18"/>
        </w:rPr>
        <w:t xml:space="preserve">Tabla U.1. Corpus de documentos PDF reales utilizado para el diseño y validación del módulo. Fuente: Elaboración propia.</w:t>
      </w:r>
    </w:p>
    <w:p>
      <w:pPr>
        <w:spacing w:after="200"/>
      </w:pPr>
      <w:r>
        <w:rPr>
          <w:rFonts w:ascii="Arial" w:cs="Arial" w:eastAsia="Arial" w:hAnsi="Arial"/>
          <w:sz w:val="22"/>
          <w:szCs w:val="22"/>
        </w:rPr>
        <w:t xml:space="preserve">Se intencionó la diversidad del corpus, incluyendo tanto un cronograma independiente como cinco sílabos de una facultad distinta a Ingeniería, precisamente para exponer al módulo a la mayor heterogeneidad de formato posible dentro del tiempo disponible para esta etapa del proyecto.</w:t>
      </w:r>
    </w:p>
    <w:p>
      <w:pPr>
        <w:pStyle w:val="Heading1"/>
      </w:pPr>
      <w:r>
        <w:t xml:space="preserve">4. Arquitectura del módulo: tres etapas</w:t>
      </w:r>
    </w:p>
    <w:p>
      <w:pPr>
        <w:spacing w:after="200"/>
      </w:pPr>
      <w:r>
        <w:rPr>
          <w:rFonts w:ascii="Arial" w:cs="Arial" w:eastAsia="Arial" w:hAnsi="Arial"/>
          <w:sz w:val="22"/>
          <w:szCs w:val="22"/>
        </w:rPr>
        <w:t xml:space="preserve">El módulo se diseñó en tres etapas independientes y verificables por separado, cada una implementada como un componente Python aislado antes de integrarse:</w:t>
      </w:r>
    </w:p>
    <w:p>
      <w:pPr>
        <w:pStyle w:val="Heading2"/>
      </w:pPr>
      <w:r>
        <w:t xml:space="preserve">4.1 Etapa 1 — Clasificación del archivo</w:t>
      </w:r>
    </w:p>
    <w:p>
      <w:pPr>
        <w:spacing w:after="200"/>
      </w:pPr>
      <w:r>
        <w:rPr>
          <w:rFonts w:ascii="Arial" w:cs="Arial" w:eastAsia="Arial" w:hAnsi="Arial"/>
          <w:sz w:val="22"/>
          <w:szCs w:val="22"/>
        </w:rPr>
        <w:t xml:space="preserve">Determina, a partir únicamente del nombre del archivo o enlace tal como aparece en PAIDEIA (sin necesidad de abrir el PDF), si se trata de un cronograma independiente o de un sílabo, de forma insensible a mayúsculas y tildes. Esta clasificación determina la prioridad de fuente: si existe un cronograma independiente para un curso, se usa directamente; si solo existe un sílabo, se abre y se evalúa si contiene una tabla de cronograma real en su interior.</w:t>
      </w:r>
    </w:p>
    <w:p>
      <w:pPr>
        <w:pStyle w:val="Heading2"/>
      </w:pPr>
      <w:r>
        <w:t xml:space="preserve">4.2 Etapa 2 — Detección y extracción de la tabla de cronograma</w:t>
      </w:r>
    </w:p>
    <w:p>
      <w:pPr>
        <w:spacing w:after="200"/>
      </w:pPr>
      <w:r>
        <w:rPr>
          <w:rFonts w:ascii="Arial" w:cs="Arial" w:eastAsia="Arial" w:hAnsi="Arial"/>
          <w:sz w:val="22"/>
          <w:szCs w:val="22"/>
        </w:rPr>
        <w:t xml:space="preserve">Dado un PDF (cronograma o sílabo), localiza la tabla que contiene el cronograma real por semanas, distinguiéndola de las demás tablas presentes en el documento (información general del curso, sistema de evaluación, competencias, etc.), y la reconstruye completa aun cuando esté repartida entre varias páginas del PDF.</w:t>
      </w:r>
    </w:p>
    <w:p>
      <w:pPr>
        <w:pStyle w:val="Heading2"/>
      </w:pPr>
      <w:r>
        <w:t xml:space="preserve">4.3 Etapa 3 — Extracción de actividades evaluables</w:t>
      </w:r>
    </w:p>
    <w:p>
      <w:pPr>
        <w:spacing w:after="200"/>
      </w:pPr>
      <w:r>
        <w:rPr>
          <w:rFonts w:ascii="Arial" w:cs="Arial" w:eastAsia="Arial" w:hAnsi="Arial"/>
          <w:sz w:val="22"/>
          <w:szCs w:val="22"/>
        </w:rPr>
        <w:t xml:space="preserve">A partir de la tabla de cronograma ya reconstruida, identifica qué filas corresponden a una evaluación o entregable real (no a contenido temático de la sesión), y extrae su descripción y, si el documento la especifica explícitamente, su fecha calendario.</w:t>
      </w:r>
    </w:p>
    <w:p>
      <w:pPr>
        <w:pStyle w:val="Heading1"/>
      </w:pPr>
      <w:r>
        <w:t xml:space="preserve">5. Proceso iterativo y hallazgos por etapa</w:t>
      </w:r>
    </w:p>
    <w:p>
      <w:pPr>
        <w:spacing w:after="200"/>
      </w:pPr>
      <w:r>
        <w:rPr>
          <w:rFonts w:ascii="Arial" w:cs="Arial" w:eastAsia="Arial" w:hAnsi="Arial"/>
          <w:sz w:val="22"/>
          <w:szCs w:val="22"/>
        </w:rPr>
        <w:t xml:space="preserve">A continuación se documentan los obstáculos reales encontrados al probar cada etapa contra el corpus de la Tabla U.1, y la corrección aplicada en cada caso. Se incluyen porque cada uno refleja una decisión de diseño concreta, no una elección arbitraria.</w:t>
      </w:r>
    </w:p>
    <w:p>
      <w:pPr>
        <w:pStyle w:val="Heading2"/>
      </w:pPr>
      <w:r>
        <w:t xml:space="preserve">5.1 Etapa 2 — Tablas repartidas entre páginas</w:t>
      </w:r>
    </w:p>
    <w:p>
      <w:pPr>
        <w:spacing w:after="200"/>
      </w:pPr>
      <w:r>
        <w:rPr>
          <w:rFonts w:ascii="Arial" w:cs="Arial" w:eastAsia="Arial" w:hAnsi="Arial"/>
          <w:sz w:val="22"/>
          <w:szCs w:val="22"/>
        </w:rPr>
        <w:t xml:space="preserve">La primera versión de la detección de tabla de cronograma solo identificaba la tabla en la página donde comenzaba, sin considerar que la mayoría de los sílabos reales reparten el cronograma en 2 o 3 páginas consecutivas. Al probar contra el corpus completo, se encontraron tres variantes distintas de este problema:</w:t>
      </w:r>
    </w:p>
    <w:p>
      <w:pPr>
        <w:pStyle w:val="ListParagraph"/>
        <w:numPr>
          <w:ilvl w:val="0"/>
          <w:numId w:val="2"/>
        </w:numPr>
        <w:spacing w:after="120"/>
      </w:pPr>
      <w:r>
        <w:rPr>
          <w:rFonts w:ascii="Arial" w:cs="Arial" w:eastAsia="Arial" w:hAnsi="Arial"/>
          <w:sz w:val="22"/>
          <w:szCs w:val="22"/>
        </w:rPr>
        <w:t xml:space="preserve">Continuación silenciosa: la tabla continúa en la página siguiente sin repetir el encabezado de columnas (observado en 4 de los 6 documentos).</w:t>
      </w:r>
    </w:p>
    <w:p>
      <w:pPr>
        <w:pStyle w:val="ListParagraph"/>
        <w:numPr>
          <w:ilvl w:val="0"/>
          <w:numId w:val="2"/>
        </w:numPr>
        <w:spacing w:after="120"/>
      </w:pPr>
      <w:r>
        <w:rPr>
          <w:rFonts w:ascii="Arial" w:cs="Arial" w:eastAsia="Arial" w:hAnsi="Arial"/>
          <w:sz w:val="22"/>
          <w:szCs w:val="22"/>
        </w:rPr>
        <w:t xml:space="preserve">Encabezado repetido: la tabla repite exactamente el mismo encabezado de columnas en cada página (observado en Sílabo.PDF, Métodos de Investigación Cualitativa).</w:t>
      </w:r>
    </w:p>
    <w:p>
      <w:pPr>
        <w:pStyle w:val="ListParagraph"/>
        <w:numPr>
          <w:ilvl w:val="0"/>
          <w:numId w:val="2"/>
        </w:numPr>
        <w:spacing w:after="120"/>
      </w:pPr>
      <w:r>
        <w:rPr>
          <w:rFonts w:ascii="Arial" w:cs="Arial" w:eastAsia="Arial" w:hAnsi="Arial"/>
          <w:sz w:val="22"/>
          <w:szCs w:val="22"/>
        </w:rPr>
        <w:t xml:space="preserve">Columnas con conteo variable: el número de columnas detectadas por página varía levemente (±1) entre páginas del mismo documento, debido a cómo pdfplumber interpreta columnas con celdas vacías (observado en el sílabo de Economía Aplicada a la Gestión).</w:t>
      </w:r>
    </w:p>
    <w:p>
      <w:pPr>
        <w:spacing w:after="200"/>
      </w:pPr>
      <w:r>
        <w:rPr>
          <w:rFonts w:ascii="Arial" w:cs="Arial" w:eastAsia="Arial" w:hAnsi="Arial"/>
          <w:sz w:val="22"/>
          <w:szCs w:val="22"/>
        </w:rPr>
        <w:t xml:space="preserve">La solución adoptada fue una función de unión que reconoce las tres variantes, normaliza el ancho de cada fila al de la tabla original, y se detiene una vez alcanzada la semana 16 (la última semana típica de un ciclo regular en PUCP), evitando así anexar por error tablas no relacionadas que aparecen más adelante en el documento, como los formularios de declaración jurada presentes al final de algunos sílabos.</w:t>
      </w:r>
    </w:p>
    <w:p>
      <w:pPr>
        <w:pStyle w:val="Heading2"/>
      </w:pPr>
      <w:r>
        <w:t xml:space="preserve">5.2 Etapa 3 — Distinción entre contenido temático y evaluación real</w:t>
      </w:r>
    </w:p>
    <w:p>
      <w:pPr>
        <w:spacing w:after="200"/>
      </w:pPr>
      <w:r>
        <w:rPr>
          <w:rFonts w:ascii="Arial" w:cs="Arial" w:eastAsia="Arial" w:hAnsi="Arial"/>
          <w:sz w:val="22"/>
          <w:szCs w:val="22"/>
        </w:rPr>
        <w:t xml:space="preserve">El obstáculo más significativo de todo el proceso fue distinguir, dentro de cada fila del cronograma, qué texto corresponde a una evaluación real (con valor para el estudiante, potencialmente con fecha) y qué texto corresponde al contenido temático de la sesión (sin valor como actividad agendable). Se probaron tres estrategias sucesivas:</w:t>
      </w:r>
    </w:p>
    <w:p>
      <w:pPr>
        <w:pStyle w:val="ListParagraph"/>
        <w:numPr>
          <w:ilvl w:val="0"/>
          <w:numId w:val="3"/>
        </w:numPr>
        <w:spacing w:after="160"/>
      </w:pPr>
      <w:r>
        <w:rPr>
          <w:rFonts w:ascii="Arial" w:cs="Arial" w:eastAsia="Arial" w:hAnsi="Arial"/>
          <w:sz w:val="22"/>
          <w:szCs w:val="22"/>
        </w:rPr>
        <w:t xml:space="preserve">Primera versión: búsqueda de palabras clave de evaluación (“examen”, “tarea”, “entrega”, etc.) sobre el texto completo de cada fila. Resultado: exceso de falsos positivos, ya que palabras como “exposición” o “presentación” aparecen con frecuencia en la descripción del contenido temático normal de una sesión, no solo en evaluaciones reales.</w:t>
      </w:r>
    </w:p>
    <w:p>
      <w:pPr>
        <w:pStyle w:val="ListParagraph"/>
        <w:numPr>
          <w:ilvl w:val="0"/>
          <w:numId w:val="3"/>
        </w:numPr>
        <w:spacing w:after="160"/>
      </w:pPr>
      <w:r>
        <w:rPr>
          <w:rFonts w:ascii="Arial" w:cs="Arial" w:eastAsia="Arial" w:hAnsi="Arial"/>
          <w:sz w:val="22"/>
          <w:szCs w:val="22"/>
        </w:rPr>
        <w:t xml:space="preserve">Segunda versión: identificación de la columna específica de “Actividad de evaluación” o “Entregables” por su encabezado, restringiendo la búsqueda solo a esa columna. Resultado: mejora notable, pero aún insuficiente en dos casos: (a) sílabos donde esa columna mezcla, en líneas distintas dentro de la misma celda, tanto frases rutinarias de participación como evaluaciones puntuales reales; y (b) sílabos donde la evaluación se referencia mediante abreviaturas cortas (“PD1”, “PC2”, “EP3”) no capturadas por las palabras clave de texto libre.</w:t>
      </w:r>
    </w:p>
    <w:p>
      <w:pPr>
        <w:pStyle w:val="ListParagraph"/>
        <w:numPr>
          <w:ilvl w:val="0"/>
          <w:numId w:val="3"/>
        </w:numPr>
        <w:spacing w:after="160"/>
      </w:pPr>
      <w:r>
        <w:rPr>
          <w:rFonts w:ascii="Arial" w:cs="Arial" w:eastAsia="Arial" w:hAnsi="Arial"/>
          <w:sz w:val="22"/>
          <w:szCs w:val="22"/>
        </w:rPr>
        <w:t xml:space="preserve">Versión final: filtrado línea por línea dentro de la celda de evaluación identificada, combinando palabras clave de texto libre con un patrón de abreviaturas numeradas comunes en cronogramas de PUCP (PD, PC, EP, TH, TA, TP, EZ, EF, EX, E, seguidas de un número). Como mecanismo de respaldo —usado únicamente cuando la columna de evaluación no aportó ningún resultado en todo el documento—, se mantiene la búsqueda en la fila completa, evitando así mezclar ambas estrategias fila por fila, lo cual había demostrado reintroducir contenido temático como falso positivo.</w:t>
      </w:r>
    </w:p>
    <w:p>
      <w:pPr>
        <w:spacing w:after="200"/>
      </w:pPr>
      <w:r>
        <w:rPr>
          <w:rFonts w:ascii="Arial" w:cs="Arial" w:eastAsia="Arial" w:hAnsi="Arial"/>
          <w:sz w:val="22"/>
          <w:szCs w:val="22"/>
        </w:rPr>
        <w:t xml:space="preserve">Un hallazgo adicional de esta etapa fue la necesidad de descartar descripciones idénticas repetidas en tres o más semanas distintas del mismo curso (por ejemplo, “Evaluación permanente 1 (10%)” apareciendo igual en cada semana): estas representan una rúbrica de evaluación continua a lo largo del periodo, no un entregable puntual agendable en una fecha específica, y se descartan como tales.</w:t>
      </w:r>
    </w:p>
    <w:p>
      <w:pPr>
        <w:pStyle w:val="Heading2"/>
      </w:pPr>
      <w:r>
        <w:t xml:space="preserve">5.3 Manejo de fechas: decisión de no inferir fechas no explícitas</w:t>
      </w:r>
    </w:p>
    <w:p>
      <w:pPr>
        <w:spacing w:after="200"/>
      </w:pPr>
      <w:r>
        <w:rPr>
          <w:rFonts w:ascii="Arial" w:cs="Arial" w:eastAsia="Arial" w:hAnsi="Arial"/>
          <w:sz w:val="22"/>
          <w:szCs w:val="22"/>
        </w:rPr>
        <w:t xml:space="preserve">Se evaluó la posibilidad de calcular la fecha de una actividad a partir únicamente de su número de semana, sumando semanas a la fecha de inicio del ciclo académico. Esta alternativa se descartó deliberadamente: la fecha exacta de inicio de clases puede variar de un año a otro, y el costo de una fecha calculada incorrectamente en el calendario del estudiante —por ejemplo, agendar un examen en la fecha equivocada— se consideró mayor al beneficio de completar automáticamente un dato no explícito en la fuente.</w:t>
      </w:r>
    </w:p>
    <w:p>
      <w:pPr>
        <w:spacing w:after="200"/>
      </w:pPr>
      <w:r>
        <w:rPr>
          <w:rFonts w:ascii="Arial" w:cs="Arial" w:eastAsia="Arial" w:hAnsi="Arial"/>
          <w:sz w:val="22"/>
          <w:szCs w:val="22"/>
        </w:rPr>
        <w:t xml:space="preserve">En consecuencia, el módulo solo asigna fecha a una actividad cuando el propio documento la especifica de forma explícita, en alguno de los formatos siguientes:</w:t>
      </w:r>
    </w:p>
    <w:p>
      <w:pPr>
        <w:pStyle w:val="ListParagraph"/>
        <w:numPr>
          <w:ilvl w:val="0"/>
          <w:numId w:val="2"/>
        </w:numPr>
        <w:spacing w:after="120"/>
      </w:pPr>
      <w:r>
        <w:rPr>
          <w:rFonts w:ascii="Arial" w:cs="Arial" w:eastAsia="Arial" w:hAnsi="Arial"/>
          <w:sz w:val="22"/>
          <w:szCs w:val="22"/>
        </w:rPr>
        <w:t xml:space="preserve">Fecha completa en español: “4 de junio de 2026”, con o sin día de la semana antepuesto.</w:t>
      </w:r>
    </w:p>
    <w:p>
      <w:pPr>
        <w:pStyle w:val="ListParagraph"/>
        <w:numPr>
          <w:ilvl w:val="0"/>
          <w:numId w:val="2"/>
        </w:numPr>
        <w:spacing w:after="120"/>
      </w:pPr>
      <w:r>
        <w:rPr>
          <w:rFonts w:ascii="Arial" w:cs="Arial" w:eastAsia="Arial" w:hAnsi="Arial"/>
          <w:sz w:val="22"/>
          <w:szCs w:val="22"/>
        </w:rPr>
        <w:t xml:space="preserve">Fecha corta sin año: “23-Mar”, “18-Abr” (el año se completa con el año del semestre que se está sincronizando, ya conocido por el sistema, nunca inferido).</w:t>
      </w:r>
    </w:p>
    <w:p>
      <w:pPr>
        <w:spacing w:after="200"/>
      </w:pPr>
      <w:r>
        <w:rPr>
          <w:rFonts w:ascii="Arial" w:cs="Arial" w:eastAsia="Arial" w:hAnsi="Arial"/>
          <w:sz w:val="22"/>
          <w:szCs w:val="22"/>
        </w:rPr>
        <w:t xml:space="preserve">Cuando ninguno de estos formatos está presente, la actividad se reporta igualmente —con su descripción y número de semana— pero sin fecha, como un hallazgo para que el propio estudiante la revise y, de considerarlo necesario, la agregue manualmente a su calendario.</w:t>
      </w:r>
    </w:p>
    <w:p>
      <w:pPr>
        <w:pStyle w:val="Heading1"/>
      </w:pPr>
      <w:r>
        <w:t xml:space="preserve">6. Resultado de la validación final contra el corpus completo</w:t>
      </w:r>
    </w:p>
    <w:p>
      <w:pPr>
        <w:spacing w:after="200"/>
      </w:pPr>
      <w:r>
        <w:rPr>
          <w:rFonts w:ascii="Arial" w:cs="Arial" w:eastAsia="Arial" w:hAnsi="Arial"/>
          <w:sz w:val="22"/>
          <w:szCs w:val="22"/>
        </w:rPr>
        <w:t xml:space="preserve">La Tabla U.2 resume el resultado de ejecutar las tres etapas, ya corregidas, contra el corpus completo de 6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360"/>
      </w:tblGrid>
      <w:tr>
        <w:trPr>
          <w:tblHeader/>
        </w:trPr>
        <w:tc>
          <w:tcPr>
            <w:tcW w:type="dxa" w:w="36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Documento</w:t>
            </w:r>
          </w:p>
        </w:tc>
        <w:tc>
          <w:tcPr>
            <w:tcW w:type="dxa" w:w="340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Actividades detectadas</w:t>
            </w:r>
          </w:p>
        </w:tc>
        <w:tc>
          <w:tcPr>
            <w:tcW w:type="dxa" w:w="2360"/>
            <w:tcBorders>
              <w:top w:val="single" w:color="999999" w:sz="4"/>
              <w:left w:val="single" w:color="999999" w:sz="4"/>
              <w:bottom w:val="single" w:color="999999" w:sz="4"/>
              <w:right w:val="single" w:color="999999" w:sz="4"/>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 fecha explícita</w:t>
            </w:r>
          </w:p>
        </w:tc>
      </w:tr>
      <w:tr>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2026-1_1INF46_Cronograma.pdf</w:t>
            </w:r>
          </w:p>
        </w:tc>
        <w:tc>
          <w:tcPr>
            <w:tcW w:type="dxa" w:w="3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3 (E1, E2, E3)</w:t>
            </w:r>
          </w:p>
        </w:tc>
        <w:tc>
          <w:tcPr>
            <w:tcW w:type="dxa" w:w="2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center"/>
            </w:pPr>
            <w:r>
              <w:rPr>
                <w:rFonts w:ascii="Arial" w:cs="Arial" w:eastAsia="Arial" w:hAnsi="Arial"/>
                <w:sz w:val="18"/>
                <w:szCs w:val="18"/>
              </w:rPr>
              <w:t xml:space="preserve">0 de 3</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2026-1_Silabo_del_curso.pdf</w:t>
            </w:r>
          </w:p>
        </w:tc>
        <w:tc>
          <w:tcPr>
            <w:tcW w:type="dxa" w:w="34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1 (Tarea Académica 1)</w:t>
            </w:r>
          </w:p>
        </w:tc>
        <w:tc>
          <w:tcPr>
            <w:tcW w:type="dxa" w:w="2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 de 1</w:t>
            </w:r>
          </w:p>
        </w:tc>
      </w:tr>
      <w:tr>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y cronograma GES209...</w:t>
            </w:r>
          </w:p>
        </w:tc>
        <w:tc>
          <w:tcPr>
            <w:tcW w:type="dxa" w:w="3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7 (incluye Examen Parcial)</w:t>
            </w:r>
          </w:p>
        </w:tc>
        <w:tc>
          <w:tcPr>
            <w:tcW w:type="dxa" w:w="2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center"/>
            </w:pPr>
            <w:r>
              <w:rPr>
                <w:rFonts w:ascii="Arial" w:cs="Arial" w:eastAsia="Arial" w:hAnsi="Arial"/>
                <w:sz w:val="18"/>
                <w:szCs w:val="18"/>
              </w:rPr>
              <w:t xml:space="preserve">7 de 7</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 y cronograma 1GES06...</w:t>
            </w:r>
          </w:p>
        </w:tc>
        <w:tc>
          <w:tcPr>
            <w:tcW w:type="dxa" w:w="34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9 (PD1–PD3, PC1–PC3, exámenes)</w:t>
            </w:r>
          </w:p>
        </w:tc>
        <w:tc>
          <w:tcPr>
            <w:tcW w:type="dxa" w:w="2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 de 9</w:t>
            </w:r>
          </w:p>
        </w:tc>
      </w:tr>
      <w:tr>
        <w:tc>
          <w:tcPr>
            <w:tcW w:type="dxa" w:w="36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GES2180704-2026-1-SILABO.PDF</w:t>
            </w:r>
          </w:p>
        </w:tc>
        <w:tc>
          <w:tcPr>
            <w:tcW w:type="dxa" w:w="340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left"/>
            </w:pPr>
            <w:r>
              <w:rPr>
                <w:rFonts w:ascii="Arial" w:cs="Arial" w:eastAsia="Arial" w:hAnsi="Arial"/>
                <w:sz w:val="18"/>
                <w:szCs w:val="18"/>
              </w:rPr>
              <w:t xml:space="preserve">5 (Quiz y 3 podcasts evaluados)</w:t>
            </w:r>
          </w:p>
        </w:tc>
        <w:tc>
          <w:tcPr>
            <w:tcW w:type="dxa" w:w="2360"/>
            <w:tcBorders>
              <w:top w:val="single" w:color="999999" w:sz="4"/>
              <w:left w:val="single" w:color="999999" w:sz="4"/>
              <w:bottom w:val="single" w:color="999999" w:sz="4"/>
              <w:right w:val="single" w:color="999999" w:sz="4"/>
            </w:tcBorders>
            <w:shd w:fill="EBF4FB" w:val="clear"/>
            <w:tcMar>
              <w:top w:type="dxa" w:w="60"/>
              <w:left w:type="dxa" w:w="120"/>
              <w:bottom w:type="dxa" w:w="60"/>
              <w:right w:type="dxa" w:w="120"/>
            </w:tcMar>
            <w:vAlign w:val="center"/>
          </w:tcPr>
          <w:p>
            <w:pPr>
              <w:jc w:val="center"/>
            </w:pPr>
            <w:r>
              <w:rPr>
                <w:rFonts w:ascii="Arial" w:cs="Arial" w:eastAsia="Arial" w:hAnsi="Arial"/>
                <w:sz w:val="18"/>
                <w:szCs w:val="18"/>
              </w:rPr>
              <w:t xml:space="preserve">0 de 5</w:t>
            </w:r>
          </w:p>
        </w:tc>
      </w:tr>
      <w:tr>
        <w:tc>
          <w:tcPr>
            <w:tcW w:type="dxa" w:w="36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Sílabo.PDF</w:t>
            </w:r>
          </w:p>
        </w:tc>
        <w:tc>
          <w:tcPr>
            <w:tcW w:type="dxa" w:w="340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left"/>
            </w:pPr>
            <w:r>
              <w:rPr>
                <w:rFonts w:ascii="Arial" w:cs="Arial" w:eastAsia="Arial" w:hAnsi="Arial"/>
                <w:sz w:val="18"/>
                <w:szCs w:val="18"/>
              </w:rPr>
              <w:t xml:space="preserve">3 (Trabajo parcial 1, 2 y final)</w:t>
            </w:r>
          </w:p>
        </w:tc>
        <w:tc>
          <w:tcPr>
            <w:tcW w:type="dxa" w:w="2360"/>
            <w:tcBorders>
              <w:top w:val="single" w:color="999999" w:sz="4"/>
              <w:left w:val="single" w:color="999999" w:sz="4"/>
              <w:bottom w:val="single" w:color="999999" w:sz="4"/>
              <w:right w:val="single" w:color="999999" w:sz="4"/>
            </w:tcBorders>
            <w:shd w:fill="FFFFFF" w:val="clear"/>
            <w:tcMar>
              <w:top w:type="dxa" w:w="60"/>
              <w:left w:type="dxa" w:w="120"/>
              <w:bottom w:type="dxa" w:w="60"/>
              <w:right w:type="dxa" w:w="120"/>
            </w:tcMar>
            <w:vAlign w:val="center"/>
          </w:tcPr>
          <w:p>
            <w:pPr>
              <w:jc w:val="center"/>
            </w:pPr>
            <w:r>
              <w:rPr>
                <w:rFonts w:ascii="Arial" w:cs="Arial" w:eastAsia="Arial" w:hAnsi="Arial"/>
                <w:sz w:val="18"/>
                <w:szCs w:val="18"/>
              </w:rPr>
              <w:t xml:space="preserve">0 de 3</w:t>
            </w:r>
          </w:p>
        </w:tc>
      </w:tr>
    </w:tbl>
    <w:p>
      <w:pPr>
        <w:spacing w:after="240" w:before="80"/>
      </w:pPr>
      <w:r>
        <w:rPr>
          <w:rFonts w:ascii="Arial" w:cs="Arial" w:eastAsia="Arial" w:hAnsi="Arial"/>
          <w:i/>
          <w:iCs/>
          <w:sz w:val="18"/>
          <w:szCs w:val="18"/>
        </w:rPr>
        <w:t xml:space="preserve">Tabla U.2. Resultado de la extracción de actividades contra el corpus completo, tras la corrección de las tres etapas. Fuente: Elaboración propia.</w:t>
      </w:r>
    </w:p>
    <w:p>
      <w:pPr>
        <w:spacing w:after="200"/>
      </w:pPr>
      <w:r>
        <w:rPr>
          <w:rFonts w:ascii="Arial" w:cs="Arial" w:eastAsia="Arial" w:hAnsi="Arial"/>
          <w:sz w:val="22"/>
          <w:szCs w:val="22"/>
        </w:rPr>
        <w:t xml:space="preserve">Las actividades detectadas en cada documento fueron verificadas manualmente contra el contenido real del PDF correspondiente, confirmando que corresponden efectivamente a evaluaciones o entregables reales del curso, sin omisiones evidentes ni inclusión de contenido temático no evaluable.</w:t>
      </w:r>
    </w:p>
    <w:p>
      <w:pPr>
        <w:pStyle w:val="Heading1"/>
      </w:pPr>
      <w:r>
        <w:t xml:space="preserve">7. Estado de integración al cierre de este documento</w:t>
      </w:r>
    </w:p>
    <w:p>
      <w:pPr>
        <w:spacing w:after="200"/>
      </w:pPr>
      <w:r>
        <w:rPr>
          <w:rFonts w:ascii="Arial" w:cs="Arial" w:eastAsia="Arial" w:hAnsi="Arial"/>
          <w:sz w:val="22"/>
          <w:szCs w:val="22"/>
        </w:rPr>
        <w:t xml:space="preserve">A la fecha de elaboración de este anexo, las tres etapas descritas se encuentran implementadas y validadas de forma aislada, mediante scripts de prueba ejecutados directamente contra el corpus de la Tabla U.1, sin intervención manual en la clasificación de resultados. La integración de este módulo al flujo principal del sistema —su conexión con el extractor de PAIDEIA para que se ejecute automáticamente durante cada sincronización, el almacenamiento de las actividades resultantes en la base de datos, y la presentación al estudiante de los hallazgos sin fecha explícita en la interfaz— se documentará como una actualización de este mismo anexo, o en un anexo posterior, una vez completada.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de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2026-06-28T21:42:53.561Z</dcterms:created>
  <dcterms:modified xsi:type="dcterms:W3CDTF">2026-06-28T21:42:53.572Z</dcterms:modified>
</cp:coreProperties>
</file>

<file path=docProps/custom.xml><?xml version="1.0" encoding="utf-8"?>
<Properties xmlns="http://schemas.openxmlformats.org/officeDocument/2006/custom-properties" xmlns:vt="http://schemas.openxmlformats.org/officeDocument/2006/docPropsVTypes"/>
</file>