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sz w:val="24"/>
          <w:szCs w:val="24"/>
        </w:rPr>
        <w:t xml:space="preserve">PONTIFICIA UNIVERSIDAD CATÓLICA DEL PERÚ</w:t>
      </w:r>
    </w:p>
    <w:p>
      <w:pPr>
        <w:spacing w:after="320"/>
        <w:jc w:val="center"/>
      </w:pPr>
      <w:r>
        <w:rPr>
          <w:rFonts w:ascii="Arial" w:cs="Arial" w:eastAsia="Arial" w:hAnsi="Arial"/>
          <w:sz w:val="20"/>
          <w:szCs w:val="20"/>
        </w:rPr>
        <w:t xml:space="preserve">Facultad de Ciencias e Ingeniería — Ingeniería Informática</w:t>
      </w:r>
    </w:p>
    <w:p>
      <w:pPr>
        <w:spacing w:after="80"/>
        <w:jc w:val="center"/>
      </w:pPr>
      <w:r>
        <w:rPr>
          <w:rFonts w:ascii="Arial" w:cs="Arial" w:eastAsia="Arial" w:hAnsi="Arial"/>
          <w:b/>
          <w:bCs/>
          <w:color w:val="1F4E79"/>
          <w:sz w:val="28"/>
          <w:szCs w:val="28"/>
        </w:rPr>
        <w:t xml:space="preserve">ANEXO Q</w:t>
      </w:r>
    </w:p>
    <w:p>
      <w:pPr>
        <w:spacing w:after="80"/>
        <w:jc w:val="center"/>
      </w:pPr>
      <w:r>
        <w:rPr>
          <w:rFonts w:ascii="Arial" w:cs="Arial" w:eastAsia="Arial" w:hAnsi="Arial"/>
          <w:b/>
          <w:bCs/>
          <w:sz w:val="26"/>
          <w:szCs w:val="26"/>
        </w:rPr>
        <w:t xml:space="preserve">Construcción del Software (R2.3)</w:t>
      </w:r>
    </w:p>
    <w:p>
      <w:pPr>
        <w:spacing w:after="400"/>
        <w:jc w:val="center"/>
      </w:pPr>
      <w:r>
        <w:rPr>
          <w:rFonts w:ascii="Arial" w:cs="Arial" w:eastAsia="Arial" w:hAnsi="Arial"/>
          <w:i/>
          <w:iCs/>
          <w:sz w:val="20"/>
          <w:szCs w:val="20"/>
        </w:rPr>
        <w:t xml:space="preserve">Sistema RPA Académico PUCP</w:t>
      </w:r>
    </w:p>
    <w:p>
      <w:pPr>
        <w:pStyle w:val="Heading1"/>
      </w:pPr>
      <w:r>
        <w:t xml:space="preserve">1. Introducción</w:t>
      </w:r>
    </w:p>
    <w:p>
      <w:pPr>
        <w:spacing w:after="200"/>
      </w:pPr>
      <w:r>
        <w:rPr>
          <w:rFonts w:ascii="Arial" w:cs="Arial" w:eastAsia="Arial" w:hAnsi="Arial"/>
          <w:sz w:val="22"/>
          <w:szCs w:val="22"/>
        </w:rPr>
        <w:t xml:space="preserve">Este documento constituye el resultado esperado R2.3 del Objetivo Específico 2 del proyecto de tesis “Desarrollo de un RPA para centralizar las actividades académicas de la comunidad universitaria PUCP en un único calendario”. Su propósito es documentar el proceso y el resultado de la construcción del software, traduciendo en código funcional las decisiones de diseño establecidas en R2.2a (modelo de base de datos), R2.2b (wireflows) y R2.2c (arquitectura de software).</w:t>
      </w:r>
    </w:p>
    <w:p>
      <w:pPr>
        <w:spacing w:after="200"/>
      </w:pPr>
      <w:r>
        <w:rPr>
          <w:rFonts w:ascii="Arial" w:cs="Arial" w:eastAsia="Arial" w:hAnsi="Arial"/>
          <w:sz w:val="22"/>
          <w:szCs w:val="22"/>
        </w:rPr>
        <w:t xml:space="preserve">La construcción siguió un modelo incremental: cada módulo del backend se implementó, ejecutó en el entorno local del tesista y validó de forma aislada antes de integrarse al flujo completo del sistema, conforme a la metodología de desarrollo asistido descrita en el Anexo P (Uso de Inteligencia Artificial Generativa).</w:t>
      </w:r>
    </w:p>
    <w:p>
      <w:pPr>
        <w:pStyle w:val="Heading1"/>
      </w:pPr>
      <w:r>
        <w:t xml:space="preserve">2. Alcance de la construcción al momento de este documento</w:t>
      </w:r>
    </w:p>
    <w:p>
      <w:pPr>
        <w:spacing w:after="200"/>
      </w:pPr>
      <w:r>
        <w:rPr>
          <w:rFonts w:ascii="Arial" w:cs="Arial" w:eastAsia="Arial" w:hAnsi="Arial"/>
          <w:sz w:val="22"/>
          <w:szCs w:val="22"/>
        </w:rPr>
        <w:t xml:space="preserve">El sistema cuenta con un MVP funcional que cubre el flujo completo de las 10 pantallas diseñadas en R2.2b (P1–P10): configuración de la sincronización, autenticación en Campus Virtual y PAIDEIA, extracción de actividades académicas desde ambas plataformas, confirmación del usuario, sincronización con Google Calendar y persistencia del historial en la base de datos diseñada en R2.2a. La extracción de actividades se complementa con la identificación real de cursos, horario y docente(s) desde Campus Virtual, y con una primera implementación funcional del componente de notificaciones correspondiente al Objetivo Específico 3 (R3.1/R3.2), descrita en el Anexo T.</w:t>
      </w:r>
    </w:p>
    <w:p>
      <w:pPr>
        <w:spacing w:after="200"/>
      </w:pPr>
      <w:r>
        <w:rPr>
          <w:rFonts w:ascii="Arial" w:cs="Arial" w:eastAsia="Arial" w:hAnsi="Arial"/>
          <w:sz w:val="22"/>
          <w:szCs w:val="22"/>
        </w:rPr>
        <w:t xml:space="preserve">No se incluye en el alcance actual el módulo de procesamiento automatizado de cronogramas en formato PDF: su motor de extracción se diseñó, implementó y validó de forma aislada, pero se desactivó deliberadamente en producción tras detectar resultados poco confiables frente a formatos de cronograma adicionales, según se detalla en la sección 4 de este anexo y en el Anexo U.</w:t>
      </w:r>
    </w:p>
    <w:p>
      <w:pPr>
        <w:pStyle w:val="Heading1"/>
      </w:pPr>
      <w:r>
        <w:t xml:space="preserve">3. Módulos construidos</w:t>
      </w:r>
    </w:p>
    <w:p>
      <w:pPr>
        <w:spacing w:after="200"/>
      </w:pPr>
      <w:r>
        <w:rPr>
          <w:rFonts w:ascii="Arial" w:cs="Arial" w:eastAsia="Arial" w:hAnsi="Arial"/>
          <w:sz w:val="22"/>
          <w:szCs w:val="22"/>
        </w:rPr>
        <w:t xml:space="preserve">La Tabla Q.1 detalla cada módulo construido, su ubicación en el repositorio, la responsabilidad que cumple y su estado de avance.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00"/>
        <w:gridCol w:w="3760"/>
        <w:gridCol w:w="1100"/>
      </w:tblGrid>
      <w:tr>
        <w:trPr>
          <w:tblHeader/>
        </w:trPr>
        <w:tc>
          <w:tcPr>
            <w:tcW w:type="dxa" w:w="2200"/>
            <w:tcBorders>
              <w:top w:val="single" w:color="999999" w:sz="4"/>
              <w:left w:val="single" w:color="999999" w:sz="4"/>
              <w:bottom w:val="single" w:color="999999" w:sz="4"/>
              <w:right w:val="single" w:color="999999" w:sz="4"/>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Módulo</w:t>
            </w:r>
          </w:p>
        </w:tc>
        <w:tc>
          <w:tcPr>
            <w:tcW w:type="dxa" w:w="2300"/>
            <w:tcBorders>
              <w:top w:val="single" w:color="999999" w:sz="4"/>
              <w:left w:val="single" w:color="999999" w:sz="4"/>
              <w:bottom w:val="single" w:color="999999" w:sz="4"/>
              <w:right w:val="single" w:color="999999" w:sz="4"/>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Ubicación</w:t>
            </w:r>
          </w:p>
        </w:tc>
        <w:tc>
          <w:tcPr>
            <w:tcW w:type="dxa" w:w="3760"/>
            <w:tcBorders>
              <w:top w:val="single" w:color="999999" w:sz="4"/>
              <w:left w:val="single" w:color="999999" w:sz="4"/>
              <w:bottom w:val="single" w:color="999999" w:sz="4"/>
              <w:right w:val="single" w:color="999999" w:sz="4"/>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Responsabilidad</w:t>
            </w:r>
          </w:p>
        </w:tc>
        <w:tc>
          <w:tcPr>
            <w:tcW w:type="dxa" w:w="1100"/>
            <w:tcBorders>
              <w:top w:val="single" w:color="999999" w:sz="4"/>
              <w:left w:val="single" w:color="999999" w:sz="4"/>
              <w:bottom w:val="single" w:color="999999" w:sz="4"/>
              <w:right w:val="single" w:color="999999" w:sz="4"/>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Estado</w:t>
            </w:r>
          </w:p>
        </w:tc>
      </w:tr>
      <w:tr>
        <w:tc>
          <w:tcPr>
            <w:tcW w:type="dxa" w:w="2200"/>
            <w:tcBorders>
              <w:top w:val="single" w:color="999999" w:sz="4"/>
              <w:left w:val="single" w:color="999999" w:sz="4"/>
              <w:bottom w:val="single" w:color="999999" w:sz="4"/>
              <w:right w:val="single" w:color="999999" w:sz="4"/>
            </w:tcBorders>
            <w:shd w:fill="EBF4FB" w:val="clear"/>
            <w:tcMar>
              <w:top w:type="dxa" w:w="60"/>
              <w:left w:type="dxa" w:w="120"/>
              <w:bottom w:type="dxa" w:w="60"/>
              <w:right w:type="dxa" w:w="120"/>
            </w:tcMar>
            <w:vAlign w:val="center"/>
          </w:tcPr>
          <w:p>
            <w:r>
              <w:rPr>
                <w:rFonts w:ascii="Arial" w:cs="Arial" w:eastAsia="Arial" w:hAnsi="Arial"/>
                <w:b w:val="false"/>
                <w:bCs w:val="false"/>
                <w:sz w:val="18"/>
                <w:szCs w:val="18"/>
              </w:rPr>
              <w:t xml:space="preserve">Orquestador RPA</w:t>
            </w:r>
          </w:p>
        </w:tc>
        <w:tc>
          <w:tcPr>
            <w:tcW w:type="dxa" w:w="2300"/>
            <w:tcBorders>
              <w:top w:val="single" w:color="999999" w:sz="4"/>
              <w:left w:val="single" w:color="999999" w:sz="4"/>
              <w:bottom w:val="single" w:color="999999" w:sz="4"/>
              <w:right w:val="single" w:color="999999" w:sz="4"/>
            </w:tcBorders>
            <w:shd w:fill="EBF4FB" w:val="clear"/>
            <w:tcMar>
              <w:top w:type="dxa" w:w="60"/>
              <w:left w:type="dxa" w:w="120"/>
              <w:bottom w:type="dxa" w:w="60"/>
              <w:right w:type="dxa" w:w="120"/>
            </w:tcMar>
            <w:vAlign w:val="center"/>
          </w:tcPr>
          <w:p>
            <w:r>
              <w:rPr>
                <w:rFonts w:ascii="Arial" w:cs="Arial" w:eastAsia="Arial" w:hAnsi="Arial"/>
                <w:b w:val="false"/>
                <w:bCs w:val="false"/>
                <w:sz w:val="18"/>
                <w:szCs w:val="18"/>
              </w:rPr>
              <w:t xml:space="preserve">backend/rpa/ejecutar.py</w:t>
            </w:r>
          </w:p>
        </w:tc>
        <w:tc>
          <w:tcPr>
            <w:tcW w:type="dxa" w:w="3760"/>
            <w:tcBorders>
              <w:top w:val="single" w:color="999999" w:sz="4"/>
              <w:left w:val="single" w:color="999999" w:sz="4"/>
              <w:bottom w:val="single" w:color="999999" w:sz="4"/>
              <w:right w:val="single" w:color="999999" w:sz="4"/>
            </w:tcBorders>
            <w:shd w:fill="EBF4FB" w:val="clear"/>
            <w:tcMar>
              <w:top w:type="dxa" w:w="60"/>
              <w:left w:type="dxa" w:w="120"/>
              <w:bottom w:type="dxa" w:w="60"/>
              <w:right w:type="dxa" w:w="120"/>
            </w:tcMar>
            <w:vAlign w:val="center"/>
          </w:tcPr>
          <w:p>
            <w:r>
              <w:rPr>
                <w:rFonts w:ascii="Arial" w:cs="Arial" w:eastAsia="Arial" w:hAnsi="Arial"/>
                <w:b w:val="false"/>
                <w:bCs w:val="false"/>
                <w:sz w:val="18"/>
                <w:szCs w:val="18"/>
              </w:rPr>
              <w:t xml:space="preserve">Coordina la secuencia Campus → PAIDEIA → confirmación → Google Calendar → persistencia.</w:t>
            </w:r>
          </w:p>
        </w:tc>
        <w:tc>
          <w:tcPr>
            <w:tcW w:type="dxa" w:w="1100"/>
            <w:tcBorders>
              <w:top w:val="single" w:color="999999" w:sz="4"/>
              <w:left w:val="single" w:color="999999" w:sz="4"/>
              <w:bottom w:val="single" w:color="999999" w:sz="4"/>
              <w:right w:val="single" w:color="999999" w:sz="4"/>
            </w:tcBorders>
            <w:shd w:fill="EBF4FB" w:val="clear"/>
            <w:tcMar>
              <w:top w:type="dxa" w:w="60"/>
              <w:left w:type="dxa" w:w="120"/>
              <w:bottom w:type="dxa" w:w="60"/>
              <w:right w:type="dxa" w:w="120"/>
            </w:tcMar>
            <w:vAlign w:val="center"/>
          </w:tcPr>
          <w:p>
            <w:r>
              <w:rPr>
                <w:rFonts w:ascii="Arial" w:cs="Arial" w:eastAsia="Arial" w:hAnsi="Arial"/>
                <w:b w:val="false"/>
                <w:bCs w:val="false"/>
                <w:sz w:val="18"/>
                <w:szCs w:val="18"/>
              </w:rPr>
              <w:t xml:space="preserve">Funcional</w:t>
            </w:r>
          </w:p>
        </w:tc>
      </w:tr>
      <w:tr>
        <w:tc>
          <w:tcPr>
            <w:tcW w:type="dxa" w:w="220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center"/>
          </w:tcPr>
          <w:p>
            <w:r>
              <w:rPr>
                <w:rFonts w:ascii="Arial" w:cs="Arial" w:eastAsia="Arial" w:hAnsi="Arial"/>
                <w:b w:val="false"/>
                <w:bCs w:val="false"/>
                <w:sz w:val="18"/>
                <w:szCs w:val="18"/>
              </w:rPr>
              <w:t xml:space="preserve">Extractor Campus Virtual</w:t>
            </w:r>
          </w:p>
        </w:tc>
        <w:tc>
          <w:tcPr>
            <w:tcW w:type="dxa" w:w="230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center"/>
          </w:tcPr>
          <w:p>
            <w:r>
              <w:rPr>
                <w:rFonts w:ascii="Arial" w:cs="Arial" w:eastAsia="Arial" w:hAnsi="Arial"/>
                <w:b w:val="false"/>
                <w:bCs w:val="false"/>
                <w:sz w:val="18"/>
                <w:szCs w:val="18"/>
              </w:rPr>
              <w:t xml:space="preserve">backend/campus/campus_extractor.py</w:t>
            </w:r>
          </w:p>
        </w:tc>
        <w:tc>
          <w:tcPr>
            <w:tcW w:type="dxa" w:w="376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center"/>
          </w:tcPr>
          <w:p>
            <w:r>
              <w:rPr>
                <w:rFonts w:ascii="Arial" w:cs="Arial" w:eastAsia="Arial" w:hAnsi="Arial"/>
                <w:b w:val="false"/>
                <w:bCs w:val="false"/>
                <w:sz w:val="18"/>
                <w:szCs w:val="18"/>
              </w:rPr>
              <w:t xml:space="preserve">Login, navegación al calendario y descarga/parseo de archivos .ics por mes del ciclo, sin reutilizar descargas de sincronizaciones anteriores.</w:t>
            </w:r>
          </w:p>
        </w:tc>
        <w:tc>
          <w:tcPr>
            <w:tcW w:type="dxa" w:w="110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center"/>
          </w:tcPr>
          <w:p>
            <w:r>
              <w:rPr>
                <w:rFonts w:ascii="Arial" w:cs="Arial" w:eastAsia="Arial" w:hAnsi="Arial"/>
                <w:b w:val="false"/>
                <w:bCs w:val="false"/>
                <w:sz w:val="18"/>
                <w:szCs w:val="18"/>
              </w:rPr>
              <w:t xml:space="preserve">Funcional</w:t>
            </w:r>
          </w:p>
        </w:tc>
      </w:tr>
      <w:tr>
        <w:tc>
          <w:tcPr>
            <w:tcW w:type="dxa" w:w="2200"/>
            <w:tcBorders>
              <w:top w:val="single" w:color="999999" w:sz="4"/>
              <w:left w:val="single" w:color="999999" w:sz="4"/>
              <w:bottom w:val="single" w:color="999999" w:sz="4"/>
              <w:right w:val="single" w:color="999999" w:sz="4"/>
            </w:tcBorders>
            <w:shd w:fill="EBF4FB" w:val="clear"/>
            <w:tcMar>
              <w:top w:type="dxa" w:w="60"/>
              <w:left w:type="dxa" w:w="120"/>
              <w:bottom w:type="dxa" w:w="60"/>
              <w:right w:type="dxa" w:w="120"/>
            </w:tcMar>
            <w:vAlign w:val="center"/>
          </w:tcPr>
          <w:p>
            <w:r>
              <w:rPr>
                <w:rFonts w:ascii="Arial" w:cs="Arial" w:eastAsia="Arial" w:hAnsi="Arial"/>
                <w:b w:val="false"/>
                <w:bCs w:val="false"/>
                <w:sz w:val="18"/>
                <w:szCs w:val="18"/>
              </w:rPr>
              <w:t xml:space="preserve">Extractor de cursos (Campus Virtual)</w:t>
            </w:r>
          </w:p>
        </w:tc>
        <w:tc>
          <w:tcPr>
            <w:tcW w:type="dxa" w:w="2300"/>
            <w:tcBorders>
              <w:top w:val="single" w:color="999999" w:sz="4"/>
              <w:left w:val="single" w:color="999999" w:sz="4"/>
              <w:bottom w:val="single" w:color="999999" w:sz="4"/>
              <w:right w:val="single" w:color="999999" w:sz="4"/>
            </w:tcBorders>
            <w:shd w:fill="EBF4FB" w:val="clear"/>
            <w:tcMar>
              <w:top w:type="dxa" w:w="60"/>
              <w:left w:type="dxa" w:w="120"/>
              <w:bottom w:type="dxa" w:w="60"/>
              <w:right w:type="dxa" w:w="120"/>
            </w:tcMar>
            <w:vAlign w:val="center"/>
          </w:tcPr>
          <w:p>
            <w:r>
              <w:rPr>
                <w:rFonts w:ascii="Arial" w:cs="Arial" w:eastAsia="Arial" w:hAnsi="Arial"/>
                <w:b w:val="false"/>
                <w:bCs w:val="false"/>
                <w:sz w:val="18"/>
                <w:szCs w:val="18"/>
              </w:rPr>
              <w:t xml:space="preserve">backend/campus/campus_cursos_extractor.py</w:t>
            </w:r>
          </w:p>
        </w:tc>
        <w:tc>
          <w:tcPr>
            <w:tcW w:type="dxa" w:w="3760"/>
            <w:tcBorders>
              <w:top w:val="single" w:color="999999" w:sz="4"/>
              <w:left w:val="single" w:color="999999" w:sz="4"/>
              <w:bottom w:val="single" w:color="999999" w:sz="4"/>
              <w:right w:val="single" w:color="999999" w:sz="4"/>
            </w:tcBorders>
            <w:shd w:fill="EBF4FB" w:val="clear"/>
            <w:tcMar>
              <w:top w:type="dxa" w:w="60"/>
              <w:left w:type="dxa" w:w="120"/>
              <w:bottom w:type="dxa" w:w="60"/>
              <w:right w:type="dxa" w:w="120"/>
            </w:tcMar>
            <w:vAlign w:val="center"/>
          </w:tcPr>
          <w:p>
            <w:r>
              <w:rPr>
                <w:rFonts w:ascii="Arial" w:cs="Arial" w:eastAsia="Arial" w:hAnsi="Arial"/>
                <w:b w:val="false"/>
                <w:bCs w:val="false"/>
                <w:sz w:val="18"/>
                <w:szCs w:val="18"/>
              </w:rPr>
              <w:t xml:space="preserve">Identificación de código de curso, créditos, horario y docente(s) reales desde la sección “Cursos y actividades”.</w:t>
            </w:r>
          </w:p>
        </w:tc>
        <w:tc>
          <w:tcPr>
            <w:tcW w:type="dxa" w:w="1100"/>
            <w:tcBorders>
              <w:top w:val="single" w:color="999999" w:sz="4"/>
              <w:left w:val="single" w:color="999999" w:sz="4"/>
              <w:bottom w:val="single" w:color="999999" w:sz="4"/>
              <w:right w:val="single" w:color="999999" w:sz="4"/>
            </w:tcBorders>
            <w:shd w:fill="EBF4FB" w:val="clear"/>
            <w:tcMar>
              <w:top w:type="dxa" w:w="60"/>
              <w:left w:type="dxa" w:w="120"/>
              <w:bottom w:type="dxa" w:w="60"/>
              <w:right w:type="dxa" w:w="120"/>
            </w:tcMar>
            <w:vAlign w:val="center"/>
          </w:tcPr>
          <w:p>
            <w:r>
              <w:rPr>
                <w:rFonts w:ascii="Arial" w:cs="Arial" w:eastAsia="Arial" w:hAnsi="Arial"/>
                <w:b w:val="false"/>
                <w:bCs w:val="false"/>
                <w:sz w:val="18"/>
                <w:szCs w:val="18"/>
              </w:rPr>
              <w:t xml:space="preserve">Funcional</w:t>
            </w:r>
          </w:p>
        </w:tc>
      </w:tr>
      <w:tr>
        <w:tc>
          <w:tcPr>
            <w:tcW w:type="dxa" w:w="220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center"/>
          </w:tcPr>
          <w:p>
            <w:r>
              <w:rPr>
                <w:rFonts w:ascii="Arial" w:cs="Arial" w:eastAsia="Arial" w:hAnsi="Arial"/>
                <w:b w:val="false"/>
                <w:bCs w:val="false"/>
                <w:sz w:val="18"/>
                <w:szCs w:val="18"/>
              </w:rPr>
              <w:t xml:space="preserve">Extractor PAIDEIA</w:t>
            </w:r>
          </w:p>
        </w:tc>
        <w:tc>
          <w:tcPr>
            <w:tcW w:type="dxa" w:w="230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center"/>
          </w:tcPr>
          <w:p>
            <w:r>
              <w:rPr>
                <w:rFonts w:ascii="Arial" w:cs="Arial" w:eastAsia="Arial" w:hAnsi="Arial"/>
                <w:b w:val="false"/>
                <w:bCs w:val="false"/>
                <w:sz w:val="18"/>
                <w:szCs w:val="18"/>
              </w:rPr>
              <w:t xml:space="preserve">backend/paideia/paideia_extractor.py</w:t>
            </w:r>
          </w:p>
        </w:tc>
        <w:tc>
          <w:tcPr>
            <w:tcW w:type="dxa" w:w="376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center"/>
          </w:tcPr>
          <w:p>
            <w:r>
              <w:rPr>
                <w:rFonts w:ascii="Arial" w:cs="Arial" w:eastAsia="Arial" w:hAnsi="Arial"/>
                <w:b w:val="false"/>
                <w:bCs w:val="false"/>
                <w:sz w:val="18"/>
                <w:szCs w:val="18"/>
              </w:rPr>
              <w:t xml:space="preserve">Identificación de cursos matriculados, recorrido de secciones, extracción de entregas tipo “assign” y del código/horario real del curso desde el título de cada página.</w:t>
            </w:r>
          </w:p>
        </w:tc>
        <w:tc>
          <w:tcPr>
            <w:tcW w:type="dxa" w:w="110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center"/>
          </w:tcPr>
          <w:p>
            <w:r>
              <w:rPr>
                <w:rFonts w:ascii="Arial" w:cs="Arial" w:eastAsia="Arial" w:hAnsi="Arial"/>
                <w:b w:val="false"/>
                <w:bCs w:val="false"/>
                <w:sz w:val="18"/>
                <w:szCs w:val="18"/>
              </w:rPr>
              <w:t xml:space="preserve">Funcional</w:t>
            </w:r>
          </w:p>
        </w:tc>
      </w:tr>
      <w:tr>
        <w:tc>
          <w:tcPr>
            <w:tcW w:type="dxa" w:w="2200"/>
            <w:tcBorders>
              <w:top w:val="single" w:color="999999" w:sz="4"/>
              <w:left w:val="single" w:color="999999" w:sz="4"/>
              <w:bottom w:val="single" w:color="999999" w:sz="4"/>
              <w:right w:val="single" w:color="999999" w:sz="4"/>
            </w:tcBorders>
            <w:shd w:fill="EBF4FB" w:val="clear"/>
            <w:tcMar>
              <w:top w:type="dxa" w:w="60"/>
              <w:left w:type="dxa" w:w="120"/>
              <w:bottom w:type="dxa" w:w="60"/>
              <w:right w:type="dxa" w:w="120"/>
            </w:tcMar>
            <w:vAlign w:val="center"/>
          </w:tcPr>
          <w:p>
            <w:r>
              <w:rPr>
                <w:rFonts w:ascii="Arial" w:cs="Arial" w:eastAsia="Arial" w:hAnsi="Arial"/>
                <w:b w:val="false"/>
                <w:bCs w:val="false"/>
                <w:sz w:val="18"/>
                <w:szCs w:val="18"/>
              </w:rPr>
              <w:t xml:space="preserve">Integración Google Calendar</w:t>
            </w:r>
          </w:p>
        </w:tc>
        <w:tc>
          <w:tcPr>
            <w:tcW w:type="dxa" w:w="2300"/>
            <w:tcBorders>
              <w:top w:val="single" w:color="999999" w:sz="4"/>
              <w:left w:val="single" w:color="999999" w:sz="4"/>
              <w:bottom w:val="single" w:color="999999" w:sz="4"/>
              <w:right w:val="single" w:color="999999" w:sz="4"/>
            </w:tcBorders>
            <w:shd w:fill="EBF4FB" w:val="clear"/>
            <w:tcMar>
              <w:top w:type="dxa" w:w="60"/>
              <w:left w:type="dxa" w:w="120"/>
              <w:bottom w:type="dxa" w:w="60"/>
              <w:right w:type="dxa" w:w="120"/>
            </w:tcMar>
            <w:vAlign w:val="center"/>
          </w:tcPr>
          <w:p>
            <w:r>
              <w:rPr>
                <w:rFonts w:ascii="Arial" w:cs="Arial" w:eastAsia="Arial" w:hAnsi="Arial"/>
                <w:b w:val="false"/>
                <w:bCs w:val="false"/>
                <w:sz w:val="18"/>
                <w:szCs w:val="18"/>
              </w:rPr>
              <w:t xml:space="preserve">backend/google_calendar/</w:t>
            </w:r>
          </w:p>
        </w:tc>
        <w:tc>
          <w:tcPr>
            <w:tcW w:type="dxa" w:w="3760"/>
            <w:tcBorders>
              <w:top w:val="single" w:color="999999" w:sz="4"/>
              <w:left w:val="single" w:color="999999" w:sz="4"/>
              <w:bottom w:val="single" w:color="999999" w:sz="4"/>
              <w:right w:val="single" w:color="999999" w:sz="4"/>
            </w:tcBorders>
            <w:shd w:fill="EBF4FB" w:val="clear"/>
            <w:tcMar>
              <w:top w:type="dxa" w:w="60"/>
              <w:left w:type="dxa" w:w="120"/>
              <w:bottom w:type="dxa" w:w="60"/>
              <w:right w:type="dxa" w:w="120"/>
            </w:tcMar>
            <w:vAlign w:val="center"/>
          </w:tcPr>
          <w:p>
            <w:r>
              <w:rPr>
                <w:rFonts w:ascii="Arial" w:cs="Arial" w:eastAsia="Arial" w:hAnsi="Arial"/>
                <w:b w:val="false"/>
                <w:bCs w:val="false"/>
                <w:sz w:val="18"/>
                <w:szCs w:val="18"/>
              </w:rPr>
              <w:t xml:space="preserve">Autenticación OAuth 2.0, creación de calendario dedicado, resolución de conflictos, inserción de eventos y recordatorio configurable (R3.2).</w:t>
            </w:r>
          </w:p>
        </w:tc>
        <w:tc>
          <w:tcPr>
            <w:tcW w:type="dxa" w:w="1100"/>
            <w:tcBorders>
              <w:top w:val="single" w:color="999999" w:sz="4"/>
              <w:left w:val="single" w:color="999999" w:sz="4"/>
              <w:bottom w:val="single" w:color="999999" w:sz="4"/>
              <w:right w:val="single" w:color="999999" w:sz="4"/>
            </w:tcBorders>
            <w:shd w:fill="EBF4FB" w:val="clear"/>
            <w:tcMar>
              <w:top w:type="dxa" w:w="60"/>
              <w:left w:type="dxa" w:w="120"/>
              <w:bottom w:type="dxa" w:w="60"/>
              <w:right w:type="dxa" w:w="120"/>
            </w:tcMar>
            <w:vAlign w:val="center"/>
          </w:tcPr>
          <w:p>
            <w:r>
              <w:rPr>
                <w:rFonts w:ascii="Arial" w:cs="Arial" w:eastAsia="Arial" w:hAnsi="Arial"/>
                <w:b w:val="false"/>
                <w:bCs w:val="false"/>
                <w:sz w:val="18"/>
                <w:szCs w:val="18"/>
              </w:rPr>
              <w:t xml:space="preserve">Funcional</w:t>
            </w:r>
          </w:p>
        </w:tc>
      </w:tr>
      <w:tr>
        <w:tc>
          <w:tcPr>
            <w:tcW w:type="dxa" w:w="220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center"/>
          </w:tcPr>
          <w:p>
            <w:r>
              <w:rPr>
                <w:rFonts w:ascii="Arial" w:cs="Arial" w:eastAsia="Arial" w:hAnsi="Arial"/>
                <w:b w:val="false"/>
                <w:bCs w:val="false"/>
                <w:sz w:val="18"/>
                <w:szCs w:val="18"/>
              </w:rPr>
              <w:t xml:space="preserve">Persistencia en MySQL</w:t>
            </w:r>
          </w:p>
        </w:tc>
        <w:tc>
          <w:tcPr>
            <w:tcW w:type="dxa" w:w="230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center"/>
          </w:tcPr>
          <w:p>
            <w:r>
              <w:rPr>
                <w:rFonts w:ascii="Arial" w:cs="Arial" w:eastAsia="Arial" w:hAnsi="Arial"/>
                <w:b w:val="false"/>
                <w:bCs w:val="false"/>
                <w:sz w:val="18"/>
                <w:szCs w:val="18"/>
              </w:rPr>
              <w:t xml:space="preserve">backend/database.py, backend/models.py</w:t>
            </w:r>
          </w:p>
        </w:tc>
        <w:tc>
          <w:tcPr>
            <w:tcW w:type="dxa" w:w="376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center"/>
          </w:tcPr>
          <w:p>
            <w:r>
              <w:rPr>
                <w:rFonts w:ascii="Arial" w:cs="Arial" w:eastAsia="Arial" w:hAnsi="Arial"/>
                <w:b w:val="false"/>
                <w:bCs w:val="false"/>
                <w:sz w:val="18"/>
                <w:szCs w:val="18"/>
              </w:rPr>
              <w:t xml:space="preserve">Definición ORM de las 8 tablas del esquema; asociación real de cada actividad a su curso, profesor y estudiante; reemplazo del historial de sincronizaciones anteriores del mismo semestre.</w:t>
            </w:r>
          </w:p>
        </w:tc>
        <w:tc>
          <w:tcPr>
            <w:tcW w:type="dxa" w:w="110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center"/>
          </w:tcPr>
          <w:p>
            <w:r>
              <w:rPr>
                <w:rFonts w:ascii="Arial" w:cs="Arial" w:eastAsia="Arial" w:hAnsi="Arial"/>
                <w:b w:val="false"/>
                <w:bCs w:val="false"/>
                <w:sz w:val="18"/>
                <w:szCs w:val="18"/>
              </w:rPr>
              <w:t xml:space="preserve">Funcional</w:t>
            </w:r>
          </w:p>
        </w:tc>
      </w:tr>
      <w:tr>
        <w:tc>
          <w:tcPr>
            <w:tcW w:type="dxa" w:w="2200"/>
            <w:tcBorders>
              <w:top w:val="single" w:color="999999" w:sz="4"/>
              <w:left w:val="single" w:color="999999" w:sz="4"/>
              <w:bottom w:val="single" w:color="999999" w:sz="4"/>
              <w:right w:val="single" w:color="999999" w:sz="4"/>
            </w:tcBorders>
            <w:shd w:fill="EBF4FB" w:val="clear"/>
            <w:tcMar>
              <w:top w:type="dxa" w:w="60"/>
              <w:left w:type="dxa" w:w="120"/>
              <w:bottom w:type="dxa" w:w="60"/>
              <w:right w:type="dxa" w:w="120"/>
            </w:tcMar>
            <w:vAlign w:val="center"/>
          </w:tcPr>
          <w:p>
            <w:r>
              <w:rPr>
                <w:rFonts w:ascii="Arial" w:cs="Arial" w:eastAsia="Arial" w:hAnsi="Arial"/>
                <w:b w:val="false"/>
                <w:bCs w:val="false"/>
                <w:sz w:val="18"/>
                <w:szCs w:val="18"/>
              </w:rPr>
              <w:t xml:space="preserve">Componente de notificaciones</w:t>
            </w:r>
          </w:p>
        </w:tc>
        <w:tc>
          <w:tcPr>
            <w:tcW w:type="dxa" w:w="2300"/>
            <w:tcBorders>
              <w:top w:val="single" w:color="999999" w:sz="4"/>
              <w:left w:val="single" w:color="999999" w:sz="4"/>
              <w:bottom w:val="single" w:color="999999" w:sz="4"/>
              <w:right w:val="single" w:color="999999" w:sz="4"/>
            </w:tcBorders>
            <w:shd w:fill="EBF4FB" w:val="clear"/>
            <w:tcMar>
              <w:top w:type="dxa" w:w="60"/>
              <w:left w:type="dxa" w:w="120"/>
              <w:bottom w:type="dxa" w:w="60"/>
              <w:right w:type="dxa" w:w="120"/>
            </w:tcMar>
            <w:vAlign w:val="center"/>
          </w:tcPr>
          <w:p>
            <w:r>
              <w:rPr>
                <w:rFonts w:ascii="Arial" w:cs="Arial" w:eastAsia="Arial" w:hAnsi="Arial"/>
                <w:b w:val="false"/>
                <w:bCs w:val="false"/>
                <w:sz w:val="18"/>
                <w:szCs w:val="18"/>
              </w:rPr>
              <w:t xml:space="preserve">backend/app.py, frontend/app/resultado/</w:t>
            </w:r>
          </w:p>
        </w:tc>
        <w:tc>
          <w:tcPr>
            <w:tcW w:type="dxa" w:w="3760"/>
            <w:tcBorders>
              <w:top w:val="single" w:color="999999" w:sz="4"/>
              <w:left w:val="single" w:color="999999" w:sz="4"/>
              <w:bottom w:val="single" w:color="999999" w:sz="4"/>
              <w:right w:val="single" w:color="999999" w:sz="4"/>
            </w:tcBorders>
            <w:shd w:fill="EBF4FB" w:val="clear"/>
            <w:tcMar>
              <w:top w:type="dxa" w:w="60"/>
              <w:left w:type="dxa" w:w="120"/>
              <w:bottom w:type="dxa" w:w="60"/>
              <w:right w:type="dxa" w:w="120"/>
            </w:tcMar>
            <w:vAlign w:val="center"/>
          </w:tcPr>
          <w:p>
            <w:r>
              <w:rPr>
                <w:rFonts w:ascii="Arial" w:cs="Arial" w:eastAsia="Arial" w:hAnsi="Arial"/>
                <w:b w:val="false"/>
                <w:bCs w:val="false"/>
                <w:sz w:val="18"/>
                <w:szCs w:val="18"/>
              </w:rPr>
              <w:t xml:space="preserve">Detección de actividades nuevas o con fecha modificada entre sincronizaciones, y recordatorio configurable vía Google Calendar (R3.1/R3.2). Detalle completo en el Anexo T.</w:t>
            </w:r>
          </w:p>
        </w:tc>
        <w:tc>
          <w:tcPr>
            <w:tcW w:type="dxa" w:w="1100"/>
            <w:tcBorders>
              <w:top w:val="single" w:color="999999" w:sz="4"/>
              <w:left w:val="single" w:color="999999" w:sz="4"/>
              <w:bottom w:val="single" w:color="999999" w:sz="4"/>
              <w:right w:val="single" w:color="999999" w:sz="4"/>
            </w:tcBorders>
            <w:shd w:fill="EBF4FB" w:val="clear"/>
            <w:tcMar>
              <w:top w:type="dxa" w:w="60"/>
              <w:left w:type="dxa" w:w="120"/>
              <w:bottom w:type="dxa" w:w="60"/>
              <w:right w:type="dxa" w:w="120"/>
            </w:tcMar>
            <w:vAlign w:val="center"/>
          </w:tcPr>
          <w:p>
            <w:r>
              <w:rPr>
                <w:rFonts w:ascii="Arial" w:cs="Arial" w:eastAsia="Arial" w:hAnsi="Arial"/>
                <w:b w:val="false"/>
                <w:bCs w:val="false"/>
                <w:sz w:val="18"/>
                <w:szCs w:val="18"/>
              </w:rPr>
              <w:t xml:space="preserve">Funcional</w:t>
            </w:r>
          </w:p>
        </w:tc>
      </w:tr>
      <w:tr>
        <w:tc>
          <w:tcPr>
            <w:tcW w:type="dxa" w:w="220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center"/>
          </w:tcPr>
          <w:p>
            <w:r>
              <w:rPr>
                <w:rFonts w:ascii="Arial" w:cs="Arial" w:eastAsia="Arial" w:hAnsi="Arial"/>
                <w:b w:val="false"/>
                <w:bCs w:val="false"/>
                <w:sz w:val="18"/>
                <w:szCs w:val="18"/>
              </w:rPr>
              <w:t xml:space="preserve">API REST</w:t>
            </w:r>
          </w:p>
        </w:tc>
        <w:tc>
          <w:tcPr>
            <w:tcW w:type="dxa" w:w="230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center"/>
          </w:tcPr>
          <w:p>
            <w:r>
              <w:rPr>
                <w:rFonts w:ascii="Arial" w:cs="Arial" w:eastAsia="Arial" w:hAnsi="Arial"/>
                <w:b w:val="false"/>
                <w:bCs w:val="false"/>
                <w:sz w:val="18"/>
                <w:szCs w:val="18"/>
              </w:rPr>
              <w:t xml:space="preserve">backend/app.py</w:t>
            </w:r>
          </w:p>
        </w:tc>
        <w:tc>
          <w:tcPr>
            <w:tcW w:type="dxa" w:w="376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center"/>
          </w:tcPr>
          <w:p>
            <w:r>
              <w:rPr>
                <w:rFonts w:ascii="Arial" w:cs="Arial" w:eastAsia="Arial" w:hAnsi="Arial"/>
                <w:b w:val="false"/>
                <w:bCs w:val="false"/>
                <w:sz w:val="18"/>
                <w:szCs w:val="18"/>
              </w:rPr>
              <w:t xml:space="preserve">Exposición de endpoints HTTP, gestión de sesiones de sincronización y CORS.</w:t>
            </w:r>
          </w:p>
        </w:tc>
        <w:tc>
          <w:tcPr>
            <w:tcW w:type="dxa" w:w="110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center"/>
          </w:tcPr>
          <w:p>
            <w:r>
              <w:rPr>
                <w:rFonts w:ascii="Arial" w:cs="Arial" w:eastAsia="Arial" w:hAnsi="Arial"/>
                <w:b w:val="false"/>
                <w:bCs w:val="false"/>
                <w:sz w:val="18"/>
                <w:szCs w:val="18"/>
              </w:rPr>
              <w:t xml:space="preserve">Funcional</w:t>
            </w:r>
          </w:p>
        </w:tc>
      </w:tr>
      <w:tr>
        <w:tc>
          <w:tcPr>
            <w:tcW w:type="dxa" w:w="2200"/>
            <w:tcBorders>
              <w:top w:val="single" w:color="999999" w:sz="4"/>
              <w:left w:val="single" w:color="999999" w:sz="4"/>
              <w:bottom w:val="single" w:color="999999" w:sz="4"/>
              <w:right w:val="single" w:color="999999" w:sz="4"/>
            </w:tcBorders>
            <w:shd w:fill="EBF4FB" w:val="clear"/>
            <w:tcMar>
              <w:top w:type="dxa" w:w="60"/>
              <w:left w:type="dxa" w:w="120"/>
              <w:bottom w:type="dxa" w:w="60"/>
              <w:right w:type="dxa" w:w="120"/>
            </w:tcMar>
            <w:vAlign w:val="center"/>
          </w:tcPr>
          <w:p>
            <w:r>
              <w:rPr>
                <w:rFonts w:ascii="Arial" w:cs="Arial" w:eastAsia="Arial" w:hAnsi="Arial"/>
                <w:b w:val="false"/>
                <w:bCs w:val="false"/>
                <w:sz w:val="18"/>
                <w:szCs w:val="18"/>
              </w:rPr>
              <w:t xml:space="preserve">Frontend (10 pantallas)</w:t>
            </w:r>
          </w:p>
        </w:tc>
        <w:tc>
          <w:tcPr>
            <w:tcW w:type="dxa" w:w="2300"/>
            <w:tcBorders>
              <w:top w:val="single" w:color="999999" w:sz="4"/>
              <w:left w:val="single" w:color="999999" w:sz="4"/>
              <w:bottom w:val="single" w:color="999999" w:sz="4"/>
              <w:right w:val="single" w:color="999999" w:sz="4"/>
            </w:tcBorders>
            <w:shd w:fill="EBF4FB" w:val="clear"/>
            <w:tcMar>
              <w:top w:type="dxa" w:w="60"/>
              <w:left w:type="dxa" w:w="120"/>
              <w:bottom w:type="dxa" w:w="60"/>
              <w:right w:type="dxa" w:w="120"/>
            </w:tcMar>
            <w:vAlign w:val="center"/>
          </w:tcPr>
          <w:p>
            <w:r>
              <w:rPr>
                <w:rFonts w:ascii="Arial" w:cs="Arial" w:eastAsia="Arial" w:hAnsi="Arial"/>
                <w:b w:val="false"/>
                <w:bCs w:val="false"/>
                <w:sz w:val="18"/>
                <w:szCs w:val="18"/>
              </w:rPr>
              <w:t xml:space="preserve">frontend/app/*/page.tsx</w:t>
            </w:r>
          </w:p>
        </w:tc>
        <w:tc>
          <w:tcPr>
            <w:tcW w:type="dxa" w:w="3760"/>
            <w:tcBorders>
              <w:top w:val="single" w:color="999999" w:sz="4"/>
              <w:left w:val="single" w:color="999999" w:sz="4"/>
              <w:bottom w:val="single" w:color="999999" w:sz="4"/>
              <w:right w:val="single" w:color="999999" w:sz="4"/>
            </w:tcBorders>
            <w:shd w:fill="EBF4FB" w:val="clear"/>
            <w:tcMar>
              <w:top w:type="dxa" w:w="60"/>
              <w:left w:type="dxa" w:w="120"/>
              <w:bottom w:type="dxa" w:w="60"/>
              <w:right w:type="dxa" w:w="120"/>
            </w:tcMar>
            <w:vAlign w:val="center"/>
          </w:tcPr>
          <w:p>
            <w:r>
              <w:rPr>
                <w:rFonts w:ascii="Arial" w:cs="Arial" w:eastAsia="Arial" w:hAnsi="Arial"/>
                <w:b w:val="false"/>
                <w:bCs w:val="false"/>
                <w:sz w:val="18"/>
                <w:szCs w:val="18"/>
              </w:rPr>
              <w:t xml:space="preserve">Interfaz de usuario completa según wireflow de R2.2b; consumo de la API mediante polling cada 1.5 s.</w:t>
            </w:r>
          </w:p>
        </w:tc>
        <w:tc>
          <w:tcPr>
            <w:tcW w:type="dxa" w:w="1100"/>
            <w:tcBorders>
              <w:top w:val="single" w:color="999999" w:sz="4"/>
              <w:left w:val="single" w:color="999999" w:sz="4"/>
              <w:bottom w:val="single" w:color="999999" w:sz="4"/>
              <w:right w:val="single" w:color="999999" w:sz="4"/>
            </w:tcBorders>
            <w:shd w:fill="EBF4FB" w:val="clear"/>
            <w:tcMar>
              <w:top w:type="dxa" w:w="60"/>
              <w:left w:type="dxa" w:w="120"/>
              <w:bottom w:type="dxa" w:w="60"/>
              <w:right w:type="dxa" w:w="120"/>
            </w:tcMar>
            <w:vAlign w:val="center"/>
          </w:tcPr>
          <w:p>
            <w:r>
              <w:rPr>
                <w:rFonts w:ascii="Arial" w:cs="Arial" w:eastAsia="Arial" w:hAnsi="Arial"/>
                <w:b w:val="false"/>
                <w:bCs w:val="false"/>
                <w:sz w:val="18"/>
                <w:szCs w:val="18"/>
              </w:rPr>
              <w:t xml:space="preserve">Funcional</w:t>
            </w:r>
          </w:p>
        </w:tc>
      </w:tr>
      <w:tr>
        <w:tc>
          <w:tcPr>
            <w:tcW w:type="dxa" w:w="220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center"/>
          </w:tcPr>
          <w:p>
            <w:r>
              <w:rPr>
                <w:rFonts w:ascii="Arial" w:cs="Arial" w:eastAsia="Arial" w:hAnsi="Arial"/>
                <w:b w:val="false"/>
                <w:bCs w:val="false"/>
                <w:sz w:val="18"/>
                <w:szCs w:val="18"/>
              </w:rPr>
              <w:t xml:space="preserve">Capa de comunicación HTTP</w:t>
            </w:r>
          </w:p>
        </w:tc>
        <w:tc>
          <w:tcPr>
            <w:tcW w:type="dxa" w:w="230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center"/>
          </w:tcPr>
          <w:p>
            <w:r>
              <w:rPr>
                <w:rFonts w:ascii="Arial" w:cs="Arial" w:eastAsia="Arial" w:hAnsi="Arial"/>
                <w:b w:val="false"/>
                <w:bCs w:val="false"/>
                <w:sz w:val="18"/>
                <w:szCs w:val="18"/>
              </w:rPr>
              <w:t xml:space="preserve">frontend/lib/api.ts</w:t>
            </w:r>
          </w:p>
        </w:tc>
        <w:tc>
          <w:tcPr>
            <w:tcW w:type="dxa" w:w="376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center"/>
          </w:tcPr>
          <w:p>
            <w:r>
              <w:rPr>
                <w:rFonts w:ascii="Arial" w:cs="Arial" w:eastAsia="Arial" w:hAnsi="Arial"/>
                <w:b w:val="false"/>
                <w:bCs w:val="false"/>
                <w:sz w:val="18"/>
                <w:szCs w:val="18"/>
              </w:rPr>
              <w:t xml:space="preserve">Centraliza las llamadas fetch al backend y sus tipos TypeScript asociados.</w:t>
            </w:r>
          </w:p>
        </w:tc>
        <w:tc>
          <w:tcPr>
            <w:tcW w:type="dxa" w:w="110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center"/>
          </w:tcPr>
          <w:p>
            <w:r>
              <w:rPr>
                <w:rFonts w:ascii="Arial" w:cs="Arial" w:eastAsia="Arial" w:hAnsi="Arial"/>
                <w:b w:val="false"/>
                <w:bCs w:val="false"/>
                <w:sz w:val="18"/>
                <w:szCs w:val="18"/>
              </w:rPr>
              <w:t xml:space="preserve">Funcional</w:t>
            </w:r>
          </w:p>
        </w:tc>
      </w:tr>
      <w:tr>
        <w:tc>
          <w:tcPr>
            <w:tcW w:type="dxa" w:w="2200"/>
            <w:tcBorders>
              <w:top w:val="single" w:color="999999" w:sz="4"/>
              <w:left w:val="single" w:color="999999" w:sz="4"/>
              <w:bottom w:val="single" w:color="999999" w:sz="4"/>
              <w:right w:val="single" w:color="999999" w:sz="4"/>
            </w:tcBorders>
            <w:shd w:fill="EBF4FB" w:val="clear"/>
            <w:tcMar>
              <w:top w:type="dxa" w:w="60"/>
              <w:left w:type="dxa" w:w="120"/>
              <w:bottom w:type="dxa" w:w="60"/>
              <w:right w:type="dxa" w:w="120"/>
            </w:tcMar>
            <w:vAlign w:val="center"/>
          </w:tcPr>
          <w:p>
            <w:r>
              <w:rPr>
                <w:rFonts w:ascii="Arial" w:cs="Arial" w:eastAsia="Arial" w:hAnsi="Arial"/>
                <w:b w:val="false"/>
                <w:bCs w:val="false"/>
                <w:sz w:val="18"/>
                <w:szCs w:val="18"/>
              </w:rPr>
              <w:t xml:space="preserve">Procesamiento de cronogramas PDF</w:t>
            </w:r>
          </w:p>
        </w:tc>
        <w:tc>
          <w:tcPr>
            <w:tcW w:type="dxa" w:w="2300"/>
            <w:tcBorders>
              <w:top w:val="single" w:color="999999" w:sz="4"/>
              <w:left w:val="single" w:color="999999" w:sz="4"/>
              <w:bottom w:val="single" w:color="999999" w:sz="4"/>
              <w:right w:val="single" w:color="999999" w:sz="4"/>
            </w:tcBorders>
            <w:shd w:fill="EBF4FB" w:val="clear"/>
            <w:tcMar>
              <w:top w:type="dxa" w:w="60"/>
              <w:left w:type="dxa" w:w="120"/>
              <w:bottom w:type="dxa" w:w="60"/>
              <w:right w:type="dxa" w:w="120"/>
            </w:tcMar>
            <w:vAlign w:val="center"/>
          </w:tcPr>
          <w:p>
            <w:r>
              <w:rPr>
                <w:rFonts w:ascii="Arial" w:cs="Arial" w:eastAsia="Arial" w:hAnsi="Arial"/>
                <w:b w:val="false"/>
                <w:bCs w:val="false"/>
                <w:sz w:val="18"/>
                <w:szCs w:val="18"/>
              </w:rPr>
              <w:t xml:space="preserve">backend/paideia/pdf_extractor/</w:t>
            </w:r>
          </w:p>
        </w:tc>
        <w:tc>
          <w:tcPr>
            <w:tcW w:type="dxa" w:w="3760"/>
            <w:tcBorders>
              <w:top w:val="single" w:color="999999" w:sz="4"/>
              <w:left w:val="single" w:color="999999" w:sz="4"/>
              <w:bottom w:val="single" w:color="999999" w:sz="4"/>
              <w:right w:val="single" w:color="999999" w:sz="4"/>
            </w:tcBorders>
            <w:shd w:fill="EBF4FB" w:val="clear"/>
            <w:tcMar>
              <w:top w:type="dxa" w:w="60"/>
              <w:left w:type="dxa" w:w="120"/>
              <w:bottom w:type="dxa" w:w="60"/>
              <w:right w:type="dxa" w:w="120"/>
            </w:tcMar>
            <w:vAlign w:val="center"/>
          </w:tcPr>
          <w:p>
            <w:r>
              <w:rPr>
                <w:rFonts w:ascii="Arial" w:cs="Arial" w:eastAsia="Arial" w:hAnsi="Arial"/>
                <w:b w:val="false"/>
                <w:bCs w:val="false"/>
                <w:sz w:val="18"/>
                <w:szCs w:val="18"/>
              </w:rPr>
              <w:t xml:space="preserve">Extracción de fechas y actividades desde cronogramas/sílabos en PDF mediante reconocimiento de patrones. Implementado y validado de forma aislada (ver Anexo U); desactivado en producción.</w:t>
            </w:r>
          </w:p>
        </w:tc>
        <w:tc>
          <w:tcPr>
            <w:tcW w:type="dxa" w:w="1100"/>
            <w:tcBorders>
              <w:top w:val="single" w:color="999999" w:sz="4"/>
              <w:left w:val="single" w:color="999999" w:sz="4"/>
              <w:bottom w:val="single" w:color="999999" w:sz="4"/>
              <w:right w:val="single" w:color="999999" w:sz="4"/>
            </w:tcBorders>
            <w:shd w:fill="EBF4FB" w:val="clear"/>
            <w:tcMar>
              <w:top w:type="dxa" w:w="60"/>
              <w:left w:type="dxa" w:w="120"/>
              <w:bottom w:type="dxa" w:w="60"/>
              <w:right w:type="dxa" w:w="120"/>
            </w:tcMar>
            <w:vAlign w:val="center"/>
          </w:tcPr>
          <w:p>
            <w:r>
              <w:rPr>
                <w:rFonts w:ascii="Arial" w:cs="Arial" w:eastAsia="Arial" w:hAnsi="Arial"/>
                <w:b w:val="false"/>
                <w:bCs w:val="false"/>
                <w:sz w:val="18"/>
                <w:szCs w:val="18"/>
              </w:rPr>
              <w:t xml:space="preserve">Limitado*</w:t>
            </w:r>
          </w:p>
        </w:tc>
      </w:tr>
    </w:tbl>
    <w:p>
      <w:pPr>
        <w:spacing w:after="240" w:before="80"/>
      </w:pPr>
      <w:r>
        <w:rPr>
          <w:rFonts w:ascii="Arial" w:cs="Arial" w:eastAsia="Arial" w:hAnsi="Arial"/>
          <w:i/>
          <w:iCs/>
          <w:sz w:val="18"/>
          <w:szCs w:val="18"/>
        </w:rPr>
        <w:t xml:space="preserve">Tabla Q.1. Módulos construidos del sistema RPA Académico PUCP. Fuente: Elaboración propia. (*) Limitación detallada en la sección 4 de este anexo y en el Anexo U.</w:t>
      </w:r>
    </w:p>
    <w:p>
      <w:pPr>
        <w:pStyle w:val="Heading2"/>
      </w:pPr>
      <w:r>
        <w:t xml:space="preserve">3.1 Asociación real de curso, profesor y estudiante</w:t>
      </w:r>
    </w:p>
    <w:p>
      <w:pPr>
        <w:spacing w:after="200"/>
      </w:pPr>
      <w:r>
        <w:rPr>
          <w:rFonts w:ascii="Arial" w:cs="Arial" w:eastAsia="Arial" w:hAnsi="Arial"/>
          <w:sz w:val="22"/>
          <w:szCs w:val="22"/>
        </w:rPr>
        <w:t xml:space="preserve">La asociación entre cada actividad académica extraída y su curso correspondiente se resuelve mediante dos criterios complementarios. Para los eventos de Campus Virtual, el código de curso se extrae directamente del SUMMARY del archivo .ics descargado. Para los eventos de PAIDEIA, que no exponen un código de curso explícito en su interfaz de cursos, el código se obtiene del título de la página de cada curso, el cual sigue el formato “AÑO-CICLO NOMBRE DEL CURSO (CÓDIGO-HORARIO)”; este mismo código permite cruzar exactamente las actividades de ambas plataformas sin depender de coincidencias de nombre, evitando así los falsos cruces que podrían producirse entre cursos con nombres similares.</w:t>
      </w:r>
    </w:p>
    <w:p>
      <w:pPr>
        <w:spacing w:after="200"/>
      </w:pPr>
      <w:r>
        <w:rPr>
          <w:rFonts w:ascii="Arial" w:cs="Arial" w:eastAsia="Arial" w:hAnsi="Arial"/>
          <w:sz w:val="22"/>
          <w:szCs w:val="22"/>
        </w:rPr>
        <w:t xml:space="preserve">El docente de cada curso se obtiene de la sección “Cursos y actividades” de Campus Virtual. Para los cursos donde se lista un único docente, se extrae directamente su nombre y código PUCP. Para cursos sin un docente único asignado en esa vista (como Proyecto de Fin de Carrera, que agrupa secciones con distintos asesores), el sistema abre la ventana emergente “Ver docentes” y filtra los resultados por categoría docente PRINCIPAL y por coincidencia con el código de horario del curso, registrando como docentes del curso a quienes cumplen ambos criterios. El estudiante, dado que el sistema opera en esta versión para un único usuario, se configura como un valor fijo en config.py.</w:t>
      </w:r>
    </w:p>
    <w:p>
      <w:pPr>
        <w:pStyle w:val="Heading1"/>
      </w:pPr>
      <w:r>
        <w:t xml:space="preserve">4. Limitaciones conocidas de la construcción actual</w:t>
      </w:r>
    </w:p>
    <w:p>
      <w:pPr>
        <w:spacing w:after="200"/>
      </w:pPr>
      <w:r>
        <w:rPr>
          <w:rFonts w:ascii="Arial" w:cs="Arial" w:eastAsia="Arial" w:hAnsi="Arial"/>
          <w:sz w:val="22"/>
          <w:szCs w:val="22"/>
        </w:rPr>
        <w:t xml:space="preserve">Se documentan a continuación, de forma transparente, las limitaciones identificadas durante la construcción que constituyen deuda técnica explícita del MVP actual:</w:t>
      </w:r>
    </w:p>
    <w:p>
      <w:pPr>
        <w:pStyle w:val="ListParagraph"/>
        <w:numPr>
          <w:ilvl w:val="0"/>
          <w:numId w:val="2"/>
        </w:numPr>
        <w:spacing w:after="120"/>
      </w:pPr>
      <w:r>
        <w:rPr>
          <w:rFonts w:ascii="Arial" w:cs="Arial" w:eastAsia="Arial" w:hAnsi="Arial"/>
          <w:sz w:val="22"/>
          <w:szCs w:val="22"/>
        </w:rPr>
        <w:t xml:space="preserve">Esperas fijas en la automatización web: el código de los extractores de Campus Virtual y PAIDEIA utiliza pausas de tiempo fijo (time.sleep) en lugar de esperas explícitas condicionadas a la carga de elementos (WebDriverWait). Esto es funcional bajo condiciones normales de red, pero representa un punto de fragilidad ante variaciones en el tiempo de respuesta de las plataformas institucionales, consistente con el requisito no funcional RNF16 ya identificado en el catálogo de requisitos (R2.1a).</w:t>
      </w:r>
    </w:p>
    <w:p>
      <w:pPr>
        <w:pStyle w:val="ListParagraph"/>
        <w:numPr>
          <w:ilvl w:val="0"/>
          <w:numId w:val="2"/>
        </w:numPr>
        <w:spacing w:after="120"/>
      </w:pPr>
      <w:r>
        <w:rPr>
          <w:rFonts w:ascii="Arial" w:cs="Arial" w:eastAsia="Arial" w:hAnsi="Arial"/>
          <w:sz w:val="22"/>
          <w:szCs w:val="22"/>
        </w:rPr>
        <w:t xml:space="preserve">Procesamiento de cronogramas PDF desactivado en producción: se diseñó, implementó y validó un motor de extracción de tres etapas (clasificación de archivo, detección de tabla de cronograma, extracción de actividades evaluables), obteniendo resultados correctos contra un corpus de 6 documentos reales (ver Anexo U). Sin embargo, al probarse contra cronogramas adicionales con formato de tabla más irregular, el motor produjo resultados poco confiables (actividades mal segmentadas o sin sentido para el estudiante). Ante el riesgo de mostrar información incorrecta, se decidió desactivar la extracción automática en la versión actual: el sistema únicamente confirma la descarga del documento y solicita al estudiante revisarlo manualmente. El motor de extracción queda documentado como base reutilizable para una versión futura, ver Anexo U, sección 8.</w:t>
      </w:r>
    </w:p>
    <w:p>
      <w:pPr>
        <w:pStyle w:val="ListParagraph"/>
        <w:numPr>
          <w:ilvl w:val="0"/>
          <w:numId w:val="2"/>
        </w:numPr>
        <w:spacing w:after="120"/>
      </w:pPr>
      <w:r>
        <w:rPr>
          <w:rFonts w:ascii="Arial" w:cs="Arial" w:eastAsia="Arial" w:hAnsi="Arial"/>
          <w:sz w:val="22"/>
          <w:szCs w:val="22"/>
        </w:rPr>
        <w:t xml:space="preserve">Validación formal pendiente del componente de notificaciones: si bien R3.1 y R3.2 cuentan con una primera implementación funcional (ver Anexo T), la validación mediante el cuestionario dirigido a especialistas, conforme al criterio de aprobación definido en el catálogo de requisitos, queda pendiente de ejecución.</w:t>
      </w:r>
    </w:p>
    <w:p>
      <w:pPr>
        <w:pStyle w:val="ListParagraph"/>
        <w:numPr>
          <w:ilvl w:val="0"/>
          <w:numId w:val="2"/>
        </w:numPr>
        <w:spacing w:after="120"/>
      </w:pPr>
      <w:r>
        <w:rPr>
          <w:rFonts w:ascii="Arial" w:cs="Arial" w:eastAsia="Arial" w:hAnsi="Arial"/>
          <w:sz w:val="22"/>
          <w:szCs w:val="22"/>
        </w:rPr>
        <w:t xml:space="preserve">Canal de notificación simplificado: la alerta de cambios detectados (R3.1) se presenta directamente en la pantalla de resultado del sistema, en lugar de mediante correo electrónico como se contempló originalmente en el catálogo de requisitos. Esta decisión, justificada en el Anexo T, prioriza la simplicidad y la coherencia con la arquitectura sin procesos en segundo plano del sistema.</w:t>
      </w:r>
    </w:p>
    <w:p>
      <w:pPr>
        <w:pStyle w:val="Heading1"/>
      </w:pPr>
      <w:r>
        <w:t xml:space="preserve">5. Control de versiones y trazabilidad</w:t>
      </w:r>
    </w:p>
    <w:p>
      <w:pPr>
        <w:spacing w:after="200"/>
      </w:pPr>
      <w:r>
        <w:rPr>
          <w:rFonts w:ascii="Arial" w:cs="Arial" w:eastAsia="Arial" w:hAnsi="Arial"/>
          <w:sz w:val="22"/>
          <w:szCs w:val="22"/>
        </w:rPr>
        <w:t xml:space="preserve">Todo el código construido se mantiene en el repositorio público de GitHub (github.com/misahor67/rpa-academico-pucp), lo cual permite trazar la evolución incremental del sistema, incluyendo la refactorización documentada en el Anexo N (sección 3.3) del archivo app.py monolítico inicial al paquete rpa/ modularizado actual.</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t xml:space="preserve">Página </w:t>
    </w:r>
    <w:r>
      <w:rPr>
        <w:rFonts w:ascii="Arial" w:cs="Arial" w:eastAsia="Arial" w:hAnsi="Arial"/>
        <w:sz w:val="18"/>
        <w:szCs w:val="18"/>
      </w:rPr>
      <w:fldChar w:fldCharType="begin"/>
      <w:instrText xml:space="preserve">PAGE</w:instrText>
      <w:fldChar w:fldCharType="separate"/>
      <w:fldChar w:fldCharType="end"/>
    </w:r>
    <w:r>
      <w:rPr>
        <w:rFonts w:ascii="Arial" w:cs="Arial" w:eastAsia="Arial" w:hAnsi="Arial"/>
        <w:sz w:val="18"/>
        <w:szCs w:val="18"/>
      </w:rPr>
      <w:t xml:space="preserve"> de </w:t>
    </w:r>
    <w:r>
      <w:rPr>
        <w:rFonts w:ascii="Arial" w:cs="Arial" w:eastAsia="Arial" w:hAnsi="Arial"/>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80" w:before="280"/>
      <w:outlineLvl w:val="1"/>
    </w:pPr>
    <w:rPr>
      <w:rFonts w:ascii="Arial" w:cs="Arial" w:eastAsia="Arial" w:hAnsi="Arial"/>
      <w:b/>
      <w:bCs/>
      <w:color w:val="1F4E7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2026-06-29T20:21:37.090Z</dcterms:created>
  <dcterms:modified xsi:type="dcterms:W3CDTF">2026-06-29T20:21:37.091Z</dcterms:modified>
</cp:coreProperties>
</file>

<file path=docProps/custom.xml><?xml version="1.0" encoding="utf-8"?>
<Properties xmlns="http://schemas.openxmlformats.org/officeDocument/2006/custom-properties" xmlns:vt="http://schemas.openxmlformats.org/officeDocument/2006/docPropsVTypes"/>
</file>