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59D" w:rsidRDefault="00AB1931" w:rsidP="00C5159D">
      <w:pPr>
        <w:widowControl/>
        <w:shd w:val="clear" w:color="auto" w:fill="FFFFFF"/>
        <w:ind w:leftChars="150" w:left="2075" w:hangingChars="400" w:hanging="1760"/>
        <w:jc w:val="left"/>
        <w:rPr>
          <w:rFonts w:ascii="黑体" w:eastAsia="黑体" w:hAnsi="黑体" w:cs="宋体" w:hint="eastAsia"/>
          <w:color w:val="333333"/>
          <w:kern w:val="0"/>
          <w:sz w:val="44"/>
          <w:szCs w:val="44"/>
        </w:rPr>
      </w:pPr>
      <w:r w:rsidRPr="00657C07">
        <w:rPr>
          <w:rFonts w:ascii="黑体" w:eastAsia="黑体" w:hAnsi="黑体" w:cs="宋体" w:hint="eastAsia"/>
          <w:color w:val="333333"/>
          <w:kern w:val="0"/>
          <w:sz w:val="44"/>
          <w:szCs w:val="44"/>
        </w:rPr>
        <w:t>上海证券交易所黄金交易型开放式证券</w:t>
      </w:r>
    </w:p>
    <w:p w:rsidR="00AB1931" w:rsidRDefault="00AB1931" w:rsidP="00C5159D">
      <w:pPr>
        <w:widowControl/>
        <w:shd w:val="clear" w:color="auto" w:fill="FFFFFF"/>
        <w:ind w:leftChars="550" w:left="1155" w:firstLineChars="300" w:firstLine="1320"/>
        <w:jc w:val="left"/>
        <w:rPr>
          <w:rFonts w:ascii="黑体" w:eastAsia="黑体" w:hAnsi="黑体" w:cs="宋体" w:hint="eastAsia"/>
          <w:color w:val="333333"/>
          <w:kern w:val="0"/>
          <w:sz w:val="44"/>
          <w:szCs w:val="44"/>
        </w:rPr>
      </w:pPr>
      <w:r w:rsidRPr="00657C07">
        <w:rPr>
          <w:rFonts w:ascii="黑体" w:eastAsia="黑体" w:hAnsi="黑体" w:cs="宋体" w:hint="eastAsia"/>
          <w:color w:val="333333"/>
          <w:kern w:val="0"/>
          <w:sz w:val="44"/>
          <w:szCs w:val="44"/>
        </w:rPr>
        <w:t>投资基金业务指南</w:t>
      </w:r>
    </w:p>
    <w:p w:rsidR="00A27EBE" w:rsidRPr="00A27EBE" w:rsidRDefault="00A27EBE" w:rsidP="00A27EBE">
      <w:pPr>
        <w:widowControl/>
        <w:shd w:val="clear" w:color="auto" w:fill="FFFFFF"/>
        <w:ind w:leftChars="550" w:left="1155" w:firstLineChars="550" w:firstLine="1540"/>
        <w:jc w:val="left"/>
        <w:rPr>
          <w:rFonts w:ascii="仿宋_GB2312" w:eastAsia="仿宋_GB2312" w:hAnsi="黑体" w:cs="宋体" w:hint="eastAsia"/>
          <w:color w:val="333333"/>
          <w:kern w:val="0"/>
          <w:sz w:val="28"/>
          <w:szCs w:val="28"/>
        </w:rPr>
      </w:pPr>
      <w:r w:rsidRPr="00A27EBE">
        <w:rPr>
          <w:rFonts w:ascii="仿宋_GB2312" w:eastAsia="仿宋_GB2312" w:hAnsi="黑体" w:cs="宋体" w:hint="eastAsia"/>
          <w:color w:val="333333"/>
          <w:kern w:val="0"/>
          <w:sz w:val="28"/>
          <w:szCs w:val="28"/>
        </w:rPr>
        <w:t>（2019年6月修订）</w:t>
      </w:r>
    </w:p>
    <w:p w:rsidR="00AB1931" w:rsidRPr="00AB1931" w:rsidRDefault="00AB1931" w:rsidP="00657C07">
      <w:pPr>
        <w:widowControl/>
        <w:shd w:val="clear" w:color="auto" w:fill="FFFFFF"/>
        <w:rPr>
          <w:rFonts w:ascii="微软雅黑" w:eastAsia="微软雅黑" w:hAnsi="微软雅黑" w:cs="宋体"/>
          <w:color w:val="333333"/>
          <w:kern w:val="0"/>
          <w:szCs w:val="21"/>
        </w:rPr>
      </w:pPr>
      <w:r w:rsidRPr="00AB1931">
        <w:rPr>
          <w:rFonts w:ascii="仿宋_GB2312" w:eastAsia="仿宋_GB2312" w:hAnsi="宋体" w:cs="宋体" w:hint="eastAsia"/>
          <w:b/>
          <w:bCs/>
          <w:color w:val="333333"/>
          <w:kern w:val="0"/>
          <w:sz w:val="32"/>
          <w:szCs w:val="32"/>
        </w:rPr>
        <w:t>一、产品概要</w:t>
      </w:r>
    </w:p>
    <w:p w:rsidR="00AB1931" w:rsidRPr="00657C07" w:rsidRDefault="00AB1931" w:rsidP="00657C07">
      <w:pPr>
        <w:widowControl/>
        <w:shd w:val="clear" w:color="auto" w:fill="FFFFFF"/>
        <w:spacing w:after="150" w:line="384" w:lineRule="auto"/>
        <w:rPr>
          <w:rFonts w:ascii="宋体" w:eastAsia="宋体" w:hAnsi="宋体" w:cs="宋体"/>
          <w:color w:val="4D4D4D"/>
          <w:kern w:val="0"/>
          <w:sz w:val="30"/>
          <w:szCs w:val="30"/>
        </w:rPr>
      </w:pPr>
      <w:r w:rsidRPr="00AB1931">
        <w:rPr>
          <w:rFonts w:ascii="宋体" w:eastAsia="宋体" w:hAnsi="宋体" w:cs="宋体"/>
          <w:color w:val="4D4D4D"/>
          <w:kern w:val="0"/>
          <w:sz w:val="28"/>
          <w:szCs w:val="28"/>
        </w:rPr>
        <w:t> </w:t>
      </w:r>
      <w:r w:rsidR="00657C07">
        <w:rPr>
          <w:rFonts w:ascii="仿宋_GB2312" w:eastAsia="仿宋_GB2312" w:hAnsi="宋体" w:cs="宋体" w:hint="eastAsia"/>
          <w:color w:val="4D4D4D"/>
          <w:kern w:val="0"/>
          <w:sz w:val="28"/>
          <w:szCs w:val="28"/>
        </w:rPr>
        <w:t> </w:t>
      </w:r>
      <w:r w:rsidRPr="00657C07">
        <w:rPr>
          <w:rFonts w:ascii="仿宋_GB2312" w:eastAsia="仿宋_GB2312" w:hAnsi="宋体" w:cs="宋体" w:hint="eastAsia"/>
          <w:color w:val="4D4D4D"/>
          <w:kern w:val="0"/>
          <w:sz w:val="30"/>
          <w:szCs w:val="30"/>
        </w:rPr>
        <w:t>本文所称黄金交易型开放式证券投资基金（以下简称“黄金ETF”）是指由国内基金管理人发起设立的，追踪国内黄金现货价格，基础资产为上海黄金交易所（以下简称“金交所”）的黄金现货实盘合约（以下简称“黄金现货合约”），并在上海证券交易所（以下简称“本所”）上市交易的ETF。</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黄金ETF份额登记托管在中国登记结算公司上海分公司（以下简称“结算公司”），其基础资产为黄金现货合约，在金交所交易和登记。</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黄金ETF的申购和赎回可采用现金</w:t>
      </w:r>
      <w:proofErr w:type="gramStart"/>
      <w:r w:rsidRPr="00657C07">
        <w:rPr>
          <w:rFonts w:ascii="仿宋_GB2312" w:eastAsia="仿宋_GB2312" w:hAnsi="宋体" w:cs="宋体" w:hint="eastAsia"/>
          <w:color w:val="4D4D4D"/>
          <w:kern w:val="0"/>
          <w:sz w:val="30"/>
          <w:szCs w:val="30"/>
        </w:rPr>
        <w:t>申赎或</w:t>
      </w:r>
      <w:proofErr w:type="gramEnd"/>
      <w:r w:rsidRPr="00657C07">
        <w:rPr>
          <w:rFonts w:ascii="仿宋_GB2312" w:eastAsia="仿宋_GB2312" w:hAnsi="宋体" w:cs="宋体" w:hint="eastAsia"/>
          <w:color w:val="4D4D4D"/>
          <w:kern w:val="0"/>
          <w:sz w:val="30"/>
          <w:szCs w:val="30"/>
        </w:rPr>
        <w:t>黄金现货合约</w:t>
      </w:r>
      <w:proofErr w:type="gramStart"/>
      <w:r w:rsidRPr="00657C07">
        <w:rPr>
          <w:rFonts w:ascii="仿宋_GB2312" w:eastAsia="仿宋_GB2312" w:hAnsi="宋体" w:cs="宋体" w:hint="eastAsia"/>
          <w:color w:val="4D4D4D"/>
          <w:kern w:val="0"/>
          <w:sz w:val="30"/>
          <w:szCs w:val="30"/>
        </w:rPr>
        <w:t>申赎两种</w:t>
      </w:r>
      <w:proofErr w:type="gramEnd"/>
      <w:r w:rsidRPr="00657C07">
        <w:rPr>
          <w:rFonts w:ascii="仿宋_GB2312" w:eastAsia="仿宋_GB2312" w:hAnsi="宋体" w:cs="宋体" w:hint="eastAsia"/>
          <w:color w:val="4D4D4D"/>
          <w:kern w:val="0"/>
          <w:sz w:val="30"/>
          <w:szCs w:val="30"/>
        </w:rPr>
        <w:t>模式。</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采用</w:t>
      </w:r>
      <w:proofErr w:type="gramStart"/>
      <w:r w:rsidRPr="00657C07">
        <w:rPr>
          <w:rFonts w:ascii="仿宋_GB2312" w:eastAsia="仿宋_GB2312" w:hAnsi="宋体" w:cs="宋体" w:hint="eastAsia"/>
          <w:color w:val="4D4D4D"/>
          <w:kern w:val="0"/>
          <w:sz w:val="30"/>
          <w:szCs w:val="30"/>
        </w:rPr>
        <w:t>现金申赎的</w:t>
      </w:r>
      <w:proofErr w:type="gramEnd"/>
      <w:r w:rsidRPr="00657C07">
        <w:rPr>
          <w:rFonts w:ascii="仿宋_GB2312" w:eastAsia="仿宋_GB2312" w:hAnsi="宋体" w:cs="宋体" w:hint="eastAsia"/>
          <w:color w:val="4D4D4D"/>
          <w:kern w:val="0"/>
          <w:sz w:val="30"/>
          <w:szCs w:val="30"/>
        </w:rPr>
        <w:t>，由基金管理人在金交所场内买卖黄金合约。黄金ETF在本所场内的现金申赎，申购份额在完成清算交收后T+1可用。当日买入的份额当日可以赎回，当日赎回的份额实时记减。申购和赎回业务所涉及现金替代、现金差额等均不纳入净额结算，其中，申购业务由结算公司按照T日逐笔全额方式清算交收，赎回业务由结算公司按代收代付清算交收。投资者提交申购申报的，基金管理人在完成资金交收后，买入黄金现货合约；投资者提交赎回申报的，基金管理人卖出黄金现货合约。</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lastRenderedPageBreak/>
        <w:t>黄金现货合约</w:t>
      </w:r>
      <w:proofErr w:type="gramStart"/>
      <w:r w:rsidRPr="00657C07">
        <w:rPr>
          <w:rFonts w:ascii="仿宋_GB2312" w:eastAsia="仿宋_GB2312" w:hAnsi="宋体" w:cs="宋体" w:hint="eastAsia"/>
          <w:color w:val="4D4D4D"/>
          <w:kern w:val="0"/>
          <w:sz w:val="30"/>
          <w:szCs w:val="30"/>
        </w:rPr>
        <w:t>申赎是</w:t>
      </w:r>
      <w:proofErr w:type="gramEnd"/>
      <w:r w:rsidRPr="00657C07">
        <w:rPr>
          <w:rFonts w:ascii="仿宋_GB2312" w:eastAsia="仿宋_GB2312" w:hAnsi="宋体" w:cs="宋体" w:hint="eastAsia"/>
          <w:color w:val="4D4D4D"/>
          <w:kern w:val="0"/>
          <w:sz w:val="30"/>
          <w:szCs w:val="30"/>
        </w:rPr>
        <w:t>跨系统</w:t>
      </w:r>
      <w:proofErr w:type="gramStart"/>
      <w:r w:rsidRPr="00657C07">
        <w:rPr>
          <w:rFonts w:ascii="仿宋_GB2312" w:eastAsia="仿宋_GB2312" w:hAnsi="宋体" w:cs="宋体" w:hint="eastAsia"/>
          <w:color w:val="4D4D4D"/>
          <w:kern w:val="0"/>
          <w:sz w:val="30"/>
          <w:szCs w:val="30"/>
        </w:rPr>
        <w:t>的申赎模式</w:t>
      </w:r>
      <w:proofErr w:type="gramEnd"/>
      <w:r w:rsidRPr="00657C07">
        <w:rPr>
          <w:rFonts w:ascii="仿宋_GB2312" w:eastAsia="仿宋_GB2312" w:hAnsi="宋体" w:cs="宋体" w:hint="eastAsia"/>
          <w:color w:val="4D4D4D"/>
          <w:kern w:val="0"/>
          <w:sz w:val="30"/>
          <w:szCs w:val="30"/>
        </w:rPr>
        <w:t>，只有同时具备上海证券市场证券账户（A股账户或基金账户）和金交所黄金账户的投资者才可参与黄金现货合约申赎，黄金现货合约</w:t>
      </w:r>
      <w:proofErr w:type="gramStart"/>
      <w:r w:rsidRPr="00657C07">
        <w:rPr>
          <w:rFonts w:ascii="仿宋_GB2312" w:eastAsia="仿宋_GB2312" w:hAnsi="宋体" w:cs="宋体" w:hint="eastAsia"/>
          <w:color w:val="4D4D4D"/>
          <w:kern w:val="0"/>
          <w:sz w:val="30"/>
          <w:szCs w:val="30"/>
        </w:rPr>
        <w:t>申赎由</w:t>
      </w:r>
      <w:proofErr w:type="gramEnd"/>
      <w:r w:rsidRPr="00657C07">
        <w:rPr>
          <w:rFonts w:ascii="仿宋_GB2312" w:eastAsia="仿宋_GB2312" w:hAnsi="宋体" w:cs="宋体" w:hint="eastAsia"/>
          <w:color w:val="4D4D4D"/>
          <w:kern w:val="0"/>
          <w:sz w:val="30"/>
          <w:szCs w:val="30"/>
        </w:rPr>
        <w:t>本所、金交所和结算公司建立实时联通的信息通道提供支持。投资者申购获得的基金份额及赎回获得的黄金现货合约实时可用，结算公司盘后根据本所发送的</w:t>
      </w:r>
      <w:proofErr w:type="gramStart"/>
      <w:r w:rsidRPr="00657C07">
        <w:rPr>
          <w:rFonts w:ascii="仿宋_GB2312" w:eastAsia="仿宋_GB2312" w:hAnsi="宋体" w:cs="宋体" w:hint="eastAsia"/>
          <w:color w:val="4D4D4D"/>
          <w:kern w:val="0"/>
          <w:sz w:val="30"/>
          <w:szCs w:val="30"/>
        </w:rPr>
        <w:t>申赎数据</w:t>
      </w:r>
      <w:proofErr w:type="gramEnd"/>
      <w:r w:rsidRPr="00657C07">
        <w:rPr>
          <w:rFonts w:ascii="仿宋_GB2312" w:eastAsia="仿宋_GB2312" w:hAnsi="宋体" w:cs="宋体" w:hint="eastAsia"/>
          <w:color w:val="4D4D4D"/>
          <w:kern w:val="0"/>
          <w:sz w:val="30"/>
          <w:szCs w:val="30"/>
        </w:rPr>
        <w:t>完成份额变更登记。</w:t>
      </w:r>
    </w:p>
    <w:p w:rsidR="00AB1931" w:rsidRPr="00657C07" w:rsidRDefault="00AB1931" w:rsidP="00A27EBE">
      <w:pPr>
        <w:widowControl/>
        <w:shd w:val="clear" w:color="auto" w:fill="FFFFFF"/>
        <w:spacing w:before="100" w:beforeAutospacing="1" w:after="100" w:afterAutospacing="1" w:line="384" w:lineRule="auto"/>
        <w:ind w:firstLineChars="800" w:firstLine="240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w:t>
      </w:r>
      <w:proofErr w:type="gramStart"/>
      <w:r w:rsidRPr="00657C07">
        <w:rPr>
          <w:rFonts w:ascii="仿宋_GB2312" w:eastAsia="仿宋_GB2312" w:hAnsi="宋体" w:cs="宋体" w:hint="eastAsia"/>
          <w:color w:val="4D4D4D"/>
          <w:kern w:val="0"/>
          <w:sz w:val="30"/>
          <w:szCs w:val="30"/>
        </w:rPr>
        <w:t>申赎模式</w:t>
      </w:r>
      <w:proofErr w:type="gramEnd"/>
      <w:r w:rsidRPr="00657C07">
        <w:rPr>
          <w:rFonts w:ascii="仿宋_GB2312" w:eastAsia="仿宋_GB2312" w:hAnsi="宋体" w:cs="宋体" w:hint="eastAsia"/>
          <w:color w:val="4D4D4D"/>
          <w:kern w:val="0"/>
          <w:sz w:val="30"/>
          <w:szCs w:val="30"/>
        </w:rPr>
        <w:t>对照表</w:t>
      </w:r>
    </w:p>
    <w:tbl>
      <w:tblPr>
        <w:tblW w:w="8295" w:type="dxa"/>
        <w:tblInd w:w="93" w:type="dxa"/>
        <w:tblLook w:val="04A0"/>
      </w:tblPr>
      <w:tblGrid>
        <w:gridCol w:w="640"/>
        <w:gridCol w:w="2255"/>
        <w:gridCol w:w="3240"/>
        <w:gridCol w:w="2160"/>
      </w:tblGrid>
      <w:tr w:rsidR="00AB1931" w:rsidRPr="00AB1931" w:rsidTr="00AB1931">
        <w:trPr>
          <w:trHeight w:val="945"/>
        </w:trPr>
        <w:tc>
          <w:tcPr>
            <w:tcW w:w="2895"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proofErr w:type="gramStart"/>
            <w:r w:rsidRPr="00AB1931">
              <w:rPr>
                <w:rFonts w:ascii="仿宋_GB2312" w:eastAsia="仿宋_GB2312" w:hAnsi="宋体" w:cs="宋体" w:hint="eastAsia"/>
                <w:color w:val="4D4D4D"/>
                <w:kern w:val="0"/>
                <w:szCs w:val="21"/>
              </w:rPr>
              <w:t>申赎模式</w:t>
            </w:r>
            <w:proofErr w:type="gramEnd"/>
          </w:p>
        </w:tc>
        <w:tc>
          <w:tcPr>
            <w:tcW w:w="3240" w:type="dxa"/>
            <w:tcBorders>
              <w:top w:val="single" w:sz="8" w:space="0" w:color="auto"/>
              <w:left w:val="nil"/>
              <w:bottom w:val="single" w:sz="8" w:space="0" w:color="auto"/>
              <w:right w:val="single" w:sz="8"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黄金现货</w:t>
            </w:r>
            <w:proofErr w:type="gramStart"/>
            <w:r w:rsidRPr="00AB1931">
              <w:rPr>
                <w:rFonts w:ascii="仿宋_GB2312" w:eastAsia="仿宋_GB2312" w:hAnsi="宋体" w:cs="宋体" w:hint="eastAsia"/>
                <w:color w:val="4D4D4D"/>
                <w:kern w:val="0"/>
                <w:szCs w:val="21"/>
              </w:rPr>
              <w:t>合约申赎</w:t>
            </w:r>
            <w:proofErr w:type="gramEnd"/>
          </w:p>
        </w:tc>
        <w:tc>
          <w:tcPr>
            <w:tcW w:w="2160" w:type="dxa"/>
            <w:tcBorders>
              <w:top w:val="single" w:sz="8" w:space="0" w:color="auto"/>
              <w:left w:val="nil"/>
              <w:bottom w:val="single" w:sz="8" w:space="0" w:color="auto"/>
              <w:right w:val="single" w:sz="8"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proofErr w:type="gramStart"/>
            <w:r w:rsidRPr="00AB1931">
              <w:rPr>
                <w:rFonts w:ascii="仿宋_GB2312" w:eastAsia="仿宋_GB2312" w:hAnsi="宋体" w:cs="宋体" w:hint="eastAsia"/>
                <w:color w:val="4D4D4D"/>
                <w:kern w:val="0"/>
                <w:szCs w:val="21"/>
              </w:rPr>
              <w:t>现金申赎</w:t>
            </w:r>
            <w:proofErr w:type="gramEnd"/>
          </w:p>
        </w:tc>
      </w:tr>
      <w:tr w:rsidR="00AB1931" w:rsidRPr="00AB1931" w:rsidTr="00AB1931">
        <w:trPr>
          <w:trHeight w:val="720"/>
        </w:trPr>
        <w:tc>
          <w:tcPr>
            <w:tcW w:w="640" w:type="dxa"/>
            <w:vMerge w:val="restart"/>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spacing w:after="150" w:line="384" w:lineRule="auto"/>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申购效率</w:t>
            </w:r>
          </w:p>
        </w:tc>
        <w:tc>
          <w:tcPr>
            <w:tcW w:w="2255"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申购份额</w:t>
            </w:r>
            <w:proofErr w:type="gramStart"/>
            <w:r w:rsidRPr="00AB1931">
              <w:rPr>
                <w:rFonts w:ascii="仿宋_GB2312" w:eastAsia="仿宋_GB2312" w:hAnsi="宋体" w:cs="宋体" w:hint="eastAsia"/>
                <w:color w:val="4D4D4D"/>
                <w:kern w:val="0"/>
                <w:szCs w:val="21"/>
              </w:rPr>
              <w:t>可用日</w:t>
            </w:r>
            <w:proofErr w:type="gramEnd"/>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T日可卖，</w:t>
            </w:r>
          </w:p>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T日可赎回</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T+1日可卖（完成清算交收后），T+1日可赎回（完成清算交收后）</w:t>
            </w:r>
          </w:p>
        </w:tc>
      </w:tr>
      <w:tr w:rsidR="00AB1931" w:rsidRPr="00AB1931" w:rsidTr="00AB1931">
        <w:trPr>
          <w:trHeight w:val="600"/>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rPr>
                <w:rFonts w:ascii="宋体" w:eastAsia="宋体" w:hAnsi="宋体" w:cs="宋体"/>
                <w:color w:val="4D4D4D"/>
                <w:kern w:val="0"/>
                <w:szCs w:val="21"/>
              </w:rPr>
            </w:pPr>
          </w:p>
        </w:tc>
        <w:tc>
          <w:tcPr>
            <w:tcW w:w="2255"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申购份额登记日</w:t>
            </w:r>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i/>
                <w:iCs/>
                <w:color w:val="4D4D4D"/>
                <w:kern w:val="0"/>
                <w:szCs w:val="21"/>
              </w:rPr>
              <w:t>T日</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T日</w:t>
            </w:r>
          </w:p>
        </w:tc>
      </w:tr>
      <w:tr w:rsidR="00AB1931" w:rsidRPr="00AB1931" w:rsidTr="00AB1931">
        <w:trPr>
          <w:trHeight w:val="645"/>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rPr>
                <w:rFonts w:ascii="宋体" w:eastAsia="宋体" w:hAnsi="宋体" w:cs="宋体"/>
                <w:color w:val="4D4D4D"/>
                <w:kern w:val="0"/>
                <w:szCs w:val="21"/>
              </w:rPr>
            </w:pPr>
          </w:p>
        </w:tc>
        <w:tc>
          <w:tcPr>
            <w:tcW w:w="2255"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代理买入合约日</w:t>
            </w:r>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i/>
                <w:iCs/>
                <w:color w:val="4D4D4D"/>
                <w:kern w:val="0"/>
                <w:szCs w:val="21"/>
              </w:rPr>
              <w:t>N/A</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i/>
                <w:iCs/>
                <w:color w:val="4D4D4D"/>
                <w:kern w:val="0"/>
                <w:szCs w:val="21"/>
              </w:rPr>
              <w:t>最快在T+1日，以基金公司具体约定为准</w:t>
            </w:r>
          </w:p>
        </w:tc>
      </w:tr>
      <w:tr w:rsidR="00AB1931" w:rsidRPr="00AB1931" w:rsidTr="00AB1931">
        <w:trPr>
          <w:trHeight w:val="960"/>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rPr>
                <w:rFonts w:ascii="宋体" w:eastAsia="宋体" w:hAnsi="宋体" w:cs="宋体"/>
                <w:color w:val="4D4D4D"/>
                <w:kern w:val="0"/>
                <w:szCs w:val="21"/>
              </w:rPr>
            </w:pPr>
          </w:p>
        </w:tc>
        <w:tc>
          <w:tcPr>
            <w:tcW w:w="2255"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清算交</w:t>
            </w:r>
            <w:proofErr w:type="gramStart"/>
            <w:r w:rsidRPr="00AB1931">
              <w:rPr>
                <w:rFonts w:ascii="仿宋_GB2312" w:eastAsia="仿宋_GB2312" w:hAnsi="宋体" w:cs="宋体" w:hint="eastAsia"/>
                <w:color w:val="4D4D4D"/>
                <w:kern w:val="0"/>
                <w:szCs w:val="21"/>
              </w:rPr>
              <w:t>收模式</w:t>
            </w:r>
            <w:proofErr w:type="gramEnd"/>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结算公司根据本所数据做份额变更登记，资金清算交收由金交所完成</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结算公司盘后逐笔全额清算交收</w:t>
            </w:r>
          </w:p>
        </w:tc>
      </w:tr>
      <w:tr w:rsidR="00AB1931" w:rsidRPr="00AB1931" w:rsidTr="00AB1931">
        <w:trPr>
          <w:trHeight w:val="480"/>
        </w:trPr>
        <w:tc>
          <w:tcPr>
            <w:tcW w:w="640" w:type="dxa"/>
            <w:vMerge w:val="restart"/>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spacing w:after="150" w:line="384" w:lineRule="auto"/>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赎回效率</w:t>
            </w:r>
          </w:p>
        </w:tc>
        <w:tc>
          <w:tcPr>
            <w:tcW w:w="2255" w:type="dxa"/>
            <w:tcBorders>
              <w:top w:val="nil"/>
              <w:left w:val="nil"/>
              <w:bottom w:val="nil"/>
              <w:right w:val="single" w:sz="8"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赎回合约</w:t>
            </w:r>
            <w:proofErr w:type="gramStart"/>
            <w:r w:rsidRPr="00AB1931">
              <w:rPr>
                <w:rFonts w:ascii="仿宋_GB2312" w:eastAsia="仿宋_GB2312" w:hAnsi="宋体" w:cs="宋体" w:hint="eastAsia"/>
                <w:color w:val="4D4D4D"/>
                <w:kern w:val="0"/>
                <w:szCs w:val="21"/>
              </w:rPr>
              <w:t>可用日</w:t>
            </w:r>
            <w:proofErr w:type="gramEnd"/>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黄金现货合约T日可卖，赎回的黄金现货合约T日可用于申购(具体以金交</w:t>
            </w:r>
            <w:proofErr w:type="gramStart"/>
            <w:r w:rsidRPr="00AB1931">
              <w:rPr>
                <w:rFonts w:ascii="仿宋_GB2312" w:eastAsia="仿宋_GB2312" w:hAnsi="宋体" w:cs="宋体" w:hint="eastAsia"/>
                <w:color w:val="4D4D4D"/>
                <w:kern w:val="0"/>
                <w:szCs w:val="21"/>
              </w:rPr>
              <w:t>所相关</w:t>
            </w:r>
            <w:proofErr w:type="gramEnd"/>
            <w:r w:rsidRPr="00AB1931">
              <w:rPr>
                <w:rFonts w:ascii="仿宋_GB2312" w:eastAsia="仿宋_GB2312" w:hAnsi="宋体" w:cs="宋体" w:hint="eastAsia"/>
                <w:color w:val="4D4D4D"/>
                <w:kern w:val="0"/>
                <w:szCs w:val="21"/>
              </w:rPr>
              <w:t>业务规则为准)</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after="150" w:line="384" w:lineRule="auto"/>
              <w:ind w:hanging="10"/>
              <w:rPr>
                <w:rFonts w:ascii="宋体" w:eastAsia="宋体" w:hAnsi="宋体" w:cs="宋体"/>
                <w:color w:val="4D4D4D"/>
                <w:kern w:val="0"/>
                <w:szCs w:val="21"/>
              </w:rPr>
            </w:pPr>
            <w:r w:rsidRPr="00AB1931">
              <w:rPr>
                <w:rFonts w:ascii="仿宋_GB2312" w:eastAsia="仿宋_GB2312" w:hAnsi="宋体" w:cs="宋体" w:hint="eastAsia"/>
                <w:i/>
                <w:iCs/>
                <w:color w:val="FF0000"/>
                <w:kern w:val="0"/>
                <w:szCs w:val="21"/>
              </w:rPr>
              <w:t>N/A</w:t>
            </w:r>
          </w:p>
        </w:tc>
      </w:tr>
      <w:tr w:rsidR="00AB1931" w:rsidRPr="00AB1931" w:rsidTr="00AB1931">
        <w:trPr>
          <w:trHeight w:val="825"/>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rPr>
                <w:rFonts w:ascii="宋体" w:eastAsia="宋体" w:hAnsi="宋体" w:cs="宋体"/>
                <w:color w:val="4D4D4D"/>
                <w:kern w:val="0"/>
                <w:szCs w:val="21"/>
              </w:rPr>
            </w:pPr>
          </w:p>
        </w:tc>
        <w:tc>
          <w:tcPr>
            <w:tcW w:w="2255" w:type="dxa"/>
            <w:tcBorders>
              <w:top w:val="single" w:sz="8" w:space="0" w:color="auto"/>
              <w:left w:val="nil"/>
              <w:bottom w:val="single" w:sz="8" w:space="0" w:color="auto"/>
              <w:right w:val="single" w:sz="8"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代理卖出合约日</w:t>
            </w:r>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i/>
                <w:iCs/>
                <w:color w:val="FF0000"/>
                <w:kern w:val="0"/>
                <w:szCs w:val="21"/>
              </w:rPr>
              <w:t>N/A</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i/>
                <w:iCs/>
                <w:color w:val="4D4D4D"/>
                <w:kern w:val="0"/>
                <w:szCs w:val="21"/>
              </w:rPr>
              <w:t>最快在T日，以基金公司具体约定为准</w:t>
            </w:r>
          </w:p>
        </w:tc>
      </w:tr>
      <w:tr w:rsidR="00AB1931" w:rsidRPr="00AB1931" w:rsidTr="00AB1931">
        <w:trPr>
          <w:trHeight w:val="825"/>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rPr>
                <w:rFonts w:ascii="宋体" w:eastAsia="宋体" w:hAnsi="宋体" w:cs="宋体"/>
                <w:color w:val="4D4D4D"/>
                <w:kern w:val="0"/>
                <w:szCs w:val="21"/>
              </w:rPr>
            </w:pPr>
          </w:p>
        </w:tc>
        <w:tc>
          <w:tcPr>
            <w:tcW w:w="2255" w:type="dxa"/>
            <w:tcBorders>
              <w:top w:val="single" w:sz="4" w:space="0" w:color="auto"/>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赎回资金</w:t>
            </w:r>
            <w:proofErr w:type="gramStart"/>
            <w:r w:rsidRPr="00AB1931">
              <w:rPr>
                <w:rFonts w:ascii="仿宋_GB2312" w:eastAsia="仿宋_GB2312" w:hAnsi="宋体" w:cs="宋体" w:hint="eastAsia"/>
                <w:color w:val="4D4D4D"/>
                <w:kern w:val="0"/>
                <w:szCs w:val="21"/>
              </w:rPr>
              <w:t>可用日</w:t>
            </w:r>
            <w:proofErr w:type="gramEnd"/>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i/>
                <w:iCs/>
                <w:color w:val="FF0000"/>
                <w:kern w:val="0"/>
                <w:szCs w:val="21"/>
              </w:rPr>
              <w:t>N/A</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i/>
                <w:iCs/>
                <w:color w:val="4D4D4D"/>
                <w:kern w:val="0"/>
                <w:szCs w:val="21"/>
              </w:rPr>
              <w:t>一般在T+1日之后，以基金公司具体约定为准</w:t>
            </w:r>
          </w:p>
        </w:tc>
      </w:tr>
      <w:tr w:rsidR="00AB1931" w:rsidRPr="00AB1931" w:rsidTr="00AB1931">
        <w:trPr>
          <w:trHeight w:val="720"/>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rPr>
                <w:rFonts w:ascii="宋体" w:eastAsia="宋体" w:hAnsi="宋体" w:cs="宋体"/>
                <w:color w:val="4D4D4D"/>
                <w:kern w:val="0"/>
                <w:szCs w:val="21"/>
              </w:rPr>
            </w:pPr>
          </w:p>
        </w:tc>
        <w:tc>
          <w:tcPr>
            <w:tcW w:w="2255"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份额</w:t>
            </w:r>
            <w:proofErr w:type="gramStart"/>
            <w:r w:rsidRPr="00AB1931">
              <w:rPr>
                <w:rFonts w:ascii="仿宋_GB2312" w:eastAsia="仿宋_GB2312" w:hAnsi="宋体" w:cs="宋体" w:hint="eastAsia"/>
                <w:color w:val="4D4D4D"/>
                <w:kern w:val="0"/>
                <w:szCs w:val="21"/>
              </w:rPr>
              <w:t>记减日</w:t>
            </w:r>
            <w:proofErr w:type="gramEnd"/>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T日盘中交易</w:t>
            </w:r>
            <w:proofErr w:type="gramStart"/>
            <w:r w:rsidRPr="00AB1931">
              <w:rPr>
                <w:rFonts w:ascii="仿宋_GB2312" w:eastAsia="仿宋_GB2312" w:hAnsi="宋体" w:cs="宋体" w:hint="eastAsia"/>
                <w:color w:val="4D4D4D"/>
                <w:kern w:val="0"/>
                <w:szCs w:val="21"/>
              </w:rPr>
              <w:t>系统记减可用</w:t>
            </w:r>
            <w:proofErr w:type="gramEnd"/>
            <w:r w:rsidRPr="00AB1931">
              <w:rPr>
                <w:rFonts w:ascii="仿宋_GB2312" w:eastAsia="仿宋_GB2312" w:hAnsi="宋体" w:cs="宋体" w:hint="eastAsia"/>
                <w:color w:val="4D4D4D"/>
                <w:kern w:val="0"/>
                <w:szCs w:val="21"/>
              </w:rPr>
              <w:t>额；T日盘后注销份额</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T日盘中交易</w:t>
            </w:r>
            <w:proofErr w:type="gramStart"/>
            <w:r w:rsidRPr="00AB1931">
              <w:rPr>
                <w:rFonts w:ascii="仿宋_GB2312" w:eastAsia="仿宋_GB2312" w:hAnsi="宋体" w:cs="宋体" w:hint="eastAsia"/>
                <w:color w:val="4D4D4D"/>
                <w:kern w:val="0"/>
                <w:szCs w:val="21"/>
              </w:rPr>
              <w:t>系统记减可用</w:t>
            </w:r>
            <w:proofErr w:type="gramEnd"/>
            <w:r w:rsidRPr="00AB1931">
              <w:rPr>
                <w:rFonts w:ascii="仿宋_GB2312" w:eastAsia="仿宋_GB2312" w:hAnsi="宋体" w:cs="宋体" w:hint="eastAsia"/>
                <w:color w:val="4D4D4D"/>
                <w:kern w:val="0"/>
                <w:szCs w:val="21"/>
              </w:rPr>
              <w:t>额；T日盘后结算公司注销份额</w:t>
            </w:r>
          </w:p>
        </w:tc>
      </w:tr>
      <w:tr w:rsidR="00AB1931" w:rsidRPr="00AB1931" w:rsidTr="00AB1931">
        <w:trPr>
          <w:trHeight w:val="960"/>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AB1931" w:rsidRPr="00AB1931" w:rsidRDefault="00AB1931" w:rsidP="00657C07">
            <w:pPr>
              <w:widowControl/>
              <w:rPr>
                <w:rFonts w:ascii="宋体" w:eastAsia="宋体" w:hAnsi="宋体" w:cs="宋体"/>
                <w:color w:val="4D4D4D"/>
                <w:kern w:val="0"/>
                <w:szCs w:val="21"/>
              </w:rPr>
            </w:pPr>
          </w:p>
        </w:tc>
        <w:tc>
          <w:tcPr>
            <w:tcW w:w="2255"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firstLineChars="200" w:firstLine="42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清算交</w:t>
            </w:r>
            <w:proofErr w:type="gramStart"/>
            <w:r w:rsidRPr="00AB1931">
              <w:rPr>
                <w:rFonts w:ascii="仿宋_GB2312" w:eastAsia="仿宋_GB2312" w:hAnsi="宋体" w:cs="宋体" w:hint="eastAsia"/>
                <w:color w:val="4D4D4D"/>
                <w:kern w:val="0"/>
                <w:szCs w:val="21"/>
              </w:rPr>
              <w:t>收模式</w:t>
            </w:r>
            <w:proofErr w:type="gramEnd"/>
          </w:p>
        </w:tc>
        <w:tc>
          <w:tcPr>
            <w:tcW w:w="324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结算公司根据本所数据做份额变更登记，资金清算交收由金交所完成</w:t>
            </w:r>
          </w:p>
        </w:tc>
        <w:tc>
          <w:tcPr>
            <w:tcW w:w="2160" w:type="dxa"/>
            <w:tcBorders>
              <w:top w:val="nil"/>
              <w:left w:val="nil"/>
              <w:bottom w:val="single" w:sz="4" w:space="0" w:color="auto"/>
              <w:right w:val="single" w:sz="4" w:space="0" w:color="auto"/>
            </w:tcBorders>
            <w:shd w:val="clear" w:color="auto" w:fill="auto"/>
            <w:vAlign w:val="center"/>
            <w:hideMark/>
          </w:tcPr>
          <w:p w:rsidR="00AB1931" w:rsidRPr="00AB1931" w:rsidRDefault="00AB1931" w:rsidP="00657C07">
            <w:pPr>
              <w:widowControl/>
              <w:spacing w:before="100" w:beforeAutospacing="1" w:after="100" w:afterAutospacing="1" w:line="384" w:lineRule="auto"/>
              <w:ind w:leftChars="-5" w:hangingChars="5" w:hanging="10"/>
              <w:rPr>
                <w:rFonts w:ascii="宋体" w:eastAsia="宋体" w:hAnsi="宋体" w:cs="宋体"/>
                <w:color w:val="4D4D4D"/>
                <w:kern w:val="0"/>
                <w:szCs w:val="21"/>
              </w:rPr>
            </w:pPr>
            <w:r w:rsidRPr="00AB1931">
              <w:rPr>
                <w:rFonts w:ascii="仿宋_GB2312" w:eastAsia="仿宋_GB2312" w:hAnsi="宋体" w:cs="宋体" w:hint="eastAsia"/>
                <w:color w:val="4D4D4D"/>
                <w:kern w:val="0"/>
                <w:szCs w:val="21"/>
              </w:rPr>
              <w:t>结算公司根据本所数据做份额变更登记，对赎回资金提供代收付服务</w:t>
            </w:r>
          </w:p>
        </w:tc>
      </w:tr>
    </w:tbl>
    <w:p w:rsidR="00AB1931" w:rsidRPr="00AB1931" w:rsidRDefault="00AB1931" w:rsidP="00657C07">
      <w:pPr>
        <w:widowControl/>
        <w:shd w:val="clear" w:color="auto" w:fill="FFFFFF"/>
        <w:spacing w:after="150" w:line="384" w:lineRule="auto"/>
        <w:rPr>
          <w:rFonts w:ascii="宋体" w:eastAsia="宋体" w:hAnsi="宋体" w:cs="宋体"/>
          <w:color w:val="4D4D4D"/>
          <w:kern w:val="0"/>
          <w:szCs w:val="21"/>
        </w:rPr>
      </w:pPr>
      <w:bookmarkStart w:id="0" w:name="_Toc291855379"/>
      <w:bookmarkStart w:id="1" w:name="_Toc338410899"/>
      <w:bookmarkStart w:id="2" w:name="_Toc347163304"/>
      <w:bookmarkEnd w:id="0"/>
      <w:bookmarkEnd w:id="1"/>
      <w:bookmarkEnd w:id="2"/>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二、证券账户</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bookmarkStart w:id="3" w:name="_Toc291855380"/>
      <w:bookmarkStart w:id="4" w:name="_Toc338410900"/>
      <w:bookmarkEnd w:id="3"/>
      <w:bookmarkEnd w:id="4"/>
      <w:r w:rsidRPr="00657C07">
        <w:rPr>
          <w:rFonts w:ascii="仿宋_GB2312" w:eastAsia="仿宋_GB2312" w:hAnsi="宋体" w:cs="宋体" w:hint="eastAsia"/>
          <w:color w:val="4D4D4D"/>
          <w:kern w:val="0"/>
          <w:sz w:val="30"/>
          <w:szCs w:val="30"/>
        </w:rPr>
        <w:t>投资者参与黄金ETF的现金</w:t>
      </w:r>
      <w:proofErr w:type="gramStart"/>
      <w:r w:rsidRPr="00657C07">
        <w:rPr>
          <w:rFonts w:ascii="仿宋_GB2312" w:eastAsia="仿宋_GB2312" w:hAnsi="宋体" w:cs="宋体" w:hint="eastAsia"/>
          <w:color w:val="4D4D4D"/>
          <w:kern w:val="0"/>
          <w:sz w:val="30"/>
          <w:szCs w:val="30"/>
        </w:rPr>
        <w:t>申赎和</w:t>
      </w:r>
      <w:proofErr w:type="gramEnd"/>
      <w:r w:rsidRPr="00657C07">
        <w:rPr>
          <w:rFonts w:ascii="仿宋_GB2312" w:eastAsia="仿宋_GB2312" w:hAnsi="宋体" w:cs="宋体" w:hint="eastAsia"/>
          <w:color w:val="4D4D4D"/>
          <w:kern w:val="0"/>
          <w:sz w:val="30"/>
          <w:szCs w:val="30"/>
        </w:rPr>
        <w:t>二级市场交易，仅需具备上海证券市场A股账户或基金账户。投资者参与黄金ETF黄金现货合约申赎，需同时具备上海证券市场证券账户和金交所黄金账户。参与黄金现货</w:t>
      </w:r>
      <w:proofErr w:type="gramStart"/>
      <w:r w:rsidRPr="00657C07">
        <w:rPr>
          <w:rFonts w:ascii="仿宋_GB2312" w:eastAsia="仿宋_GB2312" w:hAnsi="宋体" w:cs="宋体" w:hint="eastAsia"/>
          <w:color w:val="4D4D4D"/>
          <w:kern w:val="0"/>
          <w:sz w:val="30"/>
          <w:szCs w:val="30"/>
        </w:rPr>
        <w:t>合约申赎的</w:t>
      </w:r>
      <w:proofErr w:type="gramEnd"/>
      <w:r w:rsidRPr="00657C07">
        <w:rPr>
          <w:rFonts w:ascii="仿宋_GB2312" w:eastAsia="仿宋_GB2312" w:hAnsi="宋体" w:cs="宋体" w:hint="eastAsia"/>
          <w:color w:val="4D4D4D"/>
          <w:kern w:val="0"/>
          <w:sz w:val="30"/>
          <w:szCs w:val="30"/>
        </w:rPr>
        <w:t>投资者，应事先将其证券账户、交易单元和在金交所的黄金账户、意向参与的黄金ETF品种等信息在基金管理人处备案。基金管理人应分别向金交所和结算公司申请验证账户有效性，对投资者的黄金账户和证券账户进行绑定，并将确认后的投资者账户备案信息发送给金交所。</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三、市场参与者</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黄金ETF现金</w:t>
      </w:r>
      <w:proofErr w:type="gramStart"/>
      <w:r w:rsidRPr="00657C07">
        <w:rPr>
          <w:rFonts w:ascii="仿宋_GB2312" w:eastAsia="仿宋_GB2312" w:hAnsi="宋体" w:cs="宋体" w:hint="eastAsia"/>
          <w:color w:val="4D4D4D"/>
          <w:kern w:val="0"/>
          <w:sz w:val="30"/>
          <w:szCs w:val="30"/>
        </w:rPr>
        <w:t>申赎和</w:t>
      </w:r>
      <w:proofErr w:type="gramEnd"/>
      <w:r w:rsidRPr="00657C07">
        <w:rPr>
          <w:rFonts w:ascii="仿宋_GB2312" w:eastAsia="仿宋_GB2312" w:hAnsi="宋体" w:cs="宋体" w:hint="eastAsia"/>
          <w:color w:val="4D4D4D"/>
          <w:kern w:val="0"/>
          <w:sz w:val="30"/>
          <w:szCs w:val="30"/>
        </w:rPr>
        <w:t>二级市场交易的参与者与现有</w:t>
      </w:r>
      <w:proofErr w:type="gramStart"/>
      <w:r w:rsidRPr="00657C07">
        <w:rPr>
          <w:rFonts w:ascii="仿宋_GB2312" w:eastAsia="仿宋_GB2312" w:hAnsi="宋体" w:cs="宋体" w:hint="eastAsia"/>
          <w:color w:val="4D4D4D"/>
          <w:kern w:val="0"/>
          <w:sz w:val="30"/>
          <w:szCs w:val="30"/>
        </w:rPr>
        <w:t>单市场</w:t>
      </w:r>
      <w:proofErr w:type="gramEnd"/>
      <w:r w:rsidRPr="00657C07">
        <w:rPr>
          <w:rFonts w:ascii="仿宋_GB2312" w:eastAsia="仿宋_GB2312" w:hAnsi="宋体" w:cs="宋体" w:hint="eastAsia"/>
          <w:color w:val="4D4D4D"/>
          <w:kern w:val="0"/>
          <w:sz w:val="30"/>
          <w:szCs w:val="30"/>
        </w:rPr>
        <w:t>ETF参与者基本相同，主要包括券商、基金、个人投资者及保险公司、财务公司等机构投资者。代销机构及参与者业务单元的管理模式与现有ETF相同。</w:t>
      </w:r>
    </w:p>
    <w:p w:rsidR="00A27EBE" w:rsidRDefault="00AB1931" w:rsidP="00657C07">
      <w:pPr>
        <w:widowControl/>
        <w:shd w:val="clear" w:color="auto" w:fill="FFFFFF"/>
        <w:spacing w:after="150" w:line="384" w:lineRule="auto"/>
        <w:ind w:firstLine="560"/>
        <w:rPr>
          <w:rFonts w:ascii="宋体" w:eastAsia="宋体" w:hAnsi="宋体" w:cs="宋体" w:hint="eastAsia"/>
          <w:color w:val="4D4D4D"/>
          <w:kern w:val="0"/>
          <w:szCs w:val="21"/>
        </w:rPr>
      </w:pPr>
      <w:r w:rsidRPr="00657C07">
        <w:rPr>
          <w:rFonts w:ascii="仿宋_GB2312" w:eastAsia="仿宋_GB2312" w:hAnsi="宋体" w:cs="宋体" w:hint="eastAsia"/>
          <w:color w:val="4D4D4D"/>
          <w:kern w:val="0"/>
          <w:sz w:val="30"/>
          <w:szCs w:val="30"/>
        </w:rPr>
        <w:t>黄金ETF黄金现货</w:t>
      </w:r>
      <w:proofErr w:type="gramStart"/>
      <w:r w:rsidRPr="00657C07">
        <w:rPr>
          <w:rFonts w:ascii="仿宋_GB2312" w:eastAsia="仿宋_GB2312" w:hAnsi="宋体" w:cs="宋体" w:hint="eastAsia"/>
          <w:color w:val="4D4D4D"/>
          <w:kern w:val="0"/>
          <w:sz w:val="30"/>
          <w:szCs w:val="30"/>
        </w:rPr>
        <w:t>合约申赎的</w:t>
      </w:r>
      <w:proofErr w:type="gramEnd"/>
      <w:r w:rsidRPr="00657C07">
        <w:rPr>
          <w:rFonts w:ascii="仿宋_GB2312" w:eastAsia="仿宋_GB2312" w:hAnsi="宋体" w:cs="宋体" w:hint="eastAsia"/>
          <w:color w:val="4D4D4D"/>
          <w:kern w:val="0"/>
          <w:sz w:val="30"/>
          <w:szCs w:val="30"/>
        </w:rPr>
        <w:t>参与者需同时开设证券账户和黄金账户，并完成账户信息备案后，才能使用黄金现货合约进行黄金ETF的申购和赎回。参与者主要包括金交所会员及其代理客户。</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四、发售</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bookmarkStart w:id="5" w:name="_Toc291855382"/>
      <w:bookmarkStart w:id="6" w:name="_Toc338410902"/>
      <w:bookmarkEnd w:id="5"/>
      <w:bookmarkEnd w:id="6"/>
      <w:r w:rsidRPr="00657C07">
        <w:rPr>
          <w:rFonts w:ascii="仿宋_GB2312" w:eastAsia="仿宋_GB2312" w:hAnsi="宋体" w:cs="宋体" w:hint="eastAsia"/>
          <w:color w:val="4D4D4D"/>
          <w:kern w:val="0"/>
          <w:sz w:val="30"/>
          <w:szCs w:val="30"/>
        </w:rPr>
        <w:t>黄金ETF在发行渠道上包括场内现金认购、场外现金认购和场外黄金合约认购。</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场内现金认购与</w:t>
      </w:r>
      <w:proofErr w:type="gramStart"/>
      <w:r w:rsidRPr="00657C07">
        <w:rPr>
          <w:rFonts w:ascii="仿宋_GB2312" w:eastAsia="仿宋_GB2312" w:hAnsi="宋体" w:cs="宋体" w:hint="eastAsia"/>
          <w:color w:val="4D4D4D"/>
          <w:kern w:val="0"/>
          <w:sz w:val="30"/>
          <w:szCs w:val="30"/>
        </w:rPr>
        <w:t>单市场</w:t>
      </w:r>
      <w:proofErr w:type="gramEnd"/>
      <w:r w:rsidRPr="00657C07">
        <w:rPr>
          <w:rFonts w:ascii="仿宋_GB2312" w:eastAsia="仿宋_GB2312" w:hAnsi="宋体" w:cs="宋体" w:hint="eastAsia"/>
          <w:color w:val="4D4D4D"/>
          <w:kern w:val="0"/>
          <w:sz w:val="30"/>
          <w:szCs w:val="30"/>
        </w:rPr>
        <w:t>ETF发行方式类似，场内现金认购可采用单日发行或多日发行，采用份额认购方式，单一账户每笔认购份额须为1000份或其整数</w:t>
      </w:r>
      <w:proofErr w:type="gramStart"/>
      <w:r w:rsidRPr="00657C07">
        <w:rPr>
          <w:rFonts w:ascii="仿宋_GB2312" w:eastAsia="仿宋_GB2312" w:hAnsi="宋体" w:cs="宋体" w:hint="eastAsia"/>
          <w:color w:val="4D4D4D"/>
          <w:kern w:val="0"/>
          <w:sz w:val="30"/>
          <w:szCs w:val="30"/>
        </w:rPr>
        <w:t>倍</w:t>
      </w:r>
      <w:proofErr w:type="gramEnd"/>
      <w:r w:rsidRPr="00657C07">
        <w:rPr>
          <w:rFonts w:ascii="仿宋_GB2312" w:eastAsia="仿宋_GB2312" w:hAnsi="宋体" w:cs="宋体" w:hint="eastAsia"/>
          <w:color w:val="4D4D4D"/>
          <w:kern w:val="0"/>
          <w:sz w:val="30"/>
          <w:szCs w:val="30"/>
        </w:rPr>
        <w:t>，最高不得超过99,999,000份。投资人可多次认购，累计认购份额不设上限。</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通过发售代理机构提交的网下现金认购申请,由该发售代理机构冻结相应的认购资金。各发售代理机构将每个投资人账户提交的网下现金认购申请汇总后,在网上现金认购阶段通过本所交易系统，</w:t>
      </w:r>
      <w:proofErr w:type="gramStart"/>
      <w:r w:rsidRPr="00657C07">
        <w:rPr>
          <w:rFonts w:ascii="仿宋_GB2312" w:eastAsia="仿宋_GB2312" w:hAnsi="宋体" w:cs="宋体" w:hint="eastAsia"/>
          <w:color w:val="4D4D4D"/>
          <w:kern w:val="0"/>
          <w:sz w:val="30"/>
          <w:szCs w:val="30"/>
        </w:rPr>
        <w:t>代该投资人</w:t>
      </w:r>
      <w:proofErr w:type="gramEnd"/>
      <w:r w:rsidRPr="00657C07">
        <w:rPr>
          <w:rFonts w:ascii="仿宋_GB2312" w:eastAsia="仿宋_GB2312" w:hAnsi="宋体" w:cs="宋体" w:hint="eastAsia"/>
          <w:color w:val="4D4D4D"/>
          <w:kern w:val="0"/>
          <w:sz w:val="30"/>
          <w:szCs w:val="30"/>
        </w:rPr>
        <w:t>提交网上现金认购申请。</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场外黄金现货合约认购前须事先将其证券账户、交易单元和在金交所的黄金账户、意向参与的黄金ETF品种等信息在基金管理人处备案。场外黄金现货合约认购期结束后，基金管理人向结算公司提交现货合约认购数据，结算公司根据基金管理人提供的份额登记申请和上述过户数据，进行ETF份额的初始登记。</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五、 二级市场交易</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本所为黄金ETF开设的代码段为518***，发行、申赎、交易相关的代码分配规则与</w:t>
      </w:r>
      <w:proofErr w:type="gramStart"/>
      <w:r w:rsidRPr="00657C07">
        <w:rPr>
          <w:rFonts w:ascii="仿宋_GB2312" w:eastAsia="仿宋_GB2312" w:hAnsi="宋体" w:cs="宋体" w:hint="eastAsia"/>
          <w:color w:val="4D4D4D"/>
          <w:kern w:val="0"/>
          <w:sz w:val="30"/>
          <w:szCs w:val="30"/>
        </w:rPr>
        <w:t>单市场</w:t>
      </w:r>
      <w:proofErr w:type="gramEnd"/>
      <w:r w:rsidRPr="00657C07">
        <w:rPr>
          <w:rFonts w:ascii="仿宋_GB2312" w:eastAsia="仿宋_GB2312" w:hAnsi="宋体" w:cs="宋体" w:hint="eastAsia"/>
          <w:color w:val="4D4D4D"/>
          <w:kern w:val="0"/>
          <w:sz w:val="30"/>
          <w:szCs w:val="30"/>
        </w:rPr>
        <w:t>股票ETF相同。</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二级市场交易基本要素如下：</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1）当日买入的基金份额当日可以卖出；</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2）当日买入的黄金ETF份额，当日可以现金赎回，但不可用于黄金现货合约赎回；</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3）申报价格最小变动单位为0.001元；</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4）买入申报数量为100份或其整数</w:t>
      </w:r>
      <w:proofErr w:type="gramStart"/>
      <w:r w:rsidRPr="00657C07">
        <w:rPr>
          <w:rFonts w:ascii="仿宋_GB2312" w:eastAsia="仿宋_GB2312" w:hAnsi="宋体" w:cs="宋体" w:hint="eastAsia"/>
          <w:color w:val="4D4D4D"/>
          <w:kern w:val="0"/>
          <w:sz w:val="30"/>
          <w:szCs w:val="30"/>
        </w:rPr>
        <w:t>倍</w:t>
      </w:r>
      <w:proofErr w:type="gramEnd"/>
      <w:r w:rsidRPr="00657C07">
        <w:rPr>
          <w:rFonts w:ascii="仿宋_GB2312" w:eastAsia="仿宋_GB2312" w:hAnsi="宋体" w:cs="宋体" w:hint="eastAsia"/>
          <w:color w:val="4D4D4D"/>
          <w:kern w:val="0"/>
          <w:sz w:val="30"/>
          <w:szCs w:val="30"/>
        </w:rPr>
        <w:t>，不足100份的部分可以卖出；</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5）涨跌幅限制为10%；</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6）交易时间：本所交易时间（集合竞价时间：上午9：15-9：25；连续竞价时间上午9：30-11：30；下午13：00-15：00；大宗交易时间15：00-15：30）。</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7）黄金ETF可适用大宗交易的相关规则。</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bookmarkStart w:id="7" w:name="_Toc291855383"/>
      <w:bookmarkStart w:id="8" w:name="_Toc338410903"/>
      <w:bookmarkEnd w:id="7"/>
      <w:bookmarkEnd w:id="8"/>
      <w:r w:rsidRPr="00C5159D">
        <w:rPr>
          <w:rFonts w:ascii="仿宋_GB2312" w:eastAsia="仿宋_GB2312" w:hAnsi="宋体" w:cs="宋体" w:hint="eastAsia"/>
          <w:b/>
          <w:bCs/>
          <w:color w:val="333333"/>
          <w:kern w:val="0"/>
          <w:sz w:val="32"/>
          <w:szCs w:val="32"/>
        </w:rPr>
        <w:t>六、申购与赎回</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1）现金申赎（上市首日起）</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当日开市前，基金管理人公布现金申购赎回清单，其中包括当日申购总量和赎回总量的限额。交易时间内，投资者通过代办券商</w:t>
      </w:r>
      <w:proofErr w:type="gramStart"/>
      <w:r w:rsidRPr="00657C07">
        <w:rPr>
          <w:rFonts w:ascii="仿宋_GB2312" w:eastAsia="仿宋_GB2312" w:hAnsi="宋体" w:cs="宋体" w:hint="eastAsia"/>
          <w:color w:val="4D4D4D"/>
          <w:kern w:val="0"/>
          <w:sz w:val="30"/>
          <w:szCs w:val="30"/>
        </w:rPr>
        <w:t>提交申赎申报</w:t>
      </w:r>
      <w:proofErr w:type="gramEnd"/>
      <w:r w:rsidRPr="00657C07">
        <w:rPr>
          <w:rFonts w:ascii="仿宋_GB2312" w:eastAsia="仿宋_GB2312" w:hAnsi="宋体" w:cs="宋体" w:hint="eastAsia"/>
          <w:color w:val="4D4D4D"/>
          <w:kern w:val="0"/>
          <w:sz w:val="30"/>
          <w:szCs w:val="30"/>
        </w:rPr>
        <w:t>，代办券商负责检查申购的对价是否足额。交易系统接收代办券商</w:t>
      </w:r>
      <w:proofErr w:type="gramStart"/>
      <w:r w:rsidRPr="00657C07">
        <w:rPr>
          <w:rFonts w:ascii="仿宋_GB2312" w:eastAsia="仿宋_GB2312" w:hAnsi="宋体" w:cs="宋体" w:hint="eastAsia"/>
          <w:color w:val="4D4D4D"/>
          <w:kern w:val="0"/>
          <w:sz w:val="30"/>
          <w:szCs w:val="30"/>
        </w:rPr>
        <w:t>的申赎申报</w:t>
      </w:r>
      <w:proofErr w:type="gramEnd"/>
      <w:r w:rsidRPr="00657C07">
        <w:rPr>
          <w:rFonts w:ascii="仿宋_GB2312" w:eastAsia="仿宋_GB2312" w:hAnsi="宋体" w:cs="宋体" w:hint="eastAsia"/>
          <w:color w:val="4D4D4D"/>
          <w:kern w:val="0"/>
          <w:sz w:val="30"/>
          <w:szCs w:val="30"/>
        </w:rPr>
        <w:t>后，检查当日该基金的</w:t>
      </w:r>
      <w:proofErr w:type="gramStart"/>
      <w:r w:rsidRPr="00657C07">
        <w:rPr>
          <w:rFonts w:ascii="仿宋_GB2312" w:eastAsia="仿宋_GB2312" w:hAnsi="宋体" w:cs="宋体" w:hint="eastAsia"/>
          <w:color w:val="4D4D4D"/>
          <w:kern w:val="0"/>
          <w:sz w:val="30"/>
          <w:szCs w:val="30"/>
        </w:rPr>
        <w:t>累计申赎申报</w:t>
      </w:r>
      <w:proofErr w:type="gramEnd"/>
      <w:r w:rsidRPr="00657C07">
        <w:rPr>
          <w:rFonts w:ascii="仿宋_GB2312" w:eastAsia="仿宋_GB2312" w:hAnsi="宋体" w:cs="宋体" w:hint="eastAsia"/>
          <w:color w:val="4D4D4D"/>
          <w:kern w:val="0"/>
          <w:sz w:val="30"/>
          <w:szCs w:val="30"/>
        </w:rPr>
        <w:t>是否超过基金管理人规定的限额，对通过检查的赎回申请，</w:t>
      </w:r>
      <w:proofErr w:type="gramStart"/>
      <w:r w:rsidRPr="00657C07">
        <w:rPr>
          <w:rFonts w:ascii="仿宋_GB2312" w:eastAsia="仿宋_GB2312" w:hAnsi="宋体" w:cs="宋体" w:hint="eastAsia"/>
          <w:color w:val="4D4D4D"/>
          <w:kern w:val="0"/>
          <w:sz w:val="30"/>
          <w:szCs w:val="30"/>
        </w:rPr>
        <w:t>实时记减投资者</w:t>
      </w:r>
      <w:proofErr w:type="gramEnd"/>
      <w:r w:rsidRPr="00657C07">
        <w:rPr>
          <w:rFonts w:ascii="仿宋_GB2312" w:eastAsia="仿宋_GB2312" w:hAnsi="宋体" w:cs="宋体" w:hint="eastAsia"/>
          <w:color w:val="4D4D4D"/>
          <w:kern w:val="0"/>
          <w:sz w:val="30"/>
          <w:szCs w:val="30"/>
        </w:rPr>
        <w:t>可卖出或赎回的ETF份额，实时</w:t>
      </w:r>
      <w:proofErr w:type="gramStart"/>
      <w:r w:rsidRPr="00657C07">
        <w:rPr>
          <w:rFonts w:ascii="仿宋_GB2312" w:eastAsia="仿宋_GB2312" w:hAnsi="宋体" w:cs="宋体" w:hint="eastAsia"/>
          <w:color w:val="4D4D4D"/>
          <w:kern w:val="0"/>
          <w:sz w:val="30"/>
          <w:szCs w:val="30"/>
        </w:rPr>
        <w:t>发送申赎确认</w:t>
      </w:r>
      <w:proofErr w:type="gramEnd"/>
      <w:r w:rsidRPr="00657C07">
        <w:rPr>
          <w:rFonts w:ascii="仿宋_GB2312" w:eastAsia="仿宋_GB2312" w:hAnsi="宋体" w:cs="宋体" w:hint="eastAsia"/>
          <w:color w:val="4D4D4D"/>
          <w:kern w:val="0"/>
          <w:sz w:val="30"/>
          <w:szCs w:val="30"/>
        </w:rPr>
        <w:t>信息给券商、基金管理人。基金管理人在金交所买入（卖出）相应的黄金现货合约。</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申购申报不允许撤单，当日现金申购的黄金ETF份额，当日清算交</w:t>
      </w:r>
      <w:proofErr w:type="gramStart"/>
      <w:r w:rsidRPr="00657C07">
        <w:rPr>
          <w:rFonts w:ascii="仿宋_GB2312" w:eastAsia="仿宋_GB2312" w:hAnsi="宋体" w:cs="宋体" w:hint="eastAsia"/>
          <w:color w:val="4D4D4D"/>
          <w:kern w:val="0"/>
          <w:sz w:val="30"/>
          <w:szCs w:val="30"/>
        </w:rPr>
        <w:t>收完成</w:t>
      </w:r>
      <w:proofErr w:type="gramEnd"/>
      <w:r w:rsidRPr="00657C07">
        <w:rPr>
          <w:rFonts w:ascii="仿宋_GB2312" w:eastAsia="仿宋_GB2312" w:hAnsi="宋体" w:cs="宋体" w:hint="eastAsia"/>
          <w:color w:val="4D4D4D"/>
          <w:kern w:val="0"/>
          <w:sz w:val="30"/>
          <w:szCs w:val="30"/>
        </w:rPr>
        <w:t>后，可于次一交易日卖出、现金赎回或黄金现货合约赎回。</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现金申购与赎回时间：上午9：30-11：30；下午13：00-15：00。</w:t>
      </w:r>
    </w:p>
    <w:p w:rsidR="00AB1931" w:rsidRPr="00657C07" w:rsidRDefault="00AB1931" w:rsidP="00657C07">
      <w:pPr>
        <w:widowControl/>
        <w:shd w:val="clear" w:color="auto" w:fill="FFFFFF"/>
        <w:spacing w:after="150" w:line="384" w:lineRule="auto"/>
        <w:ind w:firstLine="549"/>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2）</w:t>
      </w:r>
      <w:bookmarkStart w:id="9" w:name="_Toc332274174"/>
      <w:bookmarkStart w:id="10" w:name="_Toc291855384"/>
      <w:bookmarkStart w:id="11" w:name="_Toc338410904"/>
      <w:bookmarkEnd w:id="9"/>
      <w:bookmarkEnd w:id="10"/>
      <w:bookmarkEnd w:id="11"/>
      <w:r w:rsidRPr="00657C07">
        <w:rPr>
          <w:rFonts w:ascii="仿宋_GB2312" w:eastAsia="仿宋_GB2312" w:hAnsi="宋体" w:cs="宋体" w:hint="eastAsia"/>
          <w:color w:val="4D4D4D"/>
          <w:kern w:val="0"/>
          <w:sz w:val="30"/>
          <w:szCs w:val="30"/>
        </w:rPr>
        <w:t>黄金现货合约申赎</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投资者进行黄金现货</w:t>
      </w:r>
      <w:proofErr w:type="gramStart"/>
      <w:r w:rsidRPr="00657C07">
        <w:rPr>
          <w:rFonts w:ascii="仿宋_GB2312" w:eastAsia="仿宋_GB2312" w:hAnsi="宋体" w:cs="宋体" w:hint="eastAsia"/>
          <w:color w:val="4D4D4D"/>
          <w:kern w:val="0"/>
          <w:sz w:val="30"/>
          <w:szCs w:val="30"/>
        </w:rPr>
        <w:t>合约申赎前</w:t>
      </w:r>
      <w:proofErr w:type="gramEnd"/>
      <w:r w:rsidRPr="00657C07">
        <w:rPr>
          <w:rFonts w:ascii="仿宋_GB2312" w:eastAsia="仿宋_GB2312" w:hAnsi="宋体" w:cs="宋体" w:hint="eastAsia"/>
          <w:color w:val="4D4D4D"/>
          <w:kern w:val="0"/>
          <w:sz w:val="30"/>
          <w:szCs w:val="30"/>
        </w:rPr>
        <w:t>需在基金管理人事先完成账户备案，基金管理人分别在结算公司和金交所验证投资者在两个市场账户的有效性。投资者证券账号、黄金账号等信息发生变化时，应及时更新在基金管理人的备案信息。代办券商应及时向其客户披露对应的交易单元号，以便客户进行黄金现货合约申赎。</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交易时间内，投资者通过金交所会员向金交所提交申购申报。本所接受金交所传送的投资者</w:t>
      </w:r>
      <w:proofErr w:type="gramStart"/>
      <w:r w:rsidRPr="00657C07">
        <w:rPr>
          <w:rFonts w:ascii="仿宋_GB2312" w:eastAsia="仿宋_GB2312" w:hAnsi="宋体" w:cs="宋体" w:hint="eastAsia"/>
          <w:color w:val="4D4D4D"/>
          <w:kern w:val="0"/>
          <w:sz w:val="30"/>
          <w:szCs w:val="30"/>
        </w:rPr>
        <w:t>申赎数据</w:t>
      </w:r>
      <w:proofErr w:type="gramEnd"/>
      <w:r w:rsidRPr="00657C07">
        <w:rPr>
          <w:rFonts w:ascii="仿宋_GB2312" w:eastAsia="仿宋_GB2312" w:hAnsi="宋体" w:cs="宋体" w:hint="eastAsia"/>
          <w:color w:val="4D4D4D"/>
          <w:kern w:val="0"/>
          <w:sz w:val="30"/>
          <w:szCs w:val="30"/>
        </w:rPr>
        <w:t>及黄金现货合约冻结数据后，检查投资者账户合法性、指定交易关系等，对通过检查的申报，将成功的申购确认数据</w:t>
      </w:r>
      <w:proofErr w:type="gramStart"/>
      <w:r w:rsidRPr="00657C07">
        <w:rPr>
          <w:rFonts w:ascii="仿宋_GB2312" w:eastAsia="仿宋_GB2312" w:hAnsi="宋体" w:cs="宋体" w:hint="eastAsia"/>
          <w:color w:val="4D4D4D"/>
          <w:kern w:val="0"/>
          <w:sz w:val="30"/>
          <w:szCs w:val="30"/>
        </w:rPr>
        <w:t>实时发金</w:t>
      </w:r>
      <w:proofErr w:type="gramEnd"/>
      <w:r w:rsidRPr="00657C07">
        <w:rPr>
          <w:rFonts w:ascii="仿宋_GB2312" w:eastAsia="仿宋_GB2312" w:hAnsi="宋体" w:cs="宋体" w:hint="eastAsia"/>
          <w:color w:val="4D4D4D"/>
          <w:kern w:val="0"/>
          <w:sz w:val="30"/>
          <w:szCs w:val="30"/>
        </w:rPr>
        <w:t>交所、基金管理人和结算公司，登记结算公司依据本所提供的</w:t>
      </w:r>
      <w:proofErr w:type="gramStart"/>
      <w:r w:rsidRPr="00657C07">
        <w:rPr>
          <w:rFonts w:ascii="仿宋_GB2312" w:eastAsia="仿宋_GB2312" w:hAnsi="宋体" w:cs="宋体" w:hint="eastAsia"/>
          <w:color w:val="4D4D4D"/>
          <w:kern w:val="0"/>
          <w:sz w:val="30"/>
          <w:szCs w:val="30"/>
        </w:rPr>
        <w:t>申赎成交</w:t>
      </w:r>
      <w:proofErr w:type="gramEnd"/>
      <w:r w:rsidRPr="00657C07">
        <w:rPr>
          <w:rFonts w:ascii="仿宋_GB2312" w:eastAsia="仿宋_GB2312" w:hAnsi="宋体" w:cs="宋体" w:hint="eastAsia"/>
          <w:color w:val="4D4D4D"/>
          <w:kern w:val="0"/>
          <w:sz w:val="30"/>
          <w:szCs w:val="30"/>
        </w:rPr>
        <w:t>确认信息进行ETF份额登记（</w:t>
      </w:r>
      <w:proofErr w:type="gramStart"/>
      <w:r w:rsidRPr="00657C07">
        <w:rPr>
          <w:rFonts w:ascii="仿宋_GB2312" w:eastAsia="仿宋_GB2312" w:hAnsi="宋体" w:cs="宋体" w:hint="eastAsia"/>
          <w:color w:val="4D4D4D"/>
          <w:kern w:val="0"/>
          <w:sz w:val="30"/>
          <w:szCs w:val="30"/>
        </w:rPr>
        <w:t>实时记增投资者</w:t>
      </w:r>
      <w:proofErr w:type="gramEnd"/>
      <w:r w:rsidRPr="00657C07">
        <w:rPr>
          <w:rFonts w:ascii="仿宋_GB2312" w:eastAsia="仿宋_GB2312" w:hAnsi="宋体" w:cs="宋体" w:hint="eastAsia"/>
          <w:color w:val="4D4D4D"/>
          <w:kern w:val="0"/>
          <w:sz w:val="30"/>
          <w:szCs w:val="30"/>
        </w:rPr>
        <w:t>可卖出或赎回的ETF份额），并向相应的券商（通过交易单元）发送份额增加信息。对未通过检查的申报，本所只向金交所反馈确认失败信息。金交所收到本所成功确认信息后实时进行黄金现货合约过户，即从投资者黄金账户过户到ETF托管黄金账户。对于未通过检查的申购申请，金交所收到本所失败确认信息后，解除相应黄金合约的冻结。</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当日开盘前，结算公司向交易系统传送投资者账户的“可赎回额度”。可赎回额度是指前一日已完成资金交收并登记在投资者名的ETF份额或买入并已完成预交收的ETF份额。交易时间内本所交易系统收到金交所传送的投资者赎回申报后，检查投资者账户合法性、指定交易关系等，然后检查赎回数量是否未超过其持仓量和“可赎回额度”，如同时满足两项条件，则赎回成功，登记结算公司依据本所提供的成交确认信息</w:t>
      </w:r>
      <w:proofErr w:type="gramStart"/>
      <w:r w:rsidRPr="00657C07">
        <w:rPr>
          <w:rFonts w:ascii="仿宋_GB2312" w:eastAsia="仿宋_GB2312" w:hAnsi="宋体" w:cs="宋体" w:hint="eastAsia"/>
          <w:color w:val="4D4D4D"/>
          <w:kern w:val="0"/>
          <w:sz w:val="30"/>
          <w:szCs w:val="30"/>
        </w:rPr>
        <w:t>实时记减投资者</w:t>
      </w:r>
      <w:proofErr w:type="gramEnd"/>
      <w:r w:rsidRPr="00657C07">
        <w:rPr>
          <w:rFonts w:ascii="仿宋_GB2312" w:eastAsia="仿宋_GB2312" w:hAnsi="宋体" w:cs="宋体" w:hint="eastAsia"/>
          <w:color w:val="4D4D4D"/>
          <w:kern w:val="0"/>
          <w:sz w:val="30"/>
          <w:szCs w:val="30"/>
        </w:rPr>
        <w:t>持有的ETF份额和“可赎回额度”。</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本所交易系统将成功的赎回确认数据</w:t>
      </w:r>
      <w:proofErr w:type="gramStart"/>
      <w:r w:rsidRPr="00657C07">
        <w:rPr>
          <w:rFonts w:ascii="仿宋_GB2312" w:eastAsia="仿宋_GB2312" w:hAnsi="宋体" w:cs="宋体" w:hint="eastAsia"/>
          <w:color w:val="4D4D4D"/>
          <w:kern w:val="0"/>
          <w:sz w:val="30"/>
          <w:szCs w:val="30"/>
        </w:rPr>
        <w:t>实时发金</w:t>
      </w:r>
      <w:proofErr w:type="gramEnd"/>
      <w:r w:rsidRPr="00657C07">
        <w:rPr>
          <w:rFonts w:ascii="仿宋_GB2312" w:eastAsia="仿宋_GB2312" w:hAnsi="宋体" w:cs="宋体" w:hint="eastAsia"/>
          <w:color w:val="4D4D4D"/>
          <w:kern w:val="0"/>
          <w:sz w:val="30"/>
          <w:szCs w:val="30"/>
        </w:rPr>
        <w:t>交所、基金管理人、结算公司，并向相应的券商（交易单元）发送份额减少信息。金交所接收到本所的成功确认信息后，实时进行黄金现货合约过户，即从ETF托管黄金账户过户到投资者黄金账户；如收到本所确认失败信息，则通过其会员向投资者发送赎回失败的反馈。</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对未通过检查</w:t>
      </w:r>
      <w:proofErr w:type="gramStart"/>
      <w:r w:rsidRPr="00657C07">
        <w:rPr>
          <w:rFonts w:ascii="仿宋_GB2312" w:eastAsia="仿宋_GB2312" w:hAnsi="宋体" w:cs="宋体" w:hint="eastAsia"/>
          <w:color w:val="4D4D4D"/>
          <w:kern w:val="0"/>
          <w:sz w:val="30"/>
          <w:szCs w:val="30"/>
        </w:rPr>
        <w:t>的申赎申请</w:t>
      </w:r>
      <w:proofErr w:type="gramEnd"/>
      <w:r w:rsidRPr="00657C07">
        <w:rPr>
          <w:rFonts w:ascii="仿宋_GB2312" w:eastAsia="仿宋_GB2312" w:hAnsi="宋体" w:cs="宋体" w:hint="eastAsia"/>
          <w:color w:val="4D4D4D"/>
          <w:kern w:val="0"/>
          <w:sz w:val="30"/>
          <w:szCs w:val="30"/>
        </w:rPr>
        <w:t>，本所只向金交所发送确认失败信息。</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当日收盘后，本所将当日成功的申购数据发送给基金管理人和相应的券商；当日收盘后，结算公司根据本所盘中发送的申购数据，完成新增份额登记。</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当日黄金现货合约申购的黄金ETF份额，当日可以卖出、现金赎回或黄金现货合约赎回；当日黄金现货合约赎回获得的黄金现货合约，当日可以用于黄金现货合约申购。</w:t>
      </w:r>
    </w:p>
    <w:p w:rsidR="00AB1931" w:rsidRPr="00657C07" w:rsidRDefault="00AB1931" w:rsidP="00657C07">
      <w:pPr>
        <w:widowControl/>
        <w:shd w:val="clear" w:color="auto" w:fill="FFFFFF"/>
        <w:spacing w:after="150" w:line="384" w:lineRule="auto"/>
        <w:ind w:firstLine="560"/>
        <w:rPr>
          <w:rFonts w:ascii="仿宋_GB2312" w:eastAsia="仿宋_GB2312" w:hAnsi="宋体" w:cs="宋体" w:hint="eastAsia"/>
          <w:color w:val="4D4D4D"/>
          <w:kern w:val="0"/>
          <w:sz w:val="30"/>
          <w:szCs w:val="30"/>
        </w:rPr>
      </w:pPr>
      <w:r w:rsidRPr="00657C07">
        <w:rPr>
          <w:rFonts w:ascii="仿宋_GB2312" w:eastAsia="仿宋_GB2312" w:hAnsi="宋体" w:cs="宋体" w:hint="eastAsia"/>
          <w:color w:val="4D4D4D"/>
          <w:kern w:val="0"/>
          <w:sz w:val="30"/>
          <w:szCs w:val="30"/>
        </w:rPr>
        <w:t>黄金现货</w:t>
      </w:r>
      <w:proofErr w:type="gramStart"/>
      <w:r w:rsidRPr="00657C07">
        <w:rPr>
          <w:rFonts w:ascii="仿宋_GB2312" w:eastAsia="仿宋_GB2312" w:hAnsi="宋体" w:cs="宋体" w:hint="eastAsia"/>
          <w:color w:val="4D4D4D"/>
          <w:kern w:val="0"/>
          <w:sz w:val="30"/>
          <w:szCs w:val="30"/>
        </w:rPr>
        <w:t>合约申赎时间</w:t>
      </w:r>
      <w:proofErr w:type="gramEnd"/>
      <w:r w:rsidRPr="00657C07">
        <w:rPr>
          <w:rFonts w:ascii="仿宋_GB2312" w:eastAsia="仿宋_GB2312" w:hAnsi="宋体" w:cs="宋体" w:hint="eastAsia"/>
          <w:color w:val="4D4D4D"/>
          <w:kern w:val="0"/>
          <w:sz w:val="30"/>
          <w:szCs w:val="30"/>
        </w:rPr>
        <w:t>：上午9:30-11:30；下午13:00-15:00。</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七、登记结算</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1）现金申赎</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黄金ETF申购、赎回涉及的资金均采取非担保交收模式。</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对于申购的份额，结算公司根据本所发送的当日申购数据进行现金替代的逐笔清算，计算出结算参与人每笔申购应收付的资金数量，并将清算结果发送相关结算参与人和基金管理人。结算公司按照根据当日申报的先后顺序，逐笔检查该时点券商专用资金交收账户中资金是否足额（资金不足的不办理记增）。现金差额、现金替代退补款按基金招募说明书约定的时间进行代收代付。</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对于赎回的份额，当日末中国结算上海分公司根据本所的赎回数据，按照赎回方证券账户相应黄金ETF份额的可用数量，办理黄金ETF份额的记减。赎回现金替代和现金差额按基金招募说明书约定的时间进行代收代付（正常情况下，基金管理人在T+1日至T+3日可与券商完成赎回资金的交收）;当日买入的份额,日终预交收足额，下一交易日方可赎回。</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2）黄金现货合约申赎</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对于申购或赎回的份额，中国结算上海分公司根据本所发送的T日有效申购或赎回数据，进行黄金ETF份额的</w:t>
      </w:r>
      <w:proofErr w:type="gramStart"/>
      <w:r w:rsidRPr="00657C07">
        <w:rPr>
          <w:rFonts w:ascii="仿宋_GB2312" w:eastAsia="仿宋_GB2312" w:hAnsi="宋体" w:cs="宋体" w:hint="eastAsia"/>
          <w:color w:val="4D4D4D"/>
          <w:kern w:val="0"/>
          <w:sz w:val="30"/>
          <w:szCs w:val="30"/>
        </w:rPr>
        <w:t>记增记减</w:t>
      </w:r>
      <w:proofErr w:type="gramEnd"/>
      <w:r w:rsidRPr="00657C07">
        <w:rPr>
          <w:rFonts w:ascii="仿宋_GB2312" w:eastAsia="仿宋_GB2312" w:hAnsi="宋体" w:cs="宋体" w:hint="eastAsia"/>
          <w:color w:val="4D4D4D"/>
          <w:kern w:val="0"/>
          <w:sz w:val="30"/>
          <w:szCs w:val="30"/>
        </w:rPr>
        <w:t>。黄金现货合约</w:t>
      </w:r>
      <w:proofErr w:type="gramStart"/>
      <w:r w:rsidRPr="00657C07">
        <w:rPr>
          <w:rFonts w:ascii="仿宋_GB2312" w:eastAsia="仿宋_GB2312" w:hAnsi="宋体" w:cs="宋体" w:hint="eastAsia"/>
          <w:color w:val="4D4D4D"/>
          <w:kern w:val="0"/>
          <w:sz w:val="30"/>
          <w:szCs w:val="30"/>
        </w:rPr>
        <w:t>申赎涉及</w:t>
      </w:r>
      <w:proofErr w:type="gramEnd"/>
      <w:r w:rsidRPr="00657C07">
        <w:rPr>
          <w:rFonts w:ascii="仿宋_GB2312" w:eastAsia="仿宋_GB2312" w:hAnsi="宋体" w:cs="宋体" w:hint="eastAsia"/>
          <w:color w:val="4D4D4D"/>
          <w:kern w:val="0"/>
          <w:sz w:val="30"/>
          <w:szCs w:val="30"/>
        </w:rPr>
        <w:t>的黄金现货合约交收由金交所负责处理，涉及的预估现金、现金替代和现金差额的交收，由金交所负责交收或由基金管理人与金交所代办会员自行交收。</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3）结算交收违约的处理</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在现金</w:t>
      </w:r>
      <w:proofErr w:type="gramStart"/>
      <w:r w:rsidRPr="00657C07">
        <w:rPr>
          <w:rFonts w:ascii="仿宋_GB2312" w:eastAsia="仿宋_GB2312" w:hAnsi="宋体" w:cs="宋体" w:hint="eastAsia"/>
          <w:color w:val="4D4D4D"/>
          <w:kern w:val="0"/>
          <w:sz w:val="30"/>
          <w:szCs w:val="30"/>
        </w:rPr>
        <w:t>申赎方式</w:t>
      </w:r>
      <w:proofErr w:type="gramEnd"/>
      <w:r w:rsidRPr="00657C07">
        <w:rPr>
          <w:rFonts w:ascii="仿宋_GB2312" w:eastAsia="仿宋_GB2312" w:hAnsi="宋体" w:cs="宋体" w:hint="eastAsia"/>
          <w:color w:val="4D4D4D"/>
          <w:kern w:val="0"/>
          <w:sz w:val="30"/>
          <w:szCs w:val="30"/>
        </w:rPr>
        <w:t>下，代办</w:t>
      </w:r>
      <w:proofErr w:type="gramStart"/>
      <w:r w:rsidRPr="00657C07">
        <w:rPr>
          <w:rFonts w:ascii="仿宋_GB2312" w:eastAsia="仿宋_GB2312" w:hAnsi="宋体" w:cs="宋体" w:hint="eastAsia"/>
          <w:color w:val="4D4D4D"/>
          <w:kern w:val="0"/>
          <w:sz w:val="30"/>
          <w:szCs w:val="30"/>
        </w:rPr>
        <w:t>券商未</w:t>
      </w:r>
      <w:proofErr w:type="gramEnd"/>
      <w:r w:rsidRPr="00657C07">
        <w:rPr>
          <w:rFonts w:ascii="仿宋_GB2312" w:eastAsia="仿宋_GB2312" w:hAnsi="宋体" w:cs="宋体" w:hint="eastAsia"/>
          <w:color w:val="4D4D4D"/>
          <w:kern w:val="0"/>
          <w:sz w:val="30"/>
          <w:szCs w:val="30"/>
        </w:rPr>
        <w:t>做好申购对价的冻结和控制，或未能按照结算时间要求准备好交</w:t>
      </w:r>
      <w:proofErr w:type="gramStart"/>
      <w:r w:rsidRPr="00657C07">
        <w:rPr>
          <w:rFonts w:ascii="仿宋_GB2312" w:eastAsia="仿宋_GB2312" w:hAnsi="宋体" w:cs="宋体" w:hint="eastAsia"/>
          <w:color w:val="4D4D4D"/>
          <w:kern w:val="0"/>
          <w:sz w:val="30"/>
          <w:szCs w:val="30"/>
        </w:rPr>
        <w:t>收资金</w:t>
      </w:r>
      <w:proofErr w:type="gramEnd"/>
      <w:r w:rsidRPr="00657C07">
        <w:rPr>
          <w:rFonts w:ascii="仿宋_GB2312" w:eastAsia="仿宋_GB2312" w:hAnsi="宋体" w:cs="宋体" w:hint="eastAsia"/>
          <w:color w:val="4D4D4D"/>
          <w:kern w:val="0"/>
          <w:sz w:val="30"/>
          <w:szCs w:val="30"/>
        </w:rPr>
        <w:t>造成申购赎回交收失败，本所可以商结算公司暂停代办券商</w:t>
      </w:r>
      <w:proofErr w:type="gramStart"/>
      <w:r w:rsidRPr="00657C07">
        <w:rPr>
          <w:rFonts w:ascii="仿宋_GB2312" w:eastAsia="仿宋_GB2312" w:hAnsi="宋体" w:cs="宋体" w:hint="eastAsia"/>
          <w:color w:val="4D4D4D"/>
          <w:kern w:val="0"/>
          <w:sz w:val="30"/>
          <w:szCs w:val="30"/>
        </w:rPr>
        <w:t>的申赎资格</w:t>
      </w:r>
      <w:proofErr w:type="gramEnd"/>
      <w:r w:rsidRPr="00657C07">
        <w:rPr>
          <w:rFonts w:ascii="仿宋_GB2312" w:eastAsia="仿宋_GB2312" w:hAnsi="宋体" w:cs="宋体" w:hint="eastAsia"/>
          <w:color w:val="4D4D4D"/>
          <w:kern w:val="0"/>
          <w:sz w:val="30"/>
          <w:szCs w:val="30"/>
        </w:rPr>
        <w:t>，或者根据本所相关规定采取其他纪律处分或者监管措施。</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bookmarkStart w:id="12" w:name="_Toc347163310"/>
      <w:bookmarkEnd w:id="12"/>
      <w:r w:rsidRPr="00C5159D">
        <w:rPr>
          <w:rFonts w:ascii="仿宋_GB2312" w:eastAsia="仿宋_GB2312" w:hAnsi="宋体" w:cs="宋体" w:hint="eastAsia"/>
          <w:b/>
          <w:bCs/>
          <w:color w:val="333333"/>
          <w:kern w:val="0"/>
          <w:sz w:val="32"/>
          <w:szCs w:val="32"/>
        </w:rPr>
        <w:t>八、收益分配与权益登记</w:t>
      </w:r>
    </w:p>
    <w:p w:rsidR="00AB1931" w:rsidRPr="00657C07" w:rsidRDefault="00AB1931" w:rsidP="00657C07">
      <w:pPr>
        <w:widowControl/>
        <w:shd w:val="clear" w:color="auto" w:fill="FFFFFF"/>
        <w:spacing w:after="150" w:line="384" w:lineRule="auto"/>
        <w:ind w:left="-74" w:firstLine="560"/>
        <w:rPr>
          <w:rFonts w:ascii="宋体" w:eastAsia="宋体" w:hAnsi="宋体" w:cs="宋体"/>
          <w:color w:val="4D4D4D"/>
          <w:kern w:val="0"/>
          <w:sz w:val="30"/>
          <w:szCs w:val="30"/>
        </w:rPr>
      </w:pPr>
      <w:bookmarkStart w:id="13" w:name="_Toc332274169"/>
      <w:bookmarkStart w:id="14" w:name="_Toc338410906"/>
      <w:bookmarkEnd w:id="13"/>
      <w:bookmarkEnd w:id="14"/>
      <w:r w:rsidRPr="00657C07">
        <w:rPr>
          <w:rFonts w:ascii="仿宋_GB2312" w:eastAsia="仿宋_GB2312" w:hAnsi="宋体" w:cs="宋体" w:hint="eastAsia"/>
          <w:color w:val="4D4D4D"/>
          <w:kern w:val="0"/>
          <w:sz w:val="30"/>
          <w:szCs w:val="30"/>
        </w:rPr>
        <w:t>黄金ETF收益分配业务处理模式类似现有股票ETF。权益登记日清算交</w:t>
      </w:r>
      <w:proofErr w:type="gramStart"/>
      <w:r w:rsidRPr="00657C07">
        <w:rPr>
          <w:rFonts w:ascii="仿宋_GB2312" w:eastAsia="仿宋_GB2312" w:hAnsi="宋体" w:cs="宋体" w:hint="eastAsia"/>
          <w:color w:val="4D4D4D"/>
          <w:kern w:val="0"/>
          <w:sz w:val="30"/>
          <w:szCs w:val="30"/>
        </w:rPr>
        <w:t>收完成</w:t>
      </w:r>
      <w:proofErr w:type="gramEnd"/>
      <w:r w:rsidRPr="00657C07">
        <w:rPr>
          <w:rFonts w:ascii="仿宋_GB2312" w:eastAsia="仿宋_GB2312" w:hAnsi="宋体" w:cs="宋体" w:hint="eastAsia"/>
          <w:color w:val="4D4D4D"/>
          <w:kern w:val="0"/>
          <w:sz w:val="30"/>
          <w:szCs w:val="30"/>
        </w:rPr>
        <w:t>后，在中国结算上海分公司登记在册的全体基金份额持有人享有收益分配权。</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九、停复牌</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基金交易、现金申购（赎回）、实物申购（赎回）可以分别停复牌。本所根据基金公司的申请或本所规定的其他情形，进行相应的停复牌；金交所根据基金公司申请或黄金交易所规定的其他情形，对黄金现货合约</w:t>
      </w:r>
      <w:proofErr w:type="gramStart"/>
      <w:r w:rsidRPr="00657C07">
        <w:rPr>
          <w:rFonts w:ascii="仿宋_GB2312" w:eastAsia="仿宋_GB2312" w:hAnsi="宋体" w:cs="宋体" w:hint="eastAsia"/>
          <w:color w:val="4D4D4D"/>
          <w:kern w:val="0"/>
          <w:sz w:val="30"/>
          <w:szCs w:val="30"/>
        </w:rPr>
        <w:t>申赎进行</w:t>
      </w:r>
      <w:proofErr w:type="gramEnd"/>
      <w:r w:rsidRPr="00657C07">
        <w:rPr>
          <w:rFonts w:ascii="仿宋_GB2312" w:eastAsia="仿宋_GB2312" w:hAnsi="宋体" w:cs="宋体" w:hint="eastAsia"/>
          <w:color w:val="4D4D4D"/>
          <w:kern w:val="0"/>
          <w:sz w:val="30"/>
          <w:szCs w:val="30"/>
        </w:rPr>
        <w:t>相应停复牌。</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bookmarkStart w:id="15" w:name="_Toc332274183"/>
      <w:bookmarkStart w:id="16" w:name="_Toc338410907"/>
      <w:bookmarkEnd w:id="15"/>
      <w:bookmarkEnd w:id="16"/>
      <w:r w:rsidRPr="00C5159D">
        <w:rPr>
          <w:rFonts w:ascii="仿宋_GB2312" w:eastAsia="仿宋_GB2312" w:hAnsi="宋体" w:cs="宋体" w:hint="eastAsia"/>
          <w:b/>
          <w:bCs/>
          <w:color w:val="333333"/>
          <w:kern w:val="0"/>
          <w:sz w:val="32"/>
          <w:szCs w:val="32"/>
        </w:rPr>
        <w:t>十、信息披露</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1）交易行情显示</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黄金ETF交易行情要素与现有的股票ETF基本一致。</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2）IOPV计算</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黄金ETF的IOPV由中证指数公司计算。中证指数公司根据申购赎回清单和清单内各只黄金现货合约的实时成交数据，计算基金份额参考净值（IOPV）并将计算结果传给交易系统发布，发布频率</w:t>
      </w:r>
      <w:proofErr w:type="gramStart"/>
      <w:r w:rsidRPr="00657C07">
        <w:rPr>
          <w:rFonts w:ascii="仿宋_GB2312" w:eastAsia="仿宋_GB2312" w:hAnsi="宋体" w:cs="宋体" w:hint="eastAsia"/>
          <w:color w:val="4D4D4D"/>
          <w:kern w:val="0"/>
          <w:sz w:val="30"/>
          <w:szCs w:val="30"/>
        </w:rPr>
        <w:t>同单市场</w:t>
      </w:r>
      <w:proofErr w:type="gramEnd"/>
      <w:r w:rsidRPr="00657C07">
        <w:rPr>
          <w:rFonts w:ascii="仿宋_GB2312" w:eastAsia="仿宋_GB2312" w:hAnsi="宋体" w:cs="宋体" w:hint="eastAsia"/>
          <w:color w:val="4D4D4D"/>
          <w:kern w:val="0"/>
          <w:sz w:val="30"/>
          <w:szCs w:val="30"/>
        </w:rPr>
        <w:t>ETF。</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3）</w:t>
      </w:r>
      <w:proofErr w:type="gramStart"/>
      <w:r w:rsidRPr="00657C07">
        <w:rPr>
          <w:rFonts w:ascii="仿宋_GB2312" w:eastAsia="仿宋_GB2312" w:hAnsi="宋体" w:cs="宋体" w:hint="eastAsia"/>
          <w:color w:val="4D4D4D"/>
          <w:kern w:val="0"/>
          <w:sz w:val="30"/>
          <w:szCs w:val="30"/>
        </w:rPr>
        <w:t>申赎清单</w:t>
      </w:r>
      <w:proofErr w:type="gramEnd"/>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黄金ETF与</w:t>
      </w:r>
      <w:proofErr w:type="gramStart"/>
      <w:r w:rsidRPr="00657C07">
        <w:rPr>
          <w:rFonts w:ascii="仿宋_GB2312" w:eastAsia="仿宋_GB2312" w:hAnsi="宋体" w:cs="宋体" w:hint="eastAsia"/>
          <w:color w:val="4D4D4D"/>
          <w:kern w:val="0"/>
          <w:sz w:val="30"/>
          <w:szCs w:val="30"/>
        </w:rPr>
        <w:t>单市场</w:t>
      </w:r>
      <w:proofErr w:type="gramEnd"/>
      <w:r w:rsidRPr="00657C07">
        <w:rPr>
          <w:rFonts w:ascii="仿宋_GB2312" w:eastAsia="仿宋_GB2312" w:hAnsi="宋体" w:cs="宋体" w:hint="eastAsia"/>
          <w:color w:val="4D4D4D"/>
          <w:kern w:val="0"/>
          <w:sz w:val="30"/>
          <w:szCs w:val="30"/>
        </w:rPr>
        <w:t>股票ETF的清单差异主要体现在：公告清单中黄金合约的单位为克。</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bookmarkStart w:id="17" w:name="_Toc338410908"/>
      <w:bookmarkEnd w:id="17"/>
      <w:r w:rsidRPr="00C5159D">
        <w:rPr>
          <w:rFonts w:ascii="仿宋_GB2312" w:eastAsia="仿宋_GB2312" w:hAnsi="宋体" w:cs="宋体" w:hint="eastAsia"/>
          <w:b/>
          <w:bCs/>
          <w:color w:val="333333"/>
          <w:kern w:val="0"/>
          <w:sz w:val="32"/>
          <w:szCs w:val="32"/>
        </w:rPr>
        <w:t>十一、收费标准</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黄金ETF场内交易收费标准同现有股票ETF,但不实行按照交易量的阶梯式费用返回和减免，只对流动性服务商进行费用返还。由于不涉及组合证券过户，黄金ETF无须收取组合证券过户费。</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根据本所ETF品种交易经手费规定，黄金ETF的交易经手费为成交金额的 0.0045% （会员交本所）。</w:t>
      </w:r>
    </w:p>
    <w:p w:rsidR="00AB1931" w:rsidRPr="00C5159D" w:rsidRDefault="00AB1931" w:rsidP="00C5159D">
      <w:pPr>
        <w:widowControl/>
        <w:shd w:val="clear" w:color="auto" w:fill="FFFFFF"/>
        <w:rPr>
          <w:rFonts w:ascii="仿宋_GB2312" w:eastAsia="仿宋_GB2312" w:hAnsi="宋体" w:cs="宋体" w:hint="eastAsia"/>
          <w:b/>
          <w:bCs/>
          <w:color w:val="333333"/>
          <w:kern w:val="0"/>
          <w:sz w:val="32"/>
          <w:szCs w:val="32"/>
        </w:rPr>
      </w:pPr>
      <w:r w:rsidRPr="00C5159D">
        <w:rPr>
          <w:rFonts w:ascii="仿宋_GB2312" w:eastAsia="仿宋_GB2312" w:hAnsi="宋体" w:cs="宋体" w:hint="eastAsia"/>
          <w:b/>
          <w:bCs/>
          <w:color w:val="333333"/>
          <w:kern w:val="0"/>
          <w:sz w:val="32"/>
          <w:szCs w:val="32"/>
        </w:rPr>
        <w:t>十二、</w:t>
      </w:r>
      <w:r w:rsidRPr="00C5159D">
        <w:rPr>
          <w:rFonts w:ascii="仿宋_GB2312" w:eastAsia="仿宋_GB2312" w:hAnsi="宋体" w:cs="宋体"/>
          <w:b/>
          <w:bCs/>
          <w:color w:val="333333"/>
          <w:kern w:val="0"/>
          <w:sz w:val="32"/>
          <w:szCs w:val="32"/>
        </w:rPr>
        <w:t>收益分配</w:t>
      </w:r>
    </w:p>
    <w:p w:rsidR="00AB1931" w:rsidRPr="00657C07" w:rsidRDefault="00AB1931" w:rsidP="00657C07">
      <w:pPr>
        <w:widowControl/>
        <w:shd w:val="clear" w:color="auto" w:fill="FFFFFF"/>
        <w:spacing w:after="150" w:line="384" w:lineRule="auto"/>
        <w:ind w:firstLineChars="200" w:firstLine="60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黄金ETF收益分配业务处理模式类似现有股票ETF。权益登记日清算交</w:t>
      </w:r>
      <w:proofErr w:type="gramStart"/>
      <w:r w:rsidRPr="00657C07">
        <w:rPr>
          <w:rFonts w:ascii="仿宋_GB2312" w:eastAsia="仿宋_GB2312" w:hAnsi="宋体" w:cs="宋体" w:hint="eastAsia"/>
          <w:color w:val="4D4D4D"/>
          <w:kern w:val="0"/>
          <w:sz w:val="30"/>
          <w:szCs w:val="30"/>
        </w:rPr>
        <w:t>收完成</w:t>
      </w:r>
      <w:proofErr w:type="gramEnd"/>
      <w:r w:rsidRPr="00657C07">
        <w:rPr>
          <w:rFonts w:ascii="仿宋_GB2312" w:eastAsia="仿宋_GB2312" w:hAnsi="宋体" w:cs="宋体" w:hint="eastAsia"/>
          <w:color w:val="4D4D4D"/>
          <w:kern w:val="0"/>
          <w:sz w:val="30"/>
          <w:szCs w:val="30"/>
        </w:rPr>
        <w:t>后，在中国结算上海分公司登记在册的全体基金份额持有人享有收益分配权。</w:t>
      </w:r>
    </w:p>
    <w:p w:rsidR="00AB1931" w:rsidRPr="00C5159D" w:rsidRDefault="00AB1931" w:rsidP="00C5159D">
      <w:pPr>
        <w:widowControl/>
        <w:shd w:val="clear" w:color="auto" w:fill="FFFFFF"/>
        <w:rPr>
          <w:rFonts w:ascii="仿宋_GB2312" w:eastAsia="仿宋_GB2312" w:hAnsi="宋体" w:cs="宋体" w:hint="eastAsia"/>
          <w:b/>
          <w:bCs/>
          <w:color w:val="333333"/>
          <w:kern w:val="0"/>
          <w:sz w:val="32"/>
          <w:szCs w:val="32"/>
        </w:rPr>
      </w:pPr>
      <w:r w:rsidRPr="00C5159D">
        <w:rPr>
          <w:rFonts w:ascii="仿宋_GB2312" w:eastAsia="仿宋_GB2312" w:hAnsi="宋体" w:cs="宋体"/>
          <w:b/>
          <w:bCs/>
          <w:color w:val="333333"/>
          <w:kern w:val="0"/>
          <w:sz w:val="32"/>
          <w:szCs w:val="32"/>
        </w:rPr>
        <w:t>十三</w:t>
      </w:r>
      <w:r w:rsidRPr="00C5159D">
        <w:rPr>
          <w:rFonts w:ascii="仿宋_GB2312" w:eastAsia="仿宋_GB2312" w:hAnsi="宋体" w:cs="宋体" w:hint="eastAsia"/>
          <w:b/>
          <w:bCs/>
          <w:color w:val="333333"/>
          <w:kern w:val="0"/>
          <w:sz w:val="32"/>
          <w:szCs w:val="32"/>
        </w:rPr>
        <w:t>、其他事项</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黄金ETF申购、赎回的其他事项，适用本所《交易型开放式指数基金业务实施细则》的规定。</w:t>
      </w:r>
    </w:p>
    <w:p w:rsidR="00AB1931" w:rsidRPr="00657C07" w:rsidRDefault="00AB1931" w:rsidP="00657C07">
      <w:pPr>
        <w:widowControl/>
        <w:shd w:val="clear" w:color="auto" w:fill="FFFFFF"/>
        <w:spacing w:after="150" w:line="384" w:lineRule="auto"/>
        <w:ind w:firstLine="560"/>
        <w:rPr>
          <w:rFonts w:ascii="宋体" w:eastAsia="宋体" w:hAnsi="宋体" w:cs="宋体"/>
          <w:color w:val="4D4D4D"/>
          <w:kern w:val="0"/>
          <w:sz w:val="30"/>
          <w:szCs w:val="30"/>
        </w:rPr>
      </w:pPr>
      <w:r w:rsidRPr="00657C07">
        <w:rPr>
          <w:rFonts w:ascii="仿宋_GB2312" w:eastAsia="仿宋_GB2312" w:hAnsi="宋体" w:cs="宋体" w:hint="eastAsia"/>
          <w:color w:val="4D4D4D"/>
          <w:kern w:val="0"/>
          <w:sz w:val="30"/>
          <w:szCs w:val="30"/>
        </w:rPr>
        <w:t>黄金ETF的交易事项，适用本所《交易规则》中关于基金品种的有关规定。</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十四、 本指南由本所负责解释。</w:t>
      </w:r>
    </w:p>
    <w:p w:rsidR="00AB1931" w:rsidRPr="00C5159D" w:rsidRDefault="00AB1931" w:rsidP="00C5159D">
      <w:pPr>
        <w:widowControl/>
        <w:shd w:val="clear" w:color="auto" w:fill="FFFFFF"/>
        <w:rPr>
          <w:rFonts w:ascii="仿宋_GB2312" w:eastAsia="仿宋_GB2312" w:hAnsi="宋体" w:cs="宋体"/>
          <w:b/>
          <w:bCs/>
          <w:color w:val="333333"/>
          <w:kern w:val="0"/>
          <w:sz w:val="32"/>
          <w:szCs w:val="32"/>
        </w:rPr>
      </w:pPr>
      <w:r w:rsidRPr="00C5159D">
        <w:rPr>
          <w:rFonts w:ascii="仿宋_GB2312" w:eastAsia="仿宋_GB2312" w:hAnsi="宋体" w:cs="宋体" w:hint="eastAsia"/>
          <w:b/>
          <w:bCs/>
          <w:color w:val="333333"/>
          <w:kern w:val="0"/>
          <w:sz w:val="32"/>
          <w:szCs w:val="32"/>
        </w:rPr>
        <w:t>十五、本指南的相关内容与本所、金交所或者结算公司的业务规则不一致的，以相关业务规则的规定为准。</w:t>
      </w:r>
    </w:p>
    <w:p w:rsidR="00A3267E" w:rsidRPr="00C5159D" w:rsidRDefault="00C5159D" w:rsidP="00C5159D">
      <w:pPr>
        <w:widowControl/>
        <w:shd w:val="clear" w:color="auto" w:fill="FFFFFF"/>
        <w:rPr>
          <w:rFonts w:ascii="仿宋_GB2312" w:eastAsia="仿宋_GB2312" w:hAnsi="宋体" w:cs="宋体"/>
          <w:b/>
          <w:bCs/>
          <w:color w:val="333333"/>
          <w:kern w:val="0"/>
          <w:sz w:val="32"/>
          <w:szCs w:val="32"/>
        </w:rPr>
      </w:pPr>
    </w:p>
    <w:sectPr w:rsidR="00A3267E" w:rsidRPr="00C5159D" w:rsidSect="00D929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C07" w:rsidRDefault="00657C07" w:rsidP="00657C07">
      <w:r>
        <w:separator/>
      </w:r>
    </w:p>
  </w:endnote>
  <w:endnote w:type="continuationSeparator" w:id="0">
    <w:p w:rsidR="00657C07" w:rsidRDefault="00657C07" w:rsidP="00657C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C07" w:rsidRDefault="00657C07" w:rsidP="00657C07">
      <w:r>
        <w:separator/>
      </w:r>
    </w:p>
  </w:footnote>
  <w:footnote w:type="continuationSeparator" w:id="0">
    <w:p w:rsidR="00657C07" w:rsidRDefault="00657C07" w:rsidP="00657C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1931"/>
    <w:rsid w:val="00033117"/>
    <w:rsid w:val="0020680F"/>
    <w:rsid w:val="00657C07"/>
    <w:rsid w:val="007D2BB7"/>
    <w:rsid w:val="00A27EBE"/>
    <w:rsid w:val="00AB1931"/>
    <w:rsid w:val="00B86C92"/>
    <w:rsid w:val="00C5159D"/>
    <w:rsid w:val="00D92904"/>
    <w:rsid w:val="00F973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904"/>
    <w:pPr>
      <w:widowControl w:val="0"/>
      <w:jc w:val="both"/>
    </w:pPr>
  </w:style>
  <w:style w:type="paragraph" w:styleId="3">
    <w:name w:val="heading 3"/>
    <w:basedOn w:val="a"/>
    <w:link w:val="3Char"/>
    <w:uiPriority w:val="9"/>
    <w:qFormat/>
    <w:rsid w:val="00AB1931"/>
    <w:pPr>
      <w:widowControl/>
      <w:spacing w:before="300" w:after="150"/>
      <w:jc w:val="left"/>
      <w:outlineLvl w:val="2"/>
    </w:pPr>
    <w:rPr>
      <w:rFonts w:ascii="inherit" w:eastAsia="宋体" w:hAnsi="inherit"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B1931"/>
    <w:rPr>
      <w:rFonts w:ascii="inherit" w:eastAsia="宋体" w:hAnsi="inherit" w:cs="宋体"/>
      <w:kern w:val="0"/>
      <w:sz w:val="36"/>
      <w:szCs w:val="36"/>
    </w:rPr>
  </w:style>
  <w:style w:type="paragraph" w:styleId="a3">
    <w:name w:val="header"/>
    <w:basedOn w:val="a"/>
    <w:link w:val="Char"/>
    <w:uiPriority w:val="99"/>
    <w:semiHidden/>
    <w:unhideWhenUsed/>
    <w:rsid w:val="00657C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7C07"/>
    <w:rPr>
      <w:sz w:val="18"/>
      <w:szCs w:val="18"/>
    </w:rPr>
  </w:style>
  <w:style w:type="paragraph" w:styleId="a4">
    <w:name w:val="footer"/>
    <w:basedOn w:val="a"/>
    <w:link w:val="Char0"/>
    <w:uiPriority w:val="99"/>
    <w:semiHidden/>
    <w:unhideWhenUsed/>
    <w:rsid w:val="00657C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7C07"/>
    <w:rPr>
      <w:sz w:val="18"/>
      <w:szCs w:val="18"/>
    </w:rPr>
  </w:style>
</w:styles>
</file>

<file path=word/webSettings.xml><?xml version="1.0" encoding="utf-8"?>
<w:webSettings xmlns:r="http://schemas.openxmlformats.org/officeDocument/2006/relationships" xmlns:w="http://schemas.openxmlformats.org/wordprocessingml/2006/main">
  <w:divs>
    <w:div w:id="389429904">
      <w:bodyDiv w:val="1"/>
      <w:marLeft w:val="0"/>
      <w:marRight w:val="0"/>
      <w:marTop w:val="0"/>
      <w:marBottom w:val="0"/>
      <w:divBdr>
        <w:top w:val="none" w:sz="0" w:space="0" w:color="auto"/>
        <w:left w:val="none" w:sz="0" w:space="0" w:color="auto"/>
        <w:bottom w:val="none" w:sz="0" w:space="0" w:color="auto"/>
        <w:right w:val="none" w:sz="0" w:space="0" w:color="auto"/>
      </w:divBdr>
      <w:divsChild>
        <w:div w:id="1004893419">
          <w:marLeft w:val="0"/>
          <w:marRight w:val="0"/>
          <w:marTop w:val="0"/>
          <w:marBottom w:val="0"/>
          <w:divBdr>
            <w:top w:val="none" w:sz="0" w:space="0" w:color="auto"/>
            <w:left w:val="none" w:sz="0" w:space="0" w:color="auto"/>
            <w:bottom w:val="none" w:sz="0" w:space="0" w:color="auto"/>
            <w:right w:val="none" w:sz="0" w:space="0" w:color="auto"/>
          </w:divBdr>
          <w:divsChild>
            <w:div w:id="110979037">
              <w:marLeft w:val="0"/>
              <w:marRight w:val="0"/>
              <w:marTop w:val="0"/>
              <w:marBottom w:val="0"/>
              <w:divBdr>
                <w:top w:val="none" w:sz="0" w:space="0" w:color="auto"/>
                <w:left w:val="none" w:sz="0" w:space="0" w:color="auto"/>
                <w:bottom w:val="none" w:sz="0" w:space="0" w:color="auto"/>
                <w:right w:val="none" w:sz="0" w:space="0" w:color="auto"/>
              </w:divBdr>
              <w:divsChild>
                <w:div w:id="1497264980">
                  <w:marLeft w:val="-75"/>
                  <w:marRight w:val="-75"/>
                  <w:marTop w:val="0"/>
                  <w:marBottom w:val="0"/>
                  <w:divBdr>
                    <w:top w:val="none" w:sz="0" w:space="0" w:color="auto"/>
                    <w:left w:val="none" w:sz="0" w:space="0" w:color="auto"/>
                    <w:bottom w:val="none" w:sz="0" w:space="0" w:color="auto"/>
                    <w:right w:val="none" w:sz="0" w:space="0" w:color="auto"/>
                  </w:divBdr>
                  <w:divsChild>
                    <w:div w:id="1184442820">
                      <w:marLeft w:val="0"/>
                      <w:marRight w:val="0"/>
                      <w:marTop w:val="0"/>
                      <w:marBottom w:val="0"/>
                      <w:divBdr>
                        <w:top w:val="none" w:sz="0" w:space="0" w:color="auto"/>
                        <w:left w:val="none" w:sz="0" w:space="0" w:color="auto"/>
                        <w:bottom w:val="none" w:sz="0" w:space="0" w:color="auto"/>
                        <w:right w:val="none" w:sz="0" w:space="0" w:color="auto"/>
                      </w:divBdr>
                      <w:divsChild>
                        <w:div w:id="227544377">
                          <w:marLeft w:val="0"/>
                          <w:marRight w:val="0"/>
                          <w:marTop w:val="0"/>
                          <w:marBottom w:val="150"/>
                          <w:divBdr>
                            <w:top w:val="single" w:sz="6" w:space="8" w:color="DCDCDC"/>
                            <w:left w:val="single" w:sz="6" w:space="8" w:color="DCDCDC"/>
                            <w:bottom w:val="single" w:sz="6" w:space="8" w:color="DCDCDC"/>
                            <w:right w:val="single" w:sz="6" w:space="8" w:color="DCDCDC"/>
                          </w:divBdr>
                          <w:divsChild>
                            <w:div w:id="1803617117">
                              <w:marLeft w:val="0"/>
                              <w:marRight w:val="0"/>
                              <w:marTop w:val="0"/>
                              <w:marBottom w:val="0"/>
                              <w:divBdr>
                                <w:top w:val="none" w:sz="0" w:space="0" w:color="auto"/>
                                <w:left w:val="none" w:sz="0" w:space="0" w:color="auto"/>
                                <w:bottom w:val="none" w:sz="0" w:space="0" w:color="auto"/>
                                <w:right w:val="none" w:sz="0" w:space="0" w:color="auto"/>
                              </w:divBdr>
                              <w:divsChild>
                                <w:div w:id="4080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cp:lastModifiedBy>sse</cp:lastModifiedBy>
  <cp:revision>4</cp:revision>
  <dcterms:created xsi:type="dcterms:W3CDTF">2019-06-06T06:44:00Z</dcterms:created>
  <dcterms:modified xsi:type="dcterms:W3CDTF">2019-06-06T06:48:00Z</dcterms:modified>
</cp:coreProperties>
</file>