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48"/>
          <w:szCs w:val="48"/>
        </w:rPr>
        <w:t xml:space="preserve">Code Review Report</w:t>
      </w:r>
    </w:p>
    <w:p>
      <w:pPr>
        <w:spacing w:after="40"/>
      </w:pPr>
      <w:r>
        <w:rPr>
          <w:rFonts w:ascii="Arial" w:cs="Arial" w:eastAsia="Arial" w:hAnsi="Arial"/>
          <w:color w:val="555555"/>
          <w:sz w:val="26"/>
          <w:szCs w:val="26"/>
        </w:rPr>
        <w:t xml:space="preserve">EVQ-Cosh: Closed-Form Frequency Allocation for Long-Context Extrapolation</w:t>
      </w:r>
    </w:p>
    <w:p>
      <w:pPr>
        <w:spacing w:after="40"/>
      </w:pPr>
      <w:r>
        <w:rPr>
          <w:rFonts w:ascii="Arial" w:cs="Arial" w:eastAsia="Arial" w:hAnsi="Arial"/>
          <w:color w:val="777777"/>
          <w:sz w:val="22"/>
          <w:szCs w:val="22"/>
        </w:rPr>
        <w:t xml:space="preserve">NeurIPS 2026 Submission — Experiment Repository Audit</w:t>
      </w:r>
    </w:p>
    <w:p>
      <w:pPr>
        <w:pBdr>
          <w:bottom w:val="single" w:color="2E4057" w:sz="6" w:space="1"/>
        </w:pBdr>
        <w:spacing w:after="200"/>
      </w:pPr>
      <w:r>
        <w:rPr>
          <w:rFonts w:ascii="Arial" w:cs="Arial" w:eastAsia="Arial" w:hAnsi="Arial"/>
          <w:color w:val="999999"/>
          <w:sz w:val="20"/>
          <w:szCs w:val="20"/>
        </w:rPr>
        <w:t xml:space="preserve">Date: March 24, 2026  |  Reviewer: Claude  |  Scope: Full codebase logical correctness</w:t>
      </w:r>
    </w:p>
    <w:p>
      <w:pPr>
        <w:pStyle w:val="Heading1"/>
      </w:pPr>
      <w:r>
        <w:t xml:space="preserve">Executive Summary</w:t>
      </w:r>
    </w:p>
    <w:p>
      <w:pPr>
        <w:spacing w:after="120"/>
      </w:pPr>
      <w:r>
        <w:t xml:space="preserve">This report presents a comprehensive audit of the EVQ-Cosh experiment repository, focusing on logical correctness of the core experimental code that supports three paper claims across 99 controlled runs at 50M–750M parameter scale. </w:t>
      </w:r>
    </w:p>
    <w:p>
      <w:pPr>
        <w:spacing w:after="120"/>
      </w:pPr>
      <w:r>
        <w:rPr>
          <w:b/>
          <w:bCs/>
        </w:rPr>
        <w:t xml:space="preserve">Verdict: </w:t>
      </w:r>
      <w:r>
        <w:rPr>
          <w:b/>
          <w:bCs/>
          <w:color w:val="006600"/>
        </w:rPr>
        <w:t xml:space="preserve">Core experimental results appear correct.</w:t>
      </w:r>
      <w:r>
        <w:t xml:space="preserve"> The canonical EVQ-Cosh implementation in </w:t>
      </w:r>
      <w:r>
        <w:rPr>
          <w:rFonts w:ascii="Courier New" w:cs="Courier New" w:eastAsia="Courier New" w:hAnsi="Courier New"/>
          <w:sz w:val="20"/>
          <w:szCs w:val="20"/>
        </w:rPr>
        <w:t xml:space="preserve">run_evq_sweep.py</w:t>
      </w:r>
      <w:r>
        <w:t xml:space="preserve"> uses the correct midpoint quantization formula matching the paper, and all core experiments import from this function. Three bugs were found in peripheral code paths; none affect the reported results under normal execution.</w:t>
      </w:r>
    </w:p>
    <w:p>
      <w:pPr>
        <w:spacing w:after="100" w:before="200"/>
      </w:pPr>
      <w:r>
        <w:rPr>
          <w:b/>
          <w:bCs/>
        </w:rPr>
        <w:t xml:space="preserve">Issue Summary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048"/>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6048"/>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Impact on Paper Results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60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affect core results (all in unused or unreachable code paths)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7700"/>
                <w:sz w:val="20"/>
                <w:szCs w:val="20"/>
              </w:rPr>
              <w:t xml:space="preserve">Moderate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60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affect core results (design concerns, not bugs)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CC"/>
                <w:sz w:val="20"/>
                <w:szCs w:val="20"/>
              </w:rPr>
              <w:t xml:space="preserve">Minor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60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affect core results (style/documentation)</w:t>
            </w:r>
          </w:p>
        </w:tc>
      </w:tr>
    </w:tbl>
    <w:p>
      <w:r>
        <w:br w:type="page"/>
      </w:r>
    </w:p>
    <w:p>
      <w:pPr>
        <w:pStyle w:val="Heading1"/>
      </w:pPr>
      <w:r>
        <w:t xml:space="preserve">Files Reviewed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400"/>
        <w:gridCol w:w="4248"/>
      </w:tblGrid>
      <w:tr>
        <w:tc>
          <w:tcPr>
            <w:tcW w:type="dxa" w:w="5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248"/>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scripts/lib/rope/schedules.py</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RoPE schedule construction &amp; method aliases</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scripts/lib/rope/learnable_evq.py</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Learnable EVQ-Cosh with softplus τ</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scripts/lib/rope/inject.py</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In-place RoPE frequency injection</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scripts/lib/rope/attn_hist.py</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Attention distance histogram &amp; power-law fitting</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scripts/train.py</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LoRA training pipeline (Llama-3-8B)</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scripts/core_text_phases/run_evq_sweep.py</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 τ-sweep experiment (~1300 lines)</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scripts/core_text_phases/eval_passkey.py</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Passkey retrieval (number words)</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scripts/supporting_eval/eval_passkey_scratch.py</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NLL-gap passkey evaluation</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scripts/core_text_phases/phase14c_multiscale_evq_yarn.py</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EVQ+YaRN synergy validation</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scripts/core_text_phases/yarn_finetune_eval.py</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YaRN fine-tune evaluation</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scripts/figures/fig1_neurips.py</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Figure 1 generation</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scripts/figures/fig2_evq_yarn_orthogonality.py</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Figure 2 generation</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tests/test_rope_core.py</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Comprehensive unit test suite</w:t>
            </w:r>
          </w:p>
        </w:tc>
      </w:tr>
    </w:tbl>
    <w:p>
      <w:r>
        <w:br w:type="page"/>
      </w:r>
    </w:p>
    <w:p>
      <w:pPr>
        <w:pStyle w:val="Heading1"/>
      </w:pPr>
      <w:r>
        <w:t xml:space="preserve">Critical Issues</w:t>
      </w:r>
    </w:p>
    <w:p>
      <w:pPr>
        <w:pStyle w:val="Heading2"/>
      </w:pPr>
      <w:r>
        <w:rPr>
          <w:color w:val="CC0000"/>
        </w:rPr>
        <w:t xml:space="preserve">C1: </w:t>
      </w:r>
      <w:r>
        <w:t xml:space="preserve">Inconsistent Quantization in schedules.py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0"/>
        <w:gridCol w:w="7648"/>
      </w:tblGrid>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File</w:t>
            </w:r>
          </w:p>
        </w:tc>
        <w:tc>
          <w:tcPr>
            <w:tcW w:type="dxa" w:w="7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scripts/lib/rope/schedules.py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Function</w:t>
            </w:r>
          </w:p>
        </w:tc>
        <w:tc>
          <w:tcPr>
            <w:tcW w:type="dxa" w:w="7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build_inv_freq("evq_cosh",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Line</w:t>
            </w:r>
          </w:p>
        </w:tc>
        <w:tc>
          <w:tcPr>
            <w:tcW w:type="dxa" w:w="76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Affects Results?</w:t>
            </w:r>
          </w:p>
        </w:tc>
        <w:tc>
          <w:tcPr>
            <w:tcW w:type="dxa" w:w="7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6600"/>
              </w:rPr>
              <w:t xml:space="preserve">NO</w:t>
            </w:r>
          </w:p>
        </w:tc>
      </w:tr>
    </w:tbl>
    <w:p>
      <w:pPr>
        <w:spacing w:after="80" w:before="120"/>
      </w:pPr>
      <w:r>
        <w:rPr>
          <w:b/>
          <w:bCs/>
        </w:rPr>
        <w:t xml:space="preserve">Description: </w:t>
      </w:r>
      <w:r>
        <w:t xml:space="preserve">The </w:t>
      </w:r>
      <w:r>
        <w:rPr>
          <w:rFonts w:ascii="Courier New" w:cs="Courier New" w:eastAsia="Courier New" w:hAnsi="Courier New"/>
          <w:sz w:val="20"/>
          <w:szCs w:val="20"/>
        </w:rPr>
        <w:t xml:space="preserve">evq_cosh</w:t>
      </w:r>
      <w:r>
        <w:t xml:space="preserve"> branch in </w:t>
      </w:r>
      <w:r>
        <w:rPr>
          <w:rFonts w:ascii="Courier New" w:cs="Courier New" w:eastAsia="Courier New" w:hAnsi="Courier New"/>
          <w:sz w:val="20"/>
          <w:szCs w:val="20"/>
        </w:rPr>
        <w:t xml:space="preserve">build_inv_freq()</w:t>
      </w:r>
      <w:r>
        <w:t xml:space="preserve"> uses endpoint quantization </w:t>
      </w:r>
      <w:r>
        <w:rPr>
          <w:rFonts w:ascii="Courier New" w:cs="Courier New" w:eastAsia="Courier New" w:hAnsi="Courier New"/>
          <w:sz w:val="20"/>
          <w:szCs w:val="20"/>
        </w:rPr>
        <w:t xml:space="preserve">u = idx / float(n)</w:t>
      </w:r>
      <w:r>
        <w:t xml:space="preserve"> instead of the paper’s midpoint formula </w:t>
      </w:r>
      <w:r>
        <w:rPr>
          <w:rFonts w:ascii="Courier New" w:cs="Courier New" w:eastAsia="Courier New" w:hAnsi="Courier New"/>
          <w:sz w:val="20"/>
          <w:szCs w:val="20"/>
        </w:rPr>
        <w:t xml:space="preserve">u = (idx + 0.5) / K</w:t>
      </w:r>
      <w:r>
        <w:t xml:space="preserve">. This is inconsistent with the canonical implementation in </w:t>
      </w:r>
      <w:r>
        <w:rPr>
          <w:rFonts w:ascii="Courier New" w:cs="Courier New" w:eastAsia="Courier New" w:hAnsi="Courier New"/>
          <w:sz w:val="20"/>
          <w:szCs w:val="20"/>
        </w:rPr>
        <w:t xml:space="preserve">run_evq_sweep.py</w:t>
      </w:r>
      <w:r>
        <w:t xml:space="preserve"> and </w:t>
      </w:r>
      <w:r>
        <w:rPr>
          <w:rFonts w:ascii="Courier New" w:cs="Courier New" w:eastAsia="Courier New" w:hAnsi="Courier New"/>
          <w:sz w:val="20"/>
          <w:szCs w:val="20"/>
        </w:rPr>
        <w:t xml:space="preserve">learnable_evq.py</w:t>
      </w:r>
      <w:r>
        <w:t xml:space="preserve">.</w:t>
      </w:r>
    </w:p>
    <w:p>
      <w:pPr>
        <w:spacing w:after="80"/>
      </w:pPr>
      <w:r>
        <w:rPr>
          <w:b/>
          <w:bCs/>
        </w:rPr>
        <w:t xml:space="preserve">Why it doesn’t affect results: </w:t>
      </w:r>
      <w:r>
        <w:t xml:space="preserve">Verified via grep that no core experiment script imports </w:t>
      </w:r>
      <w:r>
        <w:rPr>
          <w:rFonts w:ascii="Courier New" w:cs="Courier New" w:eastAsia="Courier New" w:hAnsi="Courier New"/>
          <w:sz w:val="20"/>
          <w:szCs w:val="20"/>
        </w:rPr>
        <w:t xml:space="preserve">build_inv_freq</w:t>
      </w:r>
      <w:r>
        <w:t xml:space="preserve"> from </w:t>
      </w:r>
      <w:r>
        <w:rPr>
          <w:rFonts w:ascii="Courier New" w:cs="Courier New" w:eastAsia="Courier New" w:hAnsi="Courier New"/>
          <w:sz w:val="20"/>
          <w:szCs w:val="20"/>
        </w:rPr>
        <w:t xml:space="preserve">schedules.py</w:t>
      </w:r>
      <w:r>
        <w:t xml:space="preserve">. All experiments use the standalone </w:t>
      </w:r>
      <w:r>
        <w:rPr>
          <w:rFonts w:ascii="Courier New" w:cs="Courier New" w:eastAsia="Courier New" w:hAnsi="Courier New"/>
          <w:sz w:val="20"/>
          <w:szCs w:val="20"/>
        </w:rPr>
        <w:t xml:space="preserve">evq_cosh_inv_freq()</w:t>
      </w:r>
      <w:r>
        <w:t xml:space="preserve"> defined locally in </w:t>
      </w:r>
      <w:r>
        <w:rPr>
          <w:rFonts w:ascii="Courier New" w:cs="Courier New" w:eastAsia="Courier New" w:hAnsi="Courier New"/>
          <w:sz w:val="20"/>
          <w:szCs w:val="20"/>
        </w:rPr>
        <w:t xml:space="preserve">run_evq_sweep.py</w:t>
      </w:r>
      <w:r>
        <w:t xml:space="preserve">, which uses the correct midpoint formula.</w:t>
      </w:r>
    </w:p>
    <w:p>
      <w:pPr>
        <w:spacing w:after="200"/>
      </w:pPr>
      <w:r>
        <w:rPr>
          <w:b/>
          <w:bCs/>
        </w:rPr>
        <w:t xml:space="preserve">Recommendation: </w:t>
      </w:r>
      <w:r>
        <w:t xml:space="preserve">Update </w:t>
      </w:r>
      <w:r>
        <w:rPr>
          <w:rFonts w:ascii="Courier New" w:cs="Courier New" w:eastAsia="Courier New" w:hAnsi="Courier New"/>
          <w:sz w:val="20"/>
          <w:szCs w:val="20"/>
        </w:rPr>
        <w:t xml:space="preserve">schedules.py</w:t>
      </w:r>
      <w:r>
        <w:t xml:space="preserve"> to use midpoint quantization for consistency: </w:t>
      </w:r>
      <w:r>
        <w:rPr>
          <w:rFonts w:ascii="Courier New" w:cs="Courier New" w:eastAsia="Courier New" w:hAnsi="Courier New"/>
          <w:sz w:val="20"/>
          <w:szCs w:val="20"/>
        </w:rPr>
        <w:t xml:space="preserve">u = (idx + 0.5) / float(n)</w:t>
      </w:r>
      <w:r>
        <w:t xml:space="preserve">.</w:t>
      </w:r>
    </w:p>
    <w:p>
      <w:pPr>
        <w:pStyle w:val="Heading2"/>
      </w:pPr>
      <w:r>
        <w:rPr>
          <w:color w:val="CC0000"/>
        </w:rPr>
        <w:t xml:space="preserve">C2: </w:t>
      </w:r>
      <w:r>
        <w:t xml:space="preserve">Wrong τ→0 Limit in hybrid_evq_inv_freq</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0"/>
        <w:gridCol w:w="7648"/>
      </w:tblGrid>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File</w:t>
            </w:r>
          </w:p>
        </w:tc>
        <w:tc>
          <w:tcPr>
            <w:tcW w:type="dxa" w:w="7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scripts/core_text_phases/run_evq_sweep.py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Function</w:t>
            </w:r>
          </w:p>
        </w:tc>
        <w:tc>
          <w:tcPr>
            <w:tcW w:type="dxa" w:w="7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hybrid_evq_inv_freq()</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Line</w:t>
            </w:r>
          </w:p>
        </w:tc>
        <w:tc>
          <w:tcPr>
            <w:tcW w:type="dxa" w:w="764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~191–194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Affects Results?</w:t>
            </w:r>
          </w:p>
        </w:tc>
        <w:tc>
          <w:tcPr>
            <w:tcW w:type="dxa" w:w="7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6600"/>
              </w:rPr>
              <w:t xml:space="preserve">NO</w:t>
            </w:r>
            <w:r>
              <w:t xml:space="preserve"> (latent bug, unreachable in practice)</w:t>
            </w:r>
          </w:p>
        </w:tc>
      </w:tr>
    </w:tbl>
    <w:p>
      <w:pPr>
        <w:spacing w:after="80" w:before="120"/>
      </w:pPr>
      <w:r>
        <w:rPr>
          <w:b/>
          <w:bCs/>
        </w:rPr>
        <w:t xml:space="preserve">Description: </w:t>
      </w:r>
      <w:r>
        <w:t xml:space="preserve">When </w:t>
      </w:r>
      <w:r>
        <w:rPr>
          <w:rFonts w:ascii="Courier New" w:cs="Courier New" w:eastAsia="Courier New" w:hAnsi="Courier New"/>
          <w:sz w:val="20"/>
          <w:szCs w:val="20"/>
        </w:rPr>
        <w:t xml:space="preserve">abs(tau) &lt; 1e-8</w:t>
      </w:r>
      <w:r>
        <w:t xml:space="preserve">, the fallback branch computes </w:t>
      </w:r>
      <w:r>
        <w:rPr>
          <w:rFonts w:ascii="Courier New" w:cs="Courier New" w:eastAsia="Courier New" w:hAnsi="Courier New"/>
          <w:sz w:val="20"/>
          <w:szCs w:val="20"/>
        </w:rPr>
        <w:t xml:space="preserve">phi = 1.0 - u</w:t>
      </w:r>
      <w:r>
        <w:t xml:space="preserve">. By L’Hôpital’s rule, the correct τ→0 limit of the EVQ-Cosh formula is </w:t>
      </w:r>
      <w:r>
        <w:rPr>
          <w:rFonts w:ascii="Courier New" w:cs="Courier New" w:eastAsia="Courier New" w:hAnsi="Courier New"/>
          <w:sz w:val="20"/>
          <w:szCs w:val="20"/>
        </w:rPr>
        <w:t xml:space="preserve">phi = u</w:t>
      </w:r>
      <w:r>
        <w:t xml:space="preserve"> (recovering the standard geometric allocation). Using </w:t>
      </w:r>
      <w:r>
        <w:rPr>
          <w:rFonts w:ascii="Courier New" w:cs="Courier New" w:eastAsia="Courier New" w:hAnsi="Courier New"/>
          <w:sz w:val="20"/>
          <w:szCs w:val="20"/>
        </w:rPr>
        <w:t xml:space="preserve">1 - u</w:t>
      </w:r>
      <w:r>
        <w:t xml:space="preserve"> reverses the frequency order.</w:t>
      </w:r>
    </w:p>
    <w:p>
      <w:pPr>
        <w:spacing w:after="80"/>
      </w:pPr>
      <w:r>
        <w:rPr>
          <w:b/>
          <w:bCs/>
        </w:rPr>
        <w:t xml:space="preserve">Why it doesn’t affect results: </w:t>
      </w:r>
      <w:r>
        <w:t xml:space="preserve">The τ-sweep always uses positive τ values (typically 0.1–5.0), so </w:t>
      </w:r>
      <w:r>
        <w:rPr>
          <w:rFonts w:ascii="Courier New" w:cs="Courier New" w:eastAsia="Courier New" w:hAnsi="Courier New"/>
          <w:sz w:val="20"/>
          <w:szCs w:val="20"/>
        </w:rPr>
        <w:t xml:space="preserve">abs(tau) &lt; 1e-8</w:t>
      </w:r>
      <w:r>
        <w:t xml:space="preserve"> is never triggered. The standalone </w:t>
      </w:r>
      <w:r>
        <w:rPr>
          <w:rFonts w:ascii="Courier New" w:cs="Courier New" w:eastAsia="Courier New" w:hAnsi="Courier New"/>
          <w:sz w:val="20"/>
          <w:szCs w:val="20"/>
        </w:rPr>
        <w:t xml:space="preserve">evq_cosh_inv_freq()</w:t>
      </w:r>
      <w:r>
        <w:t xml:space="preserve"> (used for the canonical experiments) has the correct Taylor branch with </w:t>
      </w:r>
      <w:r>
        <w:rPr>
          <w:rFonts w:ascii="Courier New" w:cs="Courier New" w:eastAsia="Courier New" w:hAnsi="Courier New"/>
          <w:sz w:val="20"/>
          <w:szCs w:val="20"/>
        </w:rPr>
        <w:t xml:space="preserve">tau &lt; 1e-4</w:t>
      </w:r>
      <w:r>
        <w:t xml:space="preserve"> threshold and proper 2nd-order expansion.</w:t>
      </w:r>
    </w:p>
    <w:p>
      <w:pPr>
        <w:spacing w:after="200"/>
      </w:pPr>
      <w:r>
        <w:rPr>
          <w:b/>
          <w:bCs/>
        </w:rPr>
        <w:t xml:space="preserve">Recommendation: </w:t>
      </w:r>
      <w:r>
        <w:t xml:space="preserve">Change </w:t>
      </w:r>
      <w:r>
        <w:rPr>
          <w:rFonts w:ascii="Courier New" w:cs="Courier New" w:eastAsia="Courier New" w:hAnsi="Courier New"/>
          <w:sz w:val="20"/>
          <w:szCs w:val="20"/>
        </w:rPr>
        <w:t xml:space="preserve">phi = 1.0 - u</w:t>
      </w:r>
      <w:r>
        <w:t xml:space="preserve"> to </w:t>
      </w:r>
      <w:r>
        <w:rPr>
          <w:rFonts w:ascii="Courier New" w:cs="Courier New" w:eastAsia="Courier New" w:hAnsi="Courier New"/>
          <w:sz w:val="20"/>
          <w:szCs w:val="20"/>
        </w:rPr>
        <w:t xml:space="preserve">phi = u</w:t>
      </w:r>
      <w:r>
        <w:t xml:space="preserve"> in the τ→0 branch to prevent incorrect behavior if this code path is ever reached in the future.</w:t>
      </w:r>
    </w:p>
    <w:p>
      <w:pPr>
        <w:pStyle w:val="Heading2"/>
      </w:pPr>
      <w:r>
        <w:rPr>
          <w:color w:val="CC0000"/>
        </w:rPr>
        <w:t xml:space="preserve">C3: </w:t>
      </w:r>
      <w:r>
        <w:t xml:space="preserve">Reversed Frequencies in yarn_finetune_eval.py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0"/>
        <w:gridCol w:w="7648"/>
      </w:tblGrid>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File</w:t>
            </w:r>
          </w:p>
        </w:tc>
        <w:tc>
          <w:tcPr>
            <w:tcW w:type="dxa" w:w="7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scripts/core_text_phases/yarn_finetune_eval.py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Function</w:t>
            </w:r>
          </w:p>
        </w:tc>
        <w:tc>
          <w:tcPr>
            <w:tcW w:type="dxa" w:w="7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evq_cosh_inv_freq()</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Affects Results?</w:t>
            </w:r>
          </w:p>
        </w:tc>
        <w:tc>
          <w:tcPr>
            <w:tcW w:type="dxa" w:w="7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C7700"/>
              </w:rPr>
              <w:t xml:space="preserve">VERIFY</w:t>
            </w:r>
            <w:r>
              <w:t xml:space="preserve"> — check if this script contributes to any paper results</w:t>
            </w:r>
          </w:p>
        </w:tc>
      </w:tr>
    </w:tbl>
    <w:p>
      <w:pPr>
        <w:spacing w:after="80" w:before="120"/>
      </w:pPr>
      <w:r>
        <w:rPr>
          <w:b/>
          <w:bCs/>
        </w:rPr>
        <w:t xml:space="preserve">Description: </w:t>
      </w:r>
      <w:r>
        <w:t xml:space="preserve">This file’s </w:t>
      </w:r>
      <w:r>
        <w:rPr>
          <w:rFonts w:ascii="Courier New" w:cs="Courier New" w:eastAsia="Courier New" w:hAnsi="Courier New"/>
          <w:sz w:val="20"/>
          <w:szCs w:val="20"/>
        </w:rPr>
        <w:t xml:space="preserve">evq_cosh_inv_freq()</w:t>
      </w:r>
      <w:r>
        <w:t xml:space="preserve"> uses </w:t>
      </w:r>
      <w:r>
        <w:rPr>
          <w:rFonts w:ascii="Courier New" w:cs="Courier New" w:eastAsia="Courier New" w:hAnsi="Courier New"/>
          <w:sz w:val="20"/>
          <w:szCs w:val="20"/>
        </w:rPr>
        <w:t xml:space="preserve">u = idx / (K - 1)</w:t>
      </w:r>
      <w:r>
        <w:t xml:space="preserve"> (endpoint at both ends, no midpoint offset) and </w:t>
      </w:r>
      <w:r>
        <w:rPr>
          <w:rFonts w:ascii="Courier New" w:cs="Courier New" w:eastAsia="Courier New" w:hAnsi="Courier New"/>
          <w:sz w:val="20"/>
          <w:szCs w:val="20"/>
        </w:rPr>
        <w:t xml:space="preserve">phi = 1.0 - u</w:t>
      </w:r>
      <w:r>
        <w:t xml:space="preserve"> for the τ=0 case. This produces frequencies in increasing order, opposite to the standard convention and the canonical implementation.</w:t>
      </w:r>
    </w:p>
    <w:p>
      <w:pPr>
        <w:spacing w:after="200"/>
      </w:pPr>
      <w:r>
        <w:rPr>
          <w:b/>
          <w:bCs/>
        </w:rPr>
        <w:t xml:space="preserve">Recommendation: </w:t>
      </w:r>
      <w:r>
        <w:t xml:space="preserve">If this script produces any data used in the paper, align the implementation with the canonical formula. Use </w:t>
      </w:r>
      <w:r>
        <w:rPr>
          <w:rFonts w:ascii="Courier New" w:cs="Courier New" w:eastAsia="Courier New" w:hAnsi="Courier New"/>
          <w:sz w:val="20"/>
          <w:szCs w:val="20"/>
        </w:rPr>
        <w:t xml:space="preserve">u = (idx + 0.5) / K</w:t>
      </w:r>
      <w:r>
        <w:t xml:space="preserve"> and ensure τ→0 recovers </w:t>
      </w:r>
      <w:r>
        <w:rPr>
          <w:rFonts w:ascii="Courier New" w:cs="Courier New" w:eastAsia="Courier New" w:hAnsi="Courier New"/>
          <w:sz w:val="20"/>
          <w:szCs w:val="20"/>
        </w:rPr>
        <w:t xml:space="preserve">phi = u</w:t>
      </w:r>
      <w:r>
        <w:t xml:space="preserve">.</w:t>
      </w:r>
    </w:p>
    <w:p>
      <w:r>
        <w:br w:type="page"/>
      </w:r>
    </w:p>
    <w:p>
      <w:pPr>
        <w:pStyle w:val="Heading1"/>
      </w:pPr>
      <w:r>
        <w:t xml:space="preserve">Moderate Issues</w:t>
      </w:r>
    </w:p>
    <w:p>
      <w:pPr>
        <w:pStyle w:val="Heading2"/>
      </w:pPr>
      <w:r>
        <w:rPr>
          <w:color w:val="CC7700"/>
        </w:rPr>
        <w:t xml:space="preserve">M1: </w:t>
      </w:r>
      <w:r>
        <w:t xml:space="preserve">geometric_inv_freq vs EVQ τ→0 Convention Mismatch</w:t>
      </w:r>
    </w:p>
    <w:p>
      <w:pPr>
        <w:spacing w:after="80"/>
      </w:pPr>
      <w:r>
        <w:rPr>
          <w:b/>
          <w:bCs/>
        </w:rPr>
        <w:t xml:space="preserve">File: </w:t>
      </w:r>
      <w:r>
        <w:rPr>
          <w:rFonts w:ascii="Courier New" w:cs="Courier New" w:eastAsia="Courier New" w:hAnsi="Courier New"/>
          <w:sz w:val="20"/>
          <w:szCs w:val="20"/>
        </w:rPr>
        <w:t xml:space="preserve">schedules.py</w:t>
      </w:r>
      <w:r>
        <w:t xml:space="preserve"> vs </w:t>
      </w:r>
      <w:r>
        <w:rPr>
          <w:rFonts w:ascii="Courier New" w:cs="Courier New" w:eastAsia="Courier New" w:hAnsi="Courier New"/>
          <w:sz w:val="20"/>
          <w:szCs w:val="20"/>
        </w:rPr>
        <w:t xml:space="preserve">learnable_evq.py</w:t>
      </w:r>
    </w:p>
    <w:p>
      <w:pPr>
        <w:spacing w:after="120"/>
      </w:pPr>
      <w:r>
        <w:t xml:space="preserve">The standard </w:t>
      </w:r>
      <w:r>
        <w:rPr>
          <w:rFonts w:ascii="Courier New" w:cs="Courier New" w:eastAsia="Courier New" w:hAnsi="Courier New"/>
          <w:sz w:val="20"/>
          <w:szCs w:val="20"/>
        </w:rPr>
        <w:t xml:space="preserve">geometric_inv_freq()</w:t>
      </w:r>
      <w:r>
        <w:t xml:space="preserve"> uses </w:t>
      </w:r>
      <w:r>
        <w:rPr>
          <w:rFonts w:ascii="Courier New" w:cs="Courier New" w:eastAsia="Courier New" w:hAnsi="Courier New"/>
          <w:sz w:val="20"/>
          <w:szCs w:val="20"/>
        </w:rPr>
        <w:t xml:space="preserve">u_k = k / K</w:t>
      </w:r>
      <w:r>
        <w:t xml:space="preserve"> (no midpoint), while EVQ uses </w:t>
      </w:r>
      <w:r>
        <w:rPr>
          <w:rFonts w:ascii="Courier New" w:cs="Courier New" w:eastAsia="Courier New" w:hAnsi="Courier New"/>
          <w:sz w:val="20"/>
          <w:szCs w:val="20"/>
        </w:rPr>
        <w:t xml:space="preserve">u_k = (k + 0.5) / K</w:t>
      </w:r>
      <w:r>
        <w:t xml:space="preserve"> (midpoint). This means EVQ’s τ→0 limit doesn’t exactly reproduce standard geometric RoPE. This appears intentional (midpoint quantization is a feature of the EVQ formulation), but it should be documented explicitly in the paper to avoid confusion.</w:t>
      </w:r>
    </w:p>
    <w:p>
      <w:pPr>
        <w:pStyle w:val="Heading2"/>
      </w:pPr>
      <w:r>
        <w:rPr>
          <w:color w:val="CC7700"/>
        </w:rPr>
        <w:t xml:space="preserve">M2: </w:t>
      </w:r>
      <w:r>
        <w:t xml:space="preserve">Validation Data Overlap Risk</w:t>
      </w:r>
    </w:p>
    <w:p>
      <w:pPr>
        <w:spacing w:after="80"/>
      </w:pPr>
      <w:r>
        <w:rPr>
          <w:b/>
          <w:bCs/>
        </w:rPr>
        <w:t xml:space="preserve">File: </w:t>
      </w:r>
      <w:r>
        <w:rPr>
          <w:rFonts w:ascii="Courier New" w:cs="Courier New" w:eastAsia="Courier New" w:hAnsi="Courier New"/>
          <w:sz w:val="20"/>
          <w:szCs w:val="20"/>
        </w:rPr>
        <w:t xml:space="preserve">run_evq_sweep.py</w:t>
      </w:r>
    </w:p>
    <w:p>
      <w:pPr>
        <w:spacing w:after="120"/>
      </w:pPr>
      <w:r>
        <w:t xml:space="preserve">Both training and validation datasets use </w:t>
      </w:r>
      <w:r>
        <w:rPr>
          <w:rFonts w:ascii="Courier New" w:cs="Courier New" w:eastAsia="Courier New" w:hAnsi="Courier New"/>
          <w:sz w:val="20"/>
          <w:szCs w:val="20"/>
        </w:rPr>
        <w:t xml:space="preserve">fineweb-edu sample-10BT</w:t>
      </w:r>
      <w:r>
        <w:t xml:space="preserve"> with different shuffle seeds. While HuggingFace streaming with different seeds makes exact sample overlap extremely unlikely, using a fully separate split (or explicit shard-based partitioning) would be methodologically stronger.</w:t>
      </w:r>
    </w:p>
    <w:p>
      <w:pPr>
        <w:pStyle w:val="Heading2"/>
      </w:pPr>
      <w:r>
        <w:rPr>
          <w:color w:val="CC7700"/>
        </w:rPr>
        <w:t xml:space="preserve">M3: </w:t>
      </w:r>
      <w:r>
        <w:t xml:space="preserve">PI Baseline Uses Single Scale for All Eval Lengths</w:t>
      </w:r>
    </w:p>
    <w:p>
      <w:pPr>
        <w:spacing w:after="80"/>
      </w:pPr>
      <w:r>
        <w:rPr>
          <w:b/>
          <w:bCs/>
        </w:rPr>
        <w:t xml:space="preserve">File: </w:t>
      </w:r>
      <w:r>
        <w:rPr>
          <w:rFonts w:ascii="Courier New" w:cs="Courier New" w:eastAsia="Courier New" w:hAnsi="Courier New"/>
          <w:sz w:val="20"/>
          <w:szCs w:val="20"/>
        </w:rPr>
        <w:t xml:space="preserve">run_evq_sweep.py</w:t>
      </w:r>
    </w:p>
    <w:p>
      <w:pPr>
        <w:spacing w:after="200"/>
      </w:pPr>
      <w:r>
        <w:t xml:space="preserve">The PI (Position Interpolation) baseline computes </w:t>
      </w:r>
      <w:r>
        <w:rPr>
          <w:rFonts w:ascii="Courier New" w:cs="Courier New" w:eastAsia="Courier New" w:hAnsi="Courier New"/>
          <w:sz w:val="20"/>
          <w:szCs w:val="20"/>
        </w:rPr>
        <w:t xml:space="preserve">pi_scale = max(max(eval_lengths) / seq_len, 1.0)</w:t>
      </w:r>
      <w:r>
        <w:t xml:space="preserve"> and applies this single scale to all evaluation lengths. Standard PI should use </w:t>
      </w:r>
      <w:r>
        <w:rPr>
          <w:rFonts w:ascii="Courier New" w:cs="Courier New" w:eastAsia="Courier New" w:hAnsi="Courier New"/>
          <w:sz w:val="20"/>
          <w:szCs w:val="20"/>
        </w:rPr>
        <w:t xml:space="preserve">scale = eval_length / train_length</w:t>
      </w:r>
      <w:r>
        <w:t xml:space="preserve"> for each eval length independently. This over-compresses frequencies at shorter eval lengths, potentially making PI look slightly worse than optimal. If PI is used as a baseline in any figure or table, consider per-length scaling.</w:t>
      </w:r>
    </w:p>
    <w:p>
      <w:r>
        <w:br w:type="page"/>
      </w:r>
    </w:p>
    <w:p>
      <w:pPr>
        <w:pStyle w:val="Heading1"/>
      </w:pPr>
      <w:r>
        <w:t xml:space="preserve">Minor Issues</w:t>
      </w:r>
    </w:p>
    <w:p>
      <w:pPr>
        <w:pStyle w:val="Heading2"/>
      </w:pPr>
      <w:r>
        <w:rPr>
          <w:color w:val="0066CC"/>
        </w:rPr>
        <w:t xml:space="preserve">m1: </w:t>
      </w:r>
      <w:r>
        <w:t xml:space="preserve">Duplicate EVQ Implementation Across Files</w:t>
      </w:r>
    </w:p>
    <w:p>
      <w:pPr>
        <w:spacing w:after="120"/>
      </w:pPr>
      <w:r>
        <w:t xml:space="preserve">The EVQ-Cosh formula is implemented independently in at least 4 files: </w:t>
      </w:r>
      <w:r>
        <w:rPr>
          <w:rFonts w:ascii="Courier New" w:cs="Courier New" w:eastAsia="Courier New" w:hAnsi="Courier New"/>
          <w:sz w:val="20"/>
          <w:szCs w:val="20"/>
        </w:rPr>
        <w:t xml:space="preserve">run_evq_sweep.py</w:t>
      </w:r>
      <w:r>
        <w:t xml:space="preserve">, </w:t>
      </w:r>
      <w:r>
        <w:rPr>
          <w:rFonts w:ascii="Courier New" w:cs="Courier New" w:eastAsia="Courier New" w:hAnsi="Courier New"/>
          <w:sz w:val="20"/>
          <w:szCs w:val="20"/>
        </w:rPr>
        <w:t xml:space="preserve">learnable_evq.py</w:t>
      </w:r>
      <w:r>
        <w:t xml:space="preserve">, </w:t>
      </w:r>
      <w:r>
        <w:rPr>
          <w:rFonts w:ascii="Courier New" w:cs="Courier New" w:eastAsia="Courier New" w:hAnsi="Courier New"/>
          <w:sz w:val="20"/>
          <w:szCs w:val="20"/>
        </w:rPr>
        <w:t xml:space="preserve">schedules.py</w:t>
      </w:r>
      <w:r>
        <w:t xml:space="preserve">, and </w:t>
      </w:r>
      <w:r>
        <w:rPr>
          <w:rFonts w:ascii="Courier New" w:cs="Courier New" w:eastAsia="Courier New" w:hAnsi="Courier New"/>
          <w:sz w:val="20"/>
          <w:szCs w:val="20"/>
        </w:rPr>
        <w:t xml:space="preserve">yarn_finetune_eval.py</w:t>
      </w:r>
      <w:r>
        <w:t xml:space="preserve">. Each uses a slightly different quantization convention. Centralizing into a single canonical implementation would prevent future divergence.</w:t>
      </w:r>
    </w:p>
    <w:p>
      <w:pPr>
        <w:pStyle w:val="Heading2"/>
      </w:pPr>
      <w:r>
        <w:rPr>
          <w:color w:val="0066CC"/>
        </w:rPr>
        <w:t xml:space="preserve">m2: </w:t>
      </w:r>
      <w:r>
        <w:t xml:space="preserve">Magic Numbers Without Comments</w:t>
      </w:r>
    </w:p>
    <w:p>
      <w:pPr>
        <w:spacing w:after="200"/>
      </w:pPr>
      <w:r>
        <w:t xml:space="preserve">Several constants lack documentation: </w:t>
      </w:r>
      <w:r>
        <w:rPr>
          <w:rFonts w:ascii="Courier New" w:cs="Courier New" w:eastAsia="Courier New" w:hAnsi="Courier New"/>
          <w:sz w:val="20"/>
          <w:szCs w:val="20"/>
        </w:rPr>
        <w:t xml:space="preserve">slope = 16.05</w:t>
      </w:r>
      <w:r>
        <w:t xml:space="preserve">, </w:t>
      </w:r>
      <w:r>
        <w:rPr>
          <w:rFonts w:ascii="Courier New" w:cs="Courier New" w:eastAsia="Courier New" w:hAnsi="Courier New"/>
          <w:sz w:val="20"/>
          <w:szCs w:val="20"/>
        </w:rPr>
        <w:t xml:space="preserve">center_ratio = 0.47</w:t>
      </w:r>
      <w:r>
        <w:t xml:space="preserve">, </w:t>
      </w:r>
      <w:r>
        <w:rPr>
          <w:rFonts w:ascii="Courier New" w:cs="Courier New" w:eastAsia="Courier New" w:hAnsi="Courier New"/>
          <w:sz w:val="20"/>
          <w:szCs w:val="20"/>
        </w:rPr>
        <w:t xml:space="preserve">tau = 0.5</w:t>
      </w:r>
      <w:r>
        <w:t xml:space="preserve">, </w:t>
      </w:r>
      <w:r>
        <w:rPr>
          <w:rFonts w:ascii="Courier New" w:cs="Courier New" w:eastAsia="Courier New" w:hAnsi="Courier New"/>
          <w:sz w:val="20"/>
          <w:szCs w:val="20"/>
        </w:rPr>
        <w:t xml:space="preserve">beta = 3.0</w:t>
      </w:r>
      <w:r>
        <w:t xml:space="preserve"> in </w:t>
      </w:r>
      <w:r>
        <w:rPr>
          <w:rFonts w:ascii="Courier New" w:cs="Courier New" w:eastAsia="Courier New" w:hAnsi="Courier New"/>
          <w:sz w:val="20"/>
          <w:szCs w:val="20"/>
        </w:rPr>
        <w:t xml:space="preserve">schedules.py</w:t>
      </w:r>
      <w:r>
        <w:t xml:space="preserve">. Adding brief comments explaining their derivation would improve maintainability.</w:t>
      </w:r>
    </w:p>
    <w:p>
      <w:pPr>
        <w:pStyle w:val="Heading1"/>
      </w:pPr>
      <w:r>
        <w:t xml:space="preserve">What Looks Good</w:t>
      </w:r>
    </w:p>
    <w:p>
      <w:pPr>
        <w:pStyle w:val="ListParagraph"/>
        <w:numPr>
          <w:ilvl w:val="0"/>
          <w:numId w:val="2"/>
        </w:numPr>
        <w:spacing w:after="80"/>
      </w:pPr>
      <w:r>
        <w:rPr>
          <w:b/>
          <w:bCs/>
        </w:rPr>
        <w:t xml:space="preserve">Correct core EVQ-Cosh formula:</w:t>
      </w:r>
      <w:r>
        <w:t xml:space="preserve"> The canonical implementation in run_evq_sweep.py correctly implements the paper’s Equation 5 with midpoint quantization, matching the theoretical derivation.</w:t>
      </w:r>
    </w:p>
    <w:p>
      <w:pPr>
        <w:pStyle w:val="ListParagraph"/>
        <w:numPr>
          <w:ilvl w:val="0"/>
          <w:numId w:val="2"/>
        </w:numPr>
        <w:spacing w:after="80"/>
      </w:pPr>
      <w:r>
        <w:rPr>
          <w:b/>
          <w:bCs/>
        </w:rPr>
        <w:t xml:space="preserve">Robust numerical stability:</w:t>
      </w:r>
      <w:r>
        <w:t xml:space="preserve"> The Taylor branch in learnable_evq.py (for τ &lt; 1e-4) provides smooth 2nd-order continuity at the geometric limit, and the unit tests verify this with tolerance checks.</w:t>
      </w:r>
    </w:p>
    <w:p>
      <w:pPr>
        <w:pStyle w:val="ListParagraph"/>
        <w:numPr>
          <w:ilvl w:val="0"/>
          <w:numId w:val="2"/>
        </w:numPr>
        <w:spacing w:after="80"/>
      </w:pPr>
      <w:r>
        <w:rPr>
          <w:b/>
          <w:bCs/>
        </w:rPr>
        <w:t xml:space="preserve">Comprehensive test suite:</w:t>
      </w:r>
      <w:r>
        <w:t xml:space="preserve"> test_rope_core.py includes cross-validation against a numpy reference implementation, gradient flow tests, Taylor-full continuity tests, and AIHANDOFF formula matching — providing strong evidence the math is correct.</w:t>
      </w:r>
    </w:p>
    <w:p>
      <w:pPr>
        <w:pStyle w:val="ListParagraph"/>
        <w:numPr>
          <w:ilvl w:val="0"/>
          <w:numId w:val="2"/>
        </w:numPr>
        <w:spacing w:after="80"/>
      </w:pPr>
      <w:r>
        <w:rPr>
          <w:b/>
          <w:bCs/>
        </w:rPr>
        <w:t xml:space="preserve">Deterministic cross-run reproducibility:</w:t>
      </w:r>
      <w:r>
        <w:t xml:space="preserve"> MixedDataset uses hash-based deterministic decisions for passkey mixing, ensuring identical training data composition across different runs with the same seed.</w:t>
      </w:r>
    </w:p>
    <w:p>
      <w:pPr>
        <w:pStyle w:val="ListParagraph"/>
        <w:numPr>
          <w:ilvl w:val="0"/>
          <w:numId w:val="2"/>
        </w:numPr>
        <w:spacing w:after="80"/>
      </w:pPr>
      <w:r>
        <w:rPr>
          <w:b/>
          <w:bCs/>
        </w:rPr>
        <w:t xml:space="preserve">Clean training pipeline:</w:t>
      </w:r>
      <w:r>
        <w:t xml:space="preserve"> Gradient accumulation correctly divides loss, cosine LR schedule with warmup is properly implemented, and gradient clipping at 1.0 is consistent across all experiments.</w:t>
      </w:r>
    </w:p>
    <w:p>
      <w:pPr>
        <w:pStyle w:val="ListParagraph"/>
        <w:numPr>
          <w:ilvl w:val="0"/>
          <w:numId w:val="2"/>
        </w:numPr>
        <w:spacing w:after="80"/>
      </w:pPr>
      <w:r>
        <w:rPr>
          <w:b/>
          <w:bCs/>
        </w:rPr>
        <w:t xml:space="preserve">Proper passkey evaluation:</w:t>
      </w:r>
      <w:r>
        <w:t xml:space="preserve"> Number-word filler sanitization prevents contamination, NLL-gap scoring correctly aligns logits with target tokens, and autoregressive exact-match provides a second verification.</w:t>
      </w:r>
    </w:p>
    <w:p>
      <w:pPr>
        <w:pStyle w:val="ListParagraph"/>
        <w:numPr>
          <w:ilvl w:val="0"/>
          <w:numId w:val="2"/>
        </w:numPr>
        <w:spacing w:after="80"/>
      </w:pPr>
      <w:r>
        <w:rPr>
          <w:b/>
          <w:bCs/>
        </w:rPr>
        <w:t xml:space="preserve">SHA-256 hashing of inv_freq tensors:</w:t>
      </w:r>
      <w:r>
        <w:t xml:space="preserve"> Provides cryptographic proof that frequency modifications were applied correctly, excellent for reproducibility auditing.</w:t>
      </w:r>
    </w:p>
    <w:p>
      <w:r>
        <w:br w:type="page"/>
      </w:r>
    </w:p>
    <w:p>
      <w:pPr>
        <w:pStyle w:val="Heading1"/>
      </w:pPr>
      <w:r>
        <w:t xml:space="preserve">Canonical Formula Verification</w:t>
      </w:r>
    </w:p>
    <w:p>
      <w:pPr>
        <w:spacing w:after="120"/>
      </w:pPr>
      <w:r>
        <w:t xml:space="preserve">The core EVQ-Cosh implementation (used by all paper experiments) was verified against the paper’s mathematical formulation: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3624"/>
        <w:gridCol w:w="3624"/>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624"/>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Paper Formula</w:t>
            </w:r>
          </w:p>
        </w:tc>
        <w:tc>
          <w:tcPr>
            <w:tcW w:type="dxa" w:w="3624"/>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Code Implementation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Quantiles</w:t>
            </w:r>
          </w:p>
        </w:tc>
        <w:tc>
          <w:tcPr>
            <w:tcW w:type="dxa" w:w="36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u_k = (k + 0.5) / K</w:t>
            </w:r>
          </w:p>
        </w:tc>
        <w:tc>
          <w:tcPr>
            <w:tcW w:type="dxa" w:w="36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 = (idx + 0.5) / float(K)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Warp function</w:t>
            </w:r>
          </w:p>
        </w:tc>
        <w:tc>
          <w:tcPr>
            <w:tcW w:type="dxa" w:w="36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φ = 1 - arcsinh((1-u)·sinhτ)/τ</w:t>
            </w:r>
          </w:p>
        </w:tc>
        <w:tc>
          <w:tcPr>
            <w:tcW w:type="dxa" w:w="36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phi = 1 - arcsinh(A*sinh_tau)/tau</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Frequencies</w:t>
            </w:r>
          </w:p>
        </w:tc>
        <w:tc>
          <w:tcPr>
            <w:tcW w:type="dxa" w:w="36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ω_k = θ^{-φ_k}</w:t>
            </w:r>
          </w:p>
        </w:tc>
        <w:tc>
          <w:tcPr>
            <w:tcW w:type="dxa" w:w="36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torch.pow(base, -phi)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Taylor branch</w:t>
            </w:r>
          </w:p>
        </w:tc>
        <w:tc>
          <w:tcPr>
            <w:tcW w:type="dxa" w:w="36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φ ≈ u - (τ²/6)A(1-A²)</w:t>
            </w:r>
          </w:p>
        </w:tc>
        <w:tc>
          <w:tcPr>
            <w:tcW w:type="dxa" w:w="36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phi = u - (tau**2/6)*A*(1-A**2)</w:t>
            </w:r>
          </w:p>
        </w:tc>
      </w:tr>
    </w:tbl>
    <w:p>
      <w:pPr>
        <w:spacing w:after="200" w:before="120"/>
      </w:pPr>
      <w:r>
        <w:rPr>
          <w:b/>
          <w:bCs/>
          <w:color w:val="006600"/>
        </w:rPr>
        <w:t xml:space="preserve">All components match.</w:t>
      </w:r>
      <w:r>
        <w:t xml:space="preserve"> The unit tests additionally verify numerical agreement between the Taylor branch and the full formula at the transition boundary (τ ≈ 1e-4), confirming smooth continuity.</w:t>
      </w:r>
    </w:p>
    <w:p>
      <w:pPr>
        <w:pStyle w:val="Heading1"/>
      </w:pPr>
      <w:r>
        <w:t xml:space="preserve">Final Verdict</w:t>
      </w:r>
    </w:p>
    <w:p>
      <w:pPr>
        <w:spacing w:after="120"/>
      </w:pPr>
      <w:r>
        <w:rPr>
          <w:b/>
          <w:bCs/>
          <w:color w:val="006600"/>
          <w:sz w:val="26"/>
          <w:szCs w:val="26"/>
        </w:rPr>
        <w:t xml:space="preserve">APPROVE with minor fixes recommended.</w:t>
      </w:r>
    </w:p>
    <w:p>
      <w:pPr>
        <w:spacing w:after="80"/>
      </w:pPr>
      <w:r>
        <w:t xml:space="preserve">The core experimental results are sound. The canonical EVQ-Cosh implementation is mathematically correct, properly tested, and consistently used across all experiments that produce paper results. The three critical issues identified are in peripheral code paths that do not affect the reported results:</w:t>
      </w:r>
    </w:p>
    <w:p>
      <w:pPr>
        <w:pStyle w:val="ListParagraph"/>
        <w:numPr>
          <w:ilvl w:val="0"/>
          <w:numId w:val="2"/>
        </w:numPr>
        <w:spacing w:after="60"/>
      </w:pPr>
      <w:r>
        <w:rPr>
          <w:b/>
          <w:bCs/>
        </w:rPr>
        <w:t xml:space="preserve">C1 (schedules.py quantization):</w:t>
      </w:r>
      <w:r>
        <w:t xml:space="preserve"> Not imported by any experiment. Fix for code hygiene.</w:t>
      </w:r>
    </w:p>
    <w:p>
      <w:pPr>
        <w:pStyle w:val="ListParagraph"/>
        <w:numPr>
          <w:ilvl w:val="0"/>
          <w:numId w:val="2"/>
        </w:numPr>
        <w:spacing w:after="60"/>
      </w:pPr>
      <w:r>
        <w:rPr>
          <w:b/>
          <w:bCs/>
        </w:rPr>
        <w:t xml:space="preserve">C2 (hybrid_evq wrong τ→0):</w:t>
      </w:r>
      <w:r>
        <w:t xml:space="preserve"> Never triggered since τ &gt; 0 in all sweeps. Fix to prevent future bugs.</w:t>
      </w:r>
    </w:p>
    <w:p>
      <w:pPr>
        <w:pStyle w:val="ListParagraph"/>
        <w:numPr>
          <w:ilvl w:val="0"/>
          <w:numId w:val="2"/>
        </w:numPr>
        <w:spacing w:after="60"/>
      </w:pPr>
      <w:r>
        <w:rPr>
          <w:b/>
          <w:bCs/>
        </w:rPr>
        <w:t xml:space="preserve">C3 (yarn_finetune_eval.py):</w:t>
      </w:r>
      <w:r>
        <w:t xml:space="preserve"> Verify whether this script contributes to any paper table or figure. If so, align with canonical formula.</w:t>
      </w:r>
    </w:p>
    <w:p>
      <w:pPr>
        <w:spacing w:after="80" w:before="160"/>
      </w:pPr>
      <w:r>
        <w:rPr>
          <w:b/>
          <w:bCs/>
        </w:rPr>
        <w:t xml:space="preserve">Recommended actions before submission:</w:t>
      </w:r>
    </w:p>
    <w:p>
      <w:pPr>
        <w:pStyle w:val="ListParagraph"/>
        <w:numPr>
          <w:ilvl w:val="0"/>
          <w:numId w:val="2"/>
        </w:numPr>
        <w:spacing w:after="60"/>
      </w:pPr>
      <w:r>
        <w:t xml:space="preserve">Fix the τ→0 branch in hybrid_evq_inv_freq: change phi = 1.0 - u to phi = u (one-line fix).</w:t>
      </w:r>
    </w:p>
    <w:p>
      <w:pPr>
        <w:pStyle w:val="ListParagraph"/>
        <w:numPr>
          <w:ilvl w:val="0"/>
          <w:numId w:val="2"/>
        </w:numPr>
        <w:spacing w:after="60"/>
      </w:pPr>
      <w:r>
        <w:t xml:space="preserve">Align schedules.py evq_cosh to use midpoint quantization u = (idx + 0.5) / K.</w:t>
      </w:r>
    </w:p>
    <w:p>
      <w:pPr>
        <w:pStyle w:val="ListParagraph"/>
        <w:numPr>
          <w:ilvl w:val="0"/>
          <w:numId w:val="2"/>
        </w:numPr>
        <w:spacing w:after="60"/>
      </w:pPr>
      <w:r>
        <w:t xml:space="preserve">Verify yarn_finetune_eval.py’s role in paper results; align or deprecate.</w:t>
      </w:r>
    </w:p>
    <w:p>
      <w:pPr>
        <w:pStyle w:val="ListParagraph"/>
        <w:numPr>
          <w:ilvl w:val="0"/>
          <w:numId w:val="2"/>
        </w:numPr>
        <w:spacing w:after="60"/>
      </w:pPr>
      <w:r>
        <w:t xml:space="preserve">Consider per-length PI scaling if PI appears in comparison tables.</w:t>
      </w:r>
    </w:p>
    <w:p>
      <w:pPr>
        <w:pStyle w:val="ListParagraph"/>
        <w:numPr>
          <w:ilvl w:val="0"/>
          <w:numId w:val="2"/>
        </w:numPr>
        <w:spacing w:after="60"/>
      </w:pPr>
      <w:r>
        <w:t xml:space="preserve">Add a note in the paper about midpoint vs endpoint quantization for geometric baseline comparison.</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Code Review: EVQ-Cosh Experiment Repository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405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449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2026-03-24T01:25:11.290Z</dcterms:created>
  <dcterms:modified xsi:type="dcterms:W3CDTF">2026-03-24T01:25:11.290Z</dcterms:modified>
</cp:coreProperties>
</file>

<file path=docProps/custom.xml><?xml version="1.0" encoding="utf-8"?>
<Properties xmlns="http://schemas.openxmlformats.org/officeDocument/2006/custom-properties" xmlns:vt="http://schemas.openxmlformats.org/officeDocument/2006/docPropsVTypes"/>
</file>